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335C08">
      <w:pPr>
        <w:rPr>
          <w:rFonts w:ascii="微软雅黑" w:hAnsi="微软雅黑"/>
        </w:rPr>
      </w:pPr>
      <w:r>
        <w:rPr>
          <w:rFonts w:hint="eastAsia" w:ascii="微软雅黑" w:hAnsi="微软雅黑"/>
        </w:rPr>
        <w:t>33333333333333333333333333</w:t>
      </w:r>
      <w:r>
        <w:rPr>
          <w:rFonts w:ascii="微软雅黑" w:hAnsi="微软雅黑"/>
        </w:rPr>
        <w:br w:type="page"/>
      </w:r>
      <w:r>
        <w:drawing>
          <wp:anchor distT="0" distB="0" distL="114300" distR="114300" simplePos="0" relativeHeight="251659264" behindDoc="0" locked="0" layoutInCell="1" allowOverlap="1">
            <wp:simplePos x="0" y="0"/>
            <wp:positionH relativeFrom="column">
              <wp:posOffset>-1143000</wp:posOffset>
            </wp:positionH>
            <wp:positionV relativeFrom="paragraph">
              <wp:posOffset>-914400</wp:posOffset>
            </wp:positionV>
            <wp:extent cx="7746365" cy="10864215"/>
            <wp:effectExtent l="0" t="0" r="10795" b="1905"/>
            <wp:wrapSquare wrapText="bothSides"/>
            <wp:docPr id="100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图片 3"/>
                    <pic:cNvPicPr>
                      <a:picLocks noChangeAspect="1"/>
                    </pic:cNvPicPr>
                  </pic:nvPicPr>
                  <pic:blipFill>
                    <a:blip r:embed="rId18" cstate="print"/>
                    <a:stretch>
                      <a:fillRect/>
                    </a:stretch>
                  </pic:blipFill>
                  <pic:spPr>
                    <a:xfrm>
                      <a:off x="0" y="0"/>
                      <a:ext cx="7746365" cy="10864215"/>
                    </a:xfrm>
                    <a:prstGeom prst="rect">
                      <a:avLst/>
                    </a:prstGeom>
                    <a:noFill/>
                    <a:ln>
                      <a:noFill/>
                    </a:ln>
                  </pic:spPr>
                </pic:pic>
              </a:graphicData>
            </a:graphic>
          </wp:anchor>
        </w:drawing>
      </w:r>
    </w:p>
    <w:p w14:paraId="0B0FB728">
      <w:pPr>
        <w:ind w:firstLine="550" w:firstLineChars="250"/>
        <w:rPr>
          <w:rFonts w:ascii="微软雅黑" w:hAnsi="微软雅黑"/>
        </w:rPr>
      </w:pPr>
    </w:p>
    <w:p w14:paraId="034E477F">
      <w:pPr>
        <w:adjustRightInd/>
        <w:snapToGrid/>
        <w:spacing w:line="220" w:lineRule="atLeast"/>
        <w:rPr>
          <w:rFonts w:ascii="微软雅黑" w:hAnsi="微软雅黑"/>
          <w:b/>
          <w:color w:val="3D5E18"/>
          <w:sz w:val="52"/>
          <w:szCs w:val="52"/>
        </w:rPr>
      </w:pPr>
      <w:r>
        <w:rPr>
          <w:rFonts w:hint="eastAsia" w:ascii="微软雅黑" w:hAnsi="微软雅黑"/>
          <w:b/>
          <w:color w:val="3D5E18"/>
          <w:sz w:val="44"/>
          <w:szCs w:val="44"/>
        </w:rPr>
        <w:drawing>
          <wp:anchor distT="0" distB="0" distL="114300" distR="114300" simplePos="0" relativeHeight="251660288" behindDoc="0" locked="0" layoutInCell="1" allowOverlap="1">
            <wp:simplePos x="0" y="0"/>
            <wp:positionH relativeFrom="column">
              <wp:posOffset>0</wp:posOffset>
            </wp:positionH>
            <wp:positionV relativeFrom="paragraph">
              <wp:posOffset>290830</wp:posOffset>
            </wp:positionV>
            <wp:extent cx="2834640" cy="762000"/>
            <wp:effectExtent l="19050" t="0" r="3810" b="0"/>
            <wp:wrapSquare wrapText="bothSides"/>
            <wp:docPr id="1002" name="图片 14" descr="捕获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图片 14" descr="捕获1"/>
                    <pic:cNvPicPr>
                      <a:picLocks noChangeAspect="1"/>
                    </pic:cNvPicPr>
                  </pic:nvPicPr>
                  <pic:blipFill>
                    <a:blip r:embed="rId19" cstate="print"/>
                    <a:stretch>
                      <a:fillRect/>
                    </a:stretch>
                  </pic:blipFill>
                  <pic:spPr>
                    <a:xfrm>
                      <a:off x="0" y="0"/>
                      <a:ext cx="2834640" cy="762000"/>
                    </a:xfrm>
                    <a:prstGeom prst="rect">
                      <a:avLst/>
                    </a:prstGeom>
                  </pic:spPr>
                </pic:pic>
              </a:graphicData>
            </a:graphic>
          </wp:anchor>
        </w:drawing>
      </w:r>
    </w:p>
    <w:p w14:paraId="0680B568">
      <w:pPr>
        <w:spacing w:line="240" w:lineRule="atLeast"/>
        <w:jc w:val="center"/>
        <w:rPr>
          <w:rFonts w:ascii="微软雅黑" w:hAnsi="微软雅黑"/>
          <w:b/>
          <w:color w:val="3D5E18"/>
          <w:sz w:val="52"/>
          <w:szCs w:val="52"/>
        </w:rPr>
      </w:pPr>
    </w:p>
    <w:p w14:paraId="133AE424">
      <w:pPr>
        <w:spacing w:line="240" w:lineRule="atLeast"/>
        <w:jc w:val="center"/>
        <w:rPr>
          <w:rFonts w:ascii="微软雅黑" w:hAnsi="微软雅黑"/>
          <w:b/>
          <w:color w:val="3D5E18"/>
          <w:sz w:val="10"/>
          <w:szCs w:val="10"/>
        </w:rPr>
      </w:pPr>
    </w:p>
    <w:p w14:paraId="30AE2761">
      <w:pPr>
        <w:spacing w:line="240" w:lineRule="atLeast"/>
        <w:jc w:val="center"/>
        <w:rPr>
          <w:rFonts w:ascii="微软雅黑" w:hAnsi="微软雅黑"/>
          <w:b/>
          <w:color w:val="3D5E18"/>
          <w:sz w:val="10"/>
          <w:szCs w:val="10"/>
        </w:rPr>
      </w:pPr>
    </w:p>
    <w:p w14:paraId="290650F7">
      <w:pPr>
        <w:spacing w:line="240" w:lineRule="atLeast"/>
        <w:jc w:val="center"/>
        <w:rPr>
          <w:rFonts w:ascii="微软雅黑" w:hAnsi="微软雅黑"/>
          <w:b/>
          <w:color w:val="3D5E18"/>
          <w:sz w:val="10"/>
          <w:szCs w:val="10"/>
        </w:rPr>
      </w:pPr>
    </w:p>
    <w:p w14:paraId="4330775C">
      <w:pPr>
        <w:spacing w:line="240" w:lineRule="atLeast"/>
        <w:jc w:val="center"/>
        <w:rPr>
          <w:rFonts w:ascii="微软雅黑" w:hAnsi="微软雅黑"/>
          <w:b/>
          <w:sz w:val="52"/>
          <w:szCs w:val="52"/>
        </w:rPr>
      </w:pPr>
      <w:r>
        <w:rPr>
          <w:rFonts w:hint="eastAsia" w:ascii="微软雅黑" w:hAnsi="微软雅黑"/>
          <w:b/>
          <w:sz w:val="52"/>
          <w:szCs w:val="52"/>
        </w:rPr>
        <w:t xml:space="preserve"> 检测报告</w:t>
      </w:r>
    </w:p>
    <w:p w14:paraId="668A98BC">
      <w:pPr>
        <w:spacing w:line="240" w:lineRule="atLeast"/>
        <w:jc w:val="center"/>
        <w:rPr>
          <w:rFonts w:ascii="微软雅黑" w:hAnsi="微软雅黑"/>
          <w:b/>
          <w:color w:val="3D5E18"/>
          <w:sz w:val="32"/>
          <w:szCs w:val="32"/>
        </w:rPr>
      </w:pPr>
    </w:p>
    <w:p w14:paraId="4E994034">
      <w:pPr>
        <w:spacing w:line="240" w:lineRule="atLeast"/>
        <w:jc w:val="center"/>
        <w:rPr>
          <w:rFonts w:ascii="微软雅黑" w:hAnsi="微软雅黑"/>
          <w:b/>
          <w:color w:val="3D5E18"/>
          <w:sz w:val="32"/>
          <w:szCs w:val="32"/>
        </w:rPr>
      </w:pPr>
    </w:p>
    <w:p w14:paraId="71375646">
      <w:pPr>
        <w:spacing w:line="240" w:lineRule="atLeast"/>
        <w:jc w:val="center"/>
        <w:rPr>
          <w:rFonts w:ascii="微软雅黑" w:hAnsi="微软雅黑"/>
          <w:b/>
          <w:color w:val="3D5E18"/>
          <w:sz w:val="10"/>
          <w:szCs w:val="10"/>
        </w:rPr>
      </w:pPr>
    </w:p>
    <w:p w14:paraId="38D2AAB2">
      <w:pPr>
        <w:spacing w:line="240" w:lineRule="atLeast"/>
        <w:jc w:val="center"/>
        <w:rPr>
          <w:rFonts w:ascii="微软雅黑" w:hAnsi="微软雅黑"/>
          <w:b/>
          <w:color w:val="3D5E18"/>
          <w:sz w:val="32"/>
          <w:szCs w:val="32"/>
        </w:rPr>
      </w:pPr>
    </w:p>
    <w:p w14:paraId="1A81F98E">
      <w:pPr>
        <w:spacing w:line="240" w:lineRule="atLeast"/>
        <w:jc w:val="center"/>
        <w:rPr>
          <w:rFonts w:ascii="微软雅黑" w:hAnsi="微软雅黑"/>
          <w:b/>
          <w:color w:val="3D5E18"/>
          <w:sz w:val="32"/>
          <w:szCs w:val="32"/>
        </w:rPr>
      </w:pPr>
    </w:p>
    <w:p w14:paraId="6235DA44">
      <w:pPr>
        <w:spacing w:line="240" w:lineRule="atLeast"/>
        <w:jc w:val="center"/>
        <w:rPr>
          <w:rFonts w:ascii="微软雅黑" w:hAnsi="微软雅黑"/>
          <w:b/>
          <w:color w:val="3D5E18"/>
          <w:sz w:val="32"/>
          <w:szCs w:val="32"/>
        </w:rPr>
      </w:pPr>
    </w:p>
    <w:p w14:paraId="71E9601F">
      <w:pPr>
        <w:spacing w:line="240" w:lineRule="atLeast"/>
        <w:jc w:val="center"/>
        <w:rPr>
          <w:rFonts w:ascii="微软雅黑" w:hAnsi="微软雅黑"/>
          <w:b/>
          <w:color w:val="3D5E18"/>
          <w:sz w:val="32"/>
          <w:szCs w:val="32"/>
        </w:rPr>
      </w:pPr>
    </w:p>
    <w:p w14:paraId="0D2EA703">
      <w:pPr>
        <w:spacing w:line="240" w:lineRule="atLeast"/>
        <w:jc w:val="center"/>
        <w:rPr>
          <w:rFonts w:ascii="微软雅黑" w:hAnsi="微软雅黑"/>
          <w:b/>
          <w:color w:val="3D5E18"/>
          <w:sz w:val="32"/>
          <w:szCs w:val="32"/>
        </w:rPr>
      </w:pPr>
    </w:p>
    <w:p w14:paraId="159F3B7E">
      <w:pPr>
        <w:spacing w:line="360" w:lineRule="auto"/>
        <w:ind w:left="297" w:leftChars="135" w:firstLine="836" w:firstLineChars="348"/>
        <w:rPr>
          <w:rFonts w:ascii="微软雅黑" w:hAnsi="微软雅黑" w:cs="微软雅黑"/>
          <w:kern w:val="2"/>
          <w:sz w:val="24"/>
          <w:szCs w:val="24"/>
        </w:rPr>
      </w:pPr>
      <w:r>
        <w:rPr>
          <w:rFonts w:ascii="微软雅黑" w:hAnsi="微软雅黑"/>
          <w:b/>
          <w:sz w:val="24"/>
          <w:szCs w:val="24"/>
        </w:rPr>
        <mc:AlternateContent>
          <mc:Choice Requires="wps">
            <w:drawing>
              <wp:anchor distT="0" distB="0" distL="114300" distR="114300" simplePos="0" relativeHeight="251670528" behindDoc="0" locked="0" layoutInCell="1" allowOverlap="1">
                <wp:simplePos x="0" y="0"/>
                <wp:positionH relativeFrom="column">
                  <wp:posOffset>1494790</wp:posOffset>
                </wp:positionH>
                <wp:positionV relativeFrom="paragraph">
                  <wp:posOffset>282575</wp:posOffset>
                </wp:positionV>
                <wp:extent cx="3120390" cy="6985"/>
                <wp:effectExtent l="0" t="0" r="0" b="0"/>
                <wp:wrapNone/>
                <wp:docPr id="1003" name="自选图形 23"/>
                <wp:cNvGraphicFramePr/>
                <a:graphic xmlns:a="http://schemas.openxmlformats.org/drawingml/2006/main">
                  <a:graphicData uri="http://schemas.microsoft.com/office/word/2010/wordprocessingShape">
                    <wps:wsp>
                      <wps:cNvCnPr/>
                      <wps:spPr>
                        <a:xfrm>
                          <a:off x="0" y="0"/>
                          <a:ext cx="3120390" cy="6985"/>
                        </a:xfrm>
                        <a:prstGeom prst="straightConnector1">
                          <a:avLst/>
                        </a:prstGeom>
                        <a:ln w="9525" cap="flat" cmpd="sng">
                          <a:solidFill>
                            <a:srgbClr val="000000"/>
                          </a:solidFill>
                          <a:prstDash val="solid"/>
                          <a:headEnd type="none" w="med" len="med"/>
                          <a:tailEnd type="none" w="med" len="med"/>
                        </a:ln>
                        <a:effectLst/>
                      </wps:spPr>
                      <wps:bodyPr/>
                    </wps:wsp>
                  </a:graphicData>
                </a:graphic>
              </wp:anchor>
            </w:drawing>
          </mc:Choice>
          <mc:Fallback>
            <w:pict>
              <v:shape id="自选图形 23" o:spid="_x0000_s1026" o:spt="32" type="#_x0000_t32" style="position:absolute;left:0pt;margin-left:117.7pt;margin-top:22.25pt;height:0.55pt;width:245.7pt;z-index:251670528;mso-width-relative:page;mso-height-relative:page;" filled="f" stroked="t" coordsize="21600,21600" o:gfxdata="UEsDBAoAAAAAAIdO4kAAAAAAAAAAAAAAAAAEAAAAZHJzL1BLAwQUAAAACACHTuJAeQrkE9gAAAAJ AQAADwAAAGRycy9kb3ducmV2LnhtbE2PwU7DMAyG70i8Q2QkLoglLW2B0nRCSBw4sk3imjWmLTRO 1aTr2NNjTuNo+9Pv76/WRzeIA06h96QhWSkQSI23PbUadtvX2wcQIRqyZvCEGn4wwLq+vKhMaf1C 73jYxFZwCIXSaOhiHEspQ9OhM2HlRyS+ffrJmcjj1Eo7mYXD3SBTpQrpTE/8oTMjvnTYfG9mpwHD nCfq+dG1u7fTcvORnr6Wcav19VWinkBEPMYzDH/6rA41O+39TDaIQUN6l2eMasiyHAQD92nBXfa8 yAuQdSX/N6h/AVBLAwQUAAAACACHTuJA9PAB8v8BAAD4AwAADgAAAGRycy9lMm9Eb2MueG1srVPN jtMwEL4j8Q6W7zRpq662UdM9tCwXBJWAB3BtJ7HkP3m8TXvjhngGbhx5B3iblZa3YOyEsiyXHsjB mbFnvpnv83h1czSaHGQA5WxNp5OSEmm5E8q2Nf3w/vbFNSUQmRVMOytrepJAb9bPn616X8mZ65wW MhAEsVD1vqZdjL4qCuCdNAwmzkuLh40LhkV0Q1uIwHpEN7qYleVV0bsgfHBcAuDudjikI2K4BNA1 jeJy6/idkTYOqEFqFpESdMoDXedum0by+LZpQEaia4pMY16xCNr7tBbrFavawHyn+NgCu6SFJ5wM UxaLnqG2LDJyF9Q/UEbx4MA1ccKdKQYiWRFkMS2faPOuY15mLig1+LPo8P9g+ZvDLhAlcBLKck6J ZQbv/OHTt58fP99/+XH//SuZzZNKvYcKgzd2F0YP/C4kyscmmPRHMuSYlT2dlZXHSDhuzqezcr5E 0TmeXS2vFwmy+JPrA8RX0hmSjJpCDEy1Xdw4a/EKXZhmcdnhNcQh8XdCKqwt6Wu6XMwWiM9wJBsc BTSNR1pg25wLTitxq7ROGRDa/UYHcmBpLPI3NvRXWCqyZdANcfkohbGqk0y8tILEk0e1LL4Tmlow UlCiJT6rZOXIyJS+JBK10DZByzy0I88k+iBzsvZOnLL6RfJwILKE4/CmiXvso/34wa5/AVBLAwQK AAAAAACHTuJAAAAAAAAAAAAAAAAABgAAAF9yZWxzL1BLAwQUAAAACACHTuJAihRmPNEAAACUAQAA CwAAAF9yZWxzLy5yZWxzpZDBasMwDIbvg72D0X1xmsMYo04vo9Br6R7A2IpjGltGMtn69vMOg2X0 tqN+oe8T//7wmRa1IkukbGDX9aAwO/IxBwPvl+PTCyipNnu7UEYDNxQ4jI8P+zMutrYjmWMR1ShZ DMy1lletxc2YrHRUMLfNRJxsbSMHXay72oB66Ptnzb8ZMG6Y6uQN8MkPoC630sx/2Ck6JqGpdo6S pmmK7h5VB7Zlju7INuEbuUazHLAa8CwaB2pZ134EfV+/+6fe00c+47rVfoeM649Xb7ocvwBQSwME FAAAAAgAh07iQH7m5SD3AAAA4QEAABMAAABbQ29udGVudF9UeXBlc10ueG1slZFBTsMwEEX3SNzB 8hYlTrtACCXpgrRLQKgcYGRPEotkbHlMaG+Pk7YbRJFY2jP/vye73BzGQUwY2Dqq5CovpEDSzljq Kvm+32UPUnAEMjA4wkoekeWmvr0p90ePLFKauJJ9jP5RKdY9jsC580hp0rowQkzH0CkP+gM6VOui uFfaUUSKWZw7ZF022MLnEMX2kK5PJgEHluLptDizKgneD1ZDTKZqIvODkp0JeUouO9xbz3dJQ6pf CfPkOuCce0lPE6xB8QohPsOYNJQJrIz7ooBT/nfJbDly5trWasybwE2KveF0sbrWjmvXOP3f8u2S unSr5YPqb1BLAQIUABQAAAAIAIdO4kB+5uUg9wAAAOEBAAATAAAAAAAAAAEAIAAAAHAEAABbQ29u dGVudF9UeXBlc10ueG1sUEsBAhQACgAAAAAAh07iQAAAAAAAAAAAAAAAAAYAAAAAAAAAAAAQAAAA UgMAAF9yZWxzL1BLAQIUABQAAAAIAIdO4kCKFGY80QAAAJQBAAALAAAAAAAAAAEAIAAAAHYDAABf cmVscy8ucmVsc1BLAQIUAAoAAAAAAIdO4kAAAAAAAAAAAAAAAAAEAAAAAAAAAAAAEAAAAAAAAABk cnMvUEsBAhQAFAAAAAgAh07iQHkK5BPYAAAACQEAAA8AAAAAAAAAAQAgAAAAIgAAAGRycy9kb3du cmV2LnhtbFBLAQIUABQAAAAIAIdO4kD08AHy/wEAAPgDAAAOAAAAAAAAAAEAIAAAACcBAABkcnMv ZTJvRG9jLnhtbFBLBQYAAAAABgAGAFkBAACYBQAAAAA= ">
                <v:fill on="f" focussize="0,0"/>
                <v:stroke color="#000000" joinstyle="round"/>
                <v:imagedata o:title=""/>
                <o:lock v:ext="edit" aspectratio="f"/>
              </v:shape>
            </w:pict>
          </mc:Fallback>
        </mc:AlternateContent>
      </w:r>
      <w:r>
        <w:rPr>
          <w:rFonts w:hint="eastAsia" w:ascii="微软雅黑" w:hAnsi="微软雅黑"/>
          <w:b/>
          <w:sz w:val="24"/>
          <w:szCs w:val="24"/>
        </w:rPr>
        <w:t>姓    名</w:t>
      </w:r>
      <w:r>
        <w:rPr>
          <w:rFonts w:ascii="微软雅黑" w:hAnsi="微软雅黑"/>
          <w:b/>
          <w:sz w:val="24"/>
          <w:szCs w:val="24"/>
        </w:rPr>
        <w:t>：</w:t>
      </w:r>
      <w:r>
        <w:rPr>
          <w:rFonts w:hint="eastAsia" w:ascii="微软雅黑" w:hAnsi="微软雅黑" w:cs="微软雅黑"/>
          <w:kern w:val="2"/>
          <w:sz w:val="24"/>
          <w:szCs w:val="24"/>
        </w:rPr>
        <w:t xml:space="preserve">               </w:t>
      </w:r>
      <w:r>
        <w:rPr>
          <w:rFonts w:hint="eastAsia" w:ascii="微软雅黑" w:hAnsi="微软雅黑" w:cs="微软雅黑"/>
          <w:kern w:val="2"/>
          <w:sz w:val="24"/>
          <w:szCs w:val="24"/>
          <w:lang w:val="en-US" w:eastAsia="zh-CN"/>
        </w:rPr>
        <w:t xml:space="preserve">  </w:t>
      </w:r>
      <w:r>
        <w:rPr>
          <w:rFonts w:hint="eastAsia" w:ascii="微软雅黑" w:hAnsi="微软雅黑" w:cs="微软雅黑"/>
          <w:kern w:val="2"/>
          <w:sz w:val="24"/>
          <w:szCs w:val="24"/>
          <w:lang w:eastAsia="zh-CN"/>
        </w:rPr>
        <w:t>{{ patient_name }}</w:t>
      </w:r>
      <w:r>
        <w:rPr>
          <w:rFonts w:hint="eastAsia" w:ascii="微软雅黑" w:hAnsi="微软雅黑" w:cs="微软雅黑"/>
          <w:kern w:val="2"/>
          <w:sz w:val="24"/>
          <w:szCs w:val="24"/>
        </w:rPr>
        <w:t xml:space="preserve"> </w:t>
      </w:r>
      <w:r>
        <w:commentReference w:id="0"/>
      </w:r>
      <w:r>
        <w:rPr>
          <w:rFonts w:hint="eastAsia" w:ascii="微软雅黑" w:hAnsi="微软雅黑" w:cs="微软雅黑"/>
          <w:kern w:val="2"/>
          <w:sz w:val="24"/>
          <w:szCs w:val="24"/>
        </w:rPr>
        <w:t xml:space="preserve">       </w:t>
      </w:r>
    </w:p>
    <w:p w14:paraId="0F9A3115">
      <w:pPr>
        <w:spacing w:line="360" w:lineRule="auto"/>
        <w:ind w:left="297" w:leftChars="135" w:firstLine="836" w:firstLineChars="348"/>
        <w:rPr>
          <w:rFonts w:hint="default" w:ascii="微软雅黑" w:hAnsi="微软雅黑" w:eastAsia="微软雅黑" w:cs="微软雅黑"/>
          <w:sz w:val="24"/>
          <w:szCs w:val="24"/>
          <w:lang w:val="en-US" w:eastAsia="zh-CN"/>
        </w:rPr>
      </w:pPr>
      <w:r>
        <w:rPr>
          <w:rFonts w:ascii="微软雅黑" w:hAnsi="微软雅黑"/>
          <w:b/>
          <w:sz w:val="24"/>
          <w:szCs w:val="24"/>
        </w:rPr>
        <mc:AlternateContent>
          <mc:Choice Requires="wps">
            <w:drawing>
              <wp:anchor distT="0" distB="0" distL="114300" distR="114300" simplePos="0" relativeHeight="251671552" behindDoc="0" locked="0" layoutInCell="1" allowOverlap="1">
                <wp:simplePos x="0" y="0"/>
                <wp:positionH relativeFrom="column">
                  <wp:posOffset>1494790</wp:posOffset>
                </wp:positionH>
                <wp:positionV relativeFrom="paragraph">
                  <wp:posOffset>282575</wp:posOffset>
                </wp:positionV>
                <wp:extent cx="3120390" cy="6985"/>
                <wp:effectExtent l="0" t="0" r="0" b="0"/>
                <wp:wrapNone/>
                <wp:docPr id="1004" name="自选图形 24"/>
                <wp:cNvGraphicFramePr/>
                <a:graphic xmlns:a="http://schemas.openxmlformats.org/drawingml/2006/main">
                  <a:graphicData uri="http://schemas.microsoft.com/office/word/2010/wordprocessingShape">
                    <wps:wsp>
                      <wps:cNvCnPr/>
                      <wps:spPr>
                        <a:xfrm flipV="1">
                          <a:off x="0" y="0"/>
                          <a:ext cx="3120390" cy="6985"/>
                        </a:xfrm>
                        <a:prstGeom prst="straightConnector1">
                          <a:avLst/>
                        </a:prstGeom>
                        <a:ln w="9525" cap="flat" cmpd="sng">
                          <a:solidFill>
                            <a:srgbClr val="000000"/>
                          </a:solidFill>
                          <a:prstDash val="solid"/>
                          <a:headEnd type="none" w="med" len="med"/>
                          <a:tailEnd type="none" w="med" len="med"/>
                        </a:ln>
                        <a:effectLst/>
                      </wps:spPr>
                      <wps:bodyPr/>
                    </wps:wsp>
                  </a:graphicData>
                </a:graphic>
              </wp:anchor>
            </w:drawing>
          </mc:Choice>
          <mc:Fallback>
            <w:pict>
              <v:shape id="自选图形 24" o:spid="_x0000_s1026" o:spt="32" type="#_x0000_t32" style="position:absolute;left:0pt;flip:y;margin-left:117.7pt;margin-top:22.25pt;height:0.55pt;width:245.7pt;z-index:251671552;mso-width-relative:page;mso-height-relative:page;" filled="f" stroked="t" coordsize="21600,21600" o:gfxdata="UEsDBAoAAAAAAIdO4kAAAAAAAAAAAAAAAAAEAAAAZHJzL1BLAwQUAAAACACHTuJAH0Pl3NcAAAAJ AQAADwAAAGRycy9kb3ducmV2LnhtbE2PwU6DQBCG7ya+w2ZMvNmlCLRBlh6aaDwYEqvet+wItOws ZbfQvr3jSY8z8+Wf7y82F9uLCUffOVKwXEQgkGpnOmoUfH48P6xB+KDJ6N4RKriih015e1Po3LiZ 3nHahUZwCPlcK2hDGHIpfd2i1X7hBiS+fbvR6sDj2Egz6pnDbS/jKMqk1R3xh1YPuG2xPu7OVsGJ VtevRE7rQ1WF7OX1rSGsZqXu75bRE4iAl/AHw68+q0PJTnt3JuNFryB+TBNGFSRJCoKBVZxxlz0v 0gxkWcj/DcofUEsDBBQAAAAIAIdO4kBRQxPdBgIAAAIEAAAOAAAAZHJzL2Uyb0RvYy54bWytU71u 2zAQ3gv0HQjutWQnDmLBcga76VK0Bvqz0yQlEeAfeIxlb92KPkO3jn2H5m0CtG/RI6Uaabp4qAbh jnf33X0fj8ubg9FkLwMoZ2s6nZSUSMudULat6Yf3ty+uKYHIrGDaWVnTowR6s3r+bNn7Ss5c57SQ gSCIhar3Ne1i9FVRAO+kYTBxXloMNi4YFtENbSEC6xHd6GJWlldF74LwwXEJgKebIUhHxHAOoGsa xeXG8TsjbRxQg9QsIiXolAe6ytM2jeTxbdOAjETXFJnG/McmaO/Sv1gtWdUG5jvFxxHYOSM84WSY stj0BLVhkZG7oP6BMooHB66JE+5MMRDJiiCLaflEm3cd8zJzQanBn0SH/wfL3+y3gSiBm1CWl5RY ZvDOf37+/uvTl4ev9w8/vpHZZVKp91Bh8tpuw+iB34ZE+dAEQxqt/EcEySIgLXLIGh9PGstDJBwP L6az8mKB8nOMXS2u5wm8GFASmg8QX0lnSDJqCjEw1XZx7azFy3Rh6MD2ryEOhX8KUrG2pK/pYj6b Iz7D5WxwKdA0HgmCbfN04LQSt0rrVAGh3a11IHuWFiR/40B/paUmGwbdkJdDKY1VnWTipRUkHj3q ZvHF0DSCkYISLfGBJStnRqb0OZmohbYJWub1HXkm+QfBk7Vz4pjvoUgerkaWcFzjtHuPfbQfP93V b1BLAwQKAAAAAACHTuJAAAAAAAAAAAAAAAAABgAAAF9yZWxzL1BLAwQUAAAACACHTuJAihRmPNEA AACUAQAACwAAAF9yZWxzLy5yZWxzpZDBasMwDIbvg72D0X1xmsMYo04vo9Br6R7A2IpjGltGMtn6 9vMOg2X0tqN+oe8T//7wmRa1IkukbGDX9aAwO/IxBwPvl+PTCyipNnu7UEYDNxQ4jI8P+zMutrYj mWMR1ShZDMy1lletxc2YrHRUMLfNRJxsbSMHXay72oB66Ptnzb8ZMG6Y6uQN8MkPoC630sx/2Ck6 JqGpdo6SpmmK7h5VB7Zlju7INuEbuUazHLAa8CwaB2pZ134EfV+/+6fe00c+47rVfoeM649Xb7oc vwBQSwMEFAAAAAgAh07iQH7m5SD3AAAA4QEAABMAAABbQ29udGVudF9UeXBlc10ueG1slZFBTsMw EEX3SNzB8hYlTrtACCXpgrRLQKgcYGRPEotkbHlMaG+Pk7YbRJFY2jP/vye73BzGQUwY2Dqq5Cov pEDSzljqKvm+32UPUnAEMjA4wkoekeWmvr0p90ePLFKauJJ9jP5RKdY9jsC580hp0rowQkzH0CkP +gM6VOuiuFfaUUSKWZw7ZF022MLnEMX2kK5PJgEHluLptDizKgneD1ZDTKZqIvODkp0JeUouO9xb z3dJQ6pfCfPkOuCce0lPE6xB8QohPsOYNJQJrIz7ooBT/nfJbDly5trWasybwE2KveF0sbrWjmvX OP3f8u2SunSr5YPqb1BLAQIUABQAAAAIAIdO4kB+5uUg9wAAAOEBAAATAAAAAAAAAAEAIAAAAHYE AABbQ29udGVudF9UeXBlc10ueG1sUEsBAhQACgAAAAAAh07iQAAAAAAAAAAAAAAAAAYAAAAAAAAA AAAQAAAAWAMAAF9yZWxzL1BLAQIUABQAAAAIAIdO4kCKFGY80QAAAJQBAAALAAAAAAAAAAEAIAAA AHwDAABfcmVscy8ucmVsc1BLAQIUAAoAAAAAAIdO4kAAAAAAAAAAAAAAAAAEAAAAAAAAAAAAEAAA AAAAAABkcnMvUEsBAhQAFAAAAAgAh07iQB9D5dzXAAAACQEAAA8AAAAAAAAAAQAgAAAAIgAAAGRy cy9kb3ducmV2LnhtbFBLAQIUABQAAAAIAIdO4kBRQxPdBgIAAAIEAAAOAAAAAAAAAAEAIAAAACYB AABkcnMvZTJvRG9jLnhtbFBLBQYAAAAABgAGAFkBAACeBQAAAAA= ">
                <v:fill on="f" focussize="0,0"/>
                <v:stroke color="#000000" joinstyle="round"/>
                <v:imagedata o:title=""/>
                <o:lock v:ext="edit" aspectratio="f"/>
              </v:shape>
            </w:pict>
          </mc:Fallback>
        </mc:AlternateContent>
      </w:r>
      <w:r>
        <w:rPr>
          <w:rFonts w:hint="eastAsia" w:ascii="微软雅黑" w:hAnsi="微软雅黑"/>
          <w:b/>
          <w:sz w:val="24"/>
          <w:szCs w:val="24"/>
        </w:rPr>
        <w:t>报告编号</w:t>
      </w:r>
      <w:r>
        <w:rPr>
          <w:rFonts w:ascii="微软雅黑" w:hAnsi="微软雅黑"/>
          <w:b/>
          <w:sz w:val="24"/>
          <w:szCs w:val="24"/>
        </w:rPr>
        <w:t>：</w:t>
      </w:r>
      <w:r>
        <w:rPr>
          <w:rFonts w:hint="eastAsia" w:ascii="微软雅黑" w:hAnsi="微软雅黑"/>
          <w:b/>
          <w:sz w:val="24"/>
          <w:szCs w:val="24"/>
        </w:rPr>
        <w:t xml:space="preserve">             </w:t>
      </w:r>
      <w:r>
        <w:rPr>
          <w:rFonts w:hint="eastAsia" w:ascii="微软雅黑" w:hAnsi="微软雅黑"/>
          <w:bCs/>
          <w:sz w:val="24"/>
          <w:szCs w:val="24"/>
        </w:rPr>
        <w:t>{{ report_number }}</w:t>
      </w:r>
      <w:r>
        <w:rPr>
          <w:rFonts w:hint="eastAsia" w:ascii="微软雅黑" w:hAnsi="微软雅黑"/>
          <w:bCs/>
          <w:sz w:val="24"/>
          <w:szCs w:val="24"/>
          <w:lang w:eastAsia="zh-CN"/>
        </w:rPr>
        <w:t/>
      </w:r>
      <w:r>
        <w:rPr>
          <w:rFonts w:hint="eastAsia" w:ascii="微软雅黑" w:hAnsi="微软雅黑"/>
          <w:bCs/>
          <w:sz w:val="24"/>
          <w:szCs w:val="24"/>
          <w:lang w:val="en-US" w:eastAsia="zh-CN"/>
        </w:rPr>
        <w:t/>
      </w:r>
    </w:p>
    <w:p w14:paraId="2AF1C6A0">
      <w:pPr>
        <w:spacing w:line="360" w:lineRule="auto"/>
        <w:ind w:left="297" w:leftChars="135" w:firstLine="836" w:firstLineChars="348"/>
        <w:rPr>
          <w:rFonts w:hint="default" w:ascii="微软雅黑" w:hAnsi="微软雅黑" w:eastAsia="微软雅黑" w:cs="微软雅黑"/>
          <w:bCs/>
          <w:sz w:val="24"/>
          <w:szCs w:val="24"/>
          <w:lang w:val="en-US" w:eastAsia="zh-CN"/>
        </w:rPr>
      </w:pPr>
      <w:r>
        <w:rPr>
          <w:rFonts w:ascii="微软雅黑" w:hAnsi="微软雅黑"/>
          <w:b/>
          <w:sz w:val="24"/>
          <w:szCs w:val="24"/>
        </w:rPr>
        <mc:AlternateContent>
          <mc:Choice Requires="wps">
            <w:drawing>
              <wp:anchor distT="0" distB="0" distL="114300" distR="114300" simplePos="0" relativeHeight="251672576" behindDoc="0" locked="0" layoutInCell="1" allowOverlap="1">
                <wp:simplePos x="0" y="0"/>
                <wp:positionH relativeFrom="column">
                  <wp:posOffset>1494790</wp:posOffset>
                </wp:positionH>
                <wp:positionV relativeFrom="paragraph">
                  <wp:posOffset>297180</wp:posOffset>
                </wp:positionV>
                <wp:extent cx="3120390" cy="6985"/>
                <wp:effectExtent l="0" t="0" r="0" b="0"/>
                <wp:wrapNone/>
                <wp:docPr id="1005" name="自选图形 25"/>
                <wp:cNvGraphicFramePr/>
                <a:graphic xmlns:a="http://schemas.openxmlformats.org/drawingml/2006/main">
                  <a:graphicData uri="http://schemas.microsoft.com/office/word/2010/wordprocessingShape">
                    <wps:wsp>
                      <wps:cNvCnPr/>
                      <wps:spPr>
                        <a:xfrm flipV="1">
                          <a:off x="0" y="0"/>
                          <a:ext cx="3120390" cy="6985"/>
                        </a:xfrm>
                        <a:prstGeom prst="straightConnector1">
                          <a:avLst/>
                        </a:prstGeom>
                        <a:ln w="9525" cap="flat" cmpd="sng">
                          <a:solidFill>
                            <a:srgbClr val="000000"/>
                          </a:solidFill>
                          <a:prstDash val="solid"/>
                          <a:headEnd type="none" w="med" len="med"/>
                          <a:tailEnd type="none" w="med" len="med"/>
                        </a:ln>
                        <a:effectLst/>
                      </wps:spPr>
                      <wps:bodyPr/>
                    </wps:wsp>
                  </a:graphicData>
                </a:graphic>
              </wp:anchor>
            </w:drawing>
          </mc:Choice>
          <mc:Fallback>
            <w:pict>
              <v:shape id="自选图形 25" o:spid="_x0000_s1026" o:spt="32" type="#_x0000_t32" style="position:absolute;left:0pt;flip:y;margin-left:117.7pt;margin-top:23.4pt;height:0.55pt;width:245.7pt;z-index:251672576;mso-width-relative:page;mso-height-relative:page;" filled="f" stroked="t" coordsize="21600,21600" o:gfxdata="UEsDBAoAAAAAAIdO4kAAAAAAAAAAAAAAAAAEAAAAZHJzL1BLAwQUAAAACACHTuJADralUtcAAAAJ AQAADwAAAGRycy9kb3ducmV2LnhtbE2PQU+DQBCF7yb+h82YeLNLEaFFlh5MNB4MSavet+wUUHYW 2S20/97pSW8z817efK/YnGwvJhx950jBchGBQKqd6ahR8PH+fLcC4YMmo3tHqOCMHjbl9VWhc+Nm 2uK0C43gEPK5VtCGMORS+rpFq/3CDUisHdxodeB1bKQZ9czhtpdxFKXS6o74Q6sHfGqx/t4drYIf ys6fiZxWX1UV0pfXt4awmpW6vVlGjyACnsKfGS74jA4lM+3dkYwXvYL4/iFhq4Ik5QpsyOLLsOdD tgZZFvJ/g/IXUEsDBBQAAAAIAIdO4kDhAFEjBwIAAAIEAAAOAAAAZHJzL2Uyb0RvYy54bWytUztu GzEQ7QPkDgT7aFcyZNgLrVxIcZogEZBPT/GzS4A/cGit1KULcoZ0KXOH5DYGnFtkyFUEx2lUZIvF DMl5M+/xcXGzt4bsZATtXUunk5oS6bgX2nUt/fD+9sUVJZCYE8x4J1t6kEBvls+fLYbQyJnvvREy EgRx0AyhpX1Koakq4L20DCY+SIebykfLEqaxq0RkA6JbU83q+rIafBQhei4BcHU9btIjYjwH0Cul uVx7fmelSyNqlIYlpAS9DkCXZVqlJE9vlQKZiGkpMk3lj00w3uZ/tVywposs9JofR2DnjPCEk2Xa YdMT1JolRu6i/gfKah49eJUm3NtqJFIUQRbT+ok273oWZOGCUkM4iQ7/D5a/2W0i0QKdUNdzShyz eOcPn7//+vTl/uvP+x/fyGyeVRoCNHh45TbxmEHYxEx5r6IlyujwEUGKCEiL7IvGh5PGcp8Ix8WL 6ay+uEb5Oe5dXl8V8GpEyWghQnolvSU5aCmkyHTXp5V3Di/Tx7ED272GhHNg4Z+CXGwcGVp6PceR CWdoToWmwNAGJAiuK9OBN1rcamNyBcRuuzKR7Fg2SPkyW8T961husmbQj+fK1midXjLx0gmSDgF1 c/hiaB7BSkGJkfjAcoSArElMm3NOYmvjcoEs9j3yzPKPgudo68Wh3EOVM7RGmfho4+y9xznGj5/u 8jdQSwMECgAAAAAAh07iQAAAAAAAAAAAAAAAAAYAAABfcmVscy9QSwMEFAAAAAgAh07iQIoUZjzR AAAAlAEAAAsAAABfcmVscy8ucmVsc6WQwWrDMAyG74O9g9F9cZrDGKNOL6PQa+kewNiKYxpbRjLZ +vbzDoNl9LajfqHvE//+8JkWtSJLpGxg1/WgMDvyMQcD75fj0wsoqTZ7u1BGAzcUOIyPD/szLra2 I5ljEdUoWQzMtZZXrcXNmKx0VDC3zUScbG0jB12su9qAeuj7Z82/GTBumOrkDfDJD6Aut9LMf9gp OiahqXaOkqZpiu4eVQe2ZY7uyDbhG7lGsxywGvAsGgdqWdd+BH1fv/un3tNHPuO61X6HjOuPV2+6 HL8AUEsDBBQAAAAIAIdO4kB+5uUg9wAAAOEBAAATAAAAW0NvbnRlbnRfVHlwZXNdLnhtbJWRQU7D MBBF90jcwfIWJU67QAgl6YK0S0CoHGBkTxKLZGx5TGhvj5O2G0SRWNoz/78nu9wcxkFMGNg6quQq L6RA0s5Y6ir5vt9lD1JwBDIwOMJKHpHlpr69KfdHjyxSmriSfYz+USnWPY7AufNIadK6MEJMx9Ap D/oDOlTrorhX2lFEilmcO2RdNtjC5xDF9pCuTyYBB5bi6bQ4syoJ3g9WQ0ymaiLzg5KdCXlKLjvc W893SUOqXwnz5DrgnHtJTxOsQfEKIT7DmDSUCayM+6KAU/53yWw5cuba1mrMm8BNir3hdLG61o5r 1zj93/Ltkrp0q+WD6m9QSwECFAAUAAAACACHTuJAfublIPcAAADhAQAAEwAAAAAAAAABACAAAAB3 BAAAW0NvbnRlbnRfVHlwZXNdLnhtbFBLAQIUAAoAAAAAAIdO4kAAAAAAAAAAAAAAAAAGAAAAAAAA AAAAEAAAAFkDAABfcmVscy9QSwECFAAUAAAACACHTuJAihRmPNEAAACUAQAACwAAAAAAAAABACAA AAB9AwAAX3JlbHMvLnJlbHNQSwECFAAKAAAAAACHTuJAAAAAAAAAAAAAAAAABAAAAAAAAAAAABAA AAAAAAAAZHJzL1BLAQIUABQAAAAIAIdO4kAOtqVS1wAAAAkBAAAPAAAAAAAAAAEAIAAAACIAAABk cnMvZG93bnJldi54bWxQSwECFAAUAAAACACHTuJA4QBRIwcCAAACBAAADgAAAAAAAAABACAAAAAm AQAAZHJzL2Uyb0RvYy54bWxQSwUGAAAAAAYABgBZAQAAnwUAAAAA ">
                <v:fill on="f" focussize="0,0"/>
                <v:stroke color="#000000" joinstyle="round"/>
                <v:imagedata o:title=""/>
                <o:lock v:ext="edit" aspectratio="f"/>
              </v:shape>
            </w:pict>
          </mc:Fallback>
        </mc:AlternateContent>
      </w:r>
      <w:r>
        <w:rPr>
          <w:rFonts w:hint="eastAsia" w:ascii="微软雅黑" w:hAnsi="微软雅黑"/>
          <w:b/>
          <w:sz w:val="24"/>
          <w:szCs w:val="24"/>
        </w:rPr>
        <w:t>送检日期</w:t>
      </w:r>
      <w:r>
        <w:rPr>
          <w:rFonts w:ascii="微软雅黑" w:hAnsi="微软雅黑"/>
          <w:b/>
          <w:sz w:val="24"/>
          <w:szCs w:val="24"/>
        </w:rPr>
        <w:t>：</w:t>
      </w:r>
      <w:r>
        <w:rPr>
          <w:rFonts w:hint="eastAsia" w:ascii="微软雅黑" w:hAnsi="微软雅黑"/>
          <w:b/>
          <w:sz w:val="24"/>
          <w:szCs w:val="24"/>
        </w:rPr>
        <w:t xml:space="preserve">                </w:t>
      </w:r>
      <w:r>
        <w:rPr>
          <w:rFonts w:hint="eastAsia" w:ascii="微软雅黑" w:hAnsi="微软雅黑"/>
          <w:bCs/>
          <w:sz w:val="24"/>
          <w:szCs w:val="24"/>
        </w:rPr>
        <w:t>{{ sample_date }}</w:t>
      </w:r>
      <w:r>
        <w:rPr>
          <w:rFonts w:hint="eastAsia" w:ascii="微软雅黑" w:hAnsi="微软雅黑"/>
          <w:bCs/>
          <w:sz w:val="24"/>
          <w:szCs w:val="24"/>
          <w:lang w:val="en-US" w:eastAsia="zh-CN"/>
        </w:rPr>
        <w:t/>
      </w:r>
    </w:p>
    <w:p w14:paraId="052DA000">
      <w:pPr>
        <w:spacing w:line="360" w:lineRule="auto"/>
        <w:ind w:left="297" w:leftChars="135" w:firstLine="836" w:firstLineChars="348"/>
        <w:rPr>
          <w:rFonts w:hint="default" w:ascii="微软雅黑" w:hAnsi="微软雅黑" w:eastAsia="微软雅黑"/>
          <w:sz w:val="24"/>
          <w:szCs w:val="24"/>
          <w:lang w:val="en-US" w:eastAsia="zh-CN"/>
        </w:rPr>
      </w:pPr>
      <w:r>
        <w:rPr>
          <w:rFonts w:ascii="微软雅黑" w:hAnsi="微软雅黑"/>
          <w:b/>
          <w:sz w:val="24"/>
          <w:szCs w:val="24"/>
        </w:rPr>
        <mc:AlternateContent>
          <mc:Choice Requires="wps">
            <w:drawing>
              <wp:anchor distT="0" distB="0" distL="114300" distR="114300" simplePos="0" relativeHeight="251673600" behindDoc="0" locked="0" layoutInCell="1" allowOverlap="1">
                <wp:simplePos x="0" y="0"/>
                <wp:positionH relativeFrom="column">
                  <wp:posOffset>1494790</wp:posOffset>
                </wp:positionH>
                <wp:positionV relativeFrom="paragraph">
                  <wp:posOffset>320675</wp:posOffset>
                </wp:positionV>
                <wp:extent cx="3120390" cy="6985"/>
                <wp:effectExtent l="0" t="0" r="0" b="0"/>
                <wp:wrapNone/>
                <wp:docPr id="1006" name="自选图形 26"/>
                <wp:cNvGraphicFramePr/>
                <a:graphic xmlns:a="http://schemas.openxmlformats.org/drawingml/2006/main">
                  <a:graphicData uri="http://schemas.microsoft.com/office/word/2010/wordprocessingShape">
                    <wps:wsp>
                      <wps:cNvCnPr/>
                      <wps:spPr>
                        <a:xfrm>
                          <a:off x="0" y="0"/>
                          <a:ext cx="3120390" cy="6985"/>
                        </a:xfrm>
                        <a:prstGeom prst="straightConnector1">
                          <a:avLst/>
                        </a:prstGeom>
                        <a:ln w="9525" cap="flat" cmpd="sng">
                          <a:solidFill>
                            <a:srgbClr val="000000"/>
                          </a:solidFill>
                          <a:prstDash val="solid"/>
                          <a:headEnd type="none" w="med" len="med"/>
                          <a:tailEnd type="none" w="med" len="med"/>
                        </a:ln>
                        <a:effectLst/>
                      </wps:spPr>
                      <wps:bodyPr/>
                    </wps:wsp>
                  </a:graphicData>
                </a:graphic>
              </wp:anchor>
            </w:drawing>
          </mc:Choice>
          <mc:Fallback>
            <w:pict>
              <v:shape id="自选图形 26" o:spid="_x0000_s1026" o:spt="32" type="#_x0000_t32" style="position:absolute;left:0pt;margin-left:117.7pt;margin-top:25.25pt;height:0.55pt;width:245.7pt;z-index:251673600;mso-width-relative:page;mso-height-relative:page;" filled="f" stroked="t" coordsize="21600,21600" o:gfxdata="UEsDBAoAAAAAAIdO4kAAAAAAAAAAAAAAAAAEAAAAZHJzL1BLAwQUAAAACACHTuJA48kIIdgAAAAJ AQAADwAAAGRycy9kb3ducmV2LnhtbE2PwU7DMAyG70h7h8hIXBBLWmiB0nSakDjsyDaJa9aYttA4 VZOuY0+Pd4Kj7U+/v79cnVwvjjiGzpOGZKlAINXedtRo2O/e7p5AhGjImt4TavjBAKtqcVWawvqZ 3vG4jY3gEAqF0dDGOBRShrpFZ8LSD0h8+/SjM5HHsZF2NDOHu16mSuXSmY74Q2sGfG2x/t5OTgOG KUvU+tk1+815vv1Iz1/zsNP65jpRLyAinuIfDBd9VoeKnQ5+IhtEryG9zx4Y1ZCpDAQDj2nOXQ68 SHKQVSn/N6h+AVBLAwQUAAAACACHTuJAD9fvhf4BAAD4AwAADgAAAGRycy9lMm9Eb2MueG1srVPN jtMwEL4j8Q6W7zRpV622UdM9tCwXBJWAB3BtJ7HkP3m8TXvjhngGbhx5B3iblZa3YOyEsiyXHsjB mbFnvpnv83h1czSaHGQA5WxNp5OSEmm5E8q2Nf3w/vbFNSUQmRVMOytrepJAb9bPn616X8mZ65wW MhAEsVD1vqZdjL4qCuCdNAwmzkuLh40LhkV0Q1uIwHpEN7qYleWi6F0QPjguAXB3OxzSETFcAuia RnG5dfzOSBsH1CA1i0gJOuWBrnO3TSN5fNs0ICPRNUWmMa9YBO19Wov1ilVtYL5TfGyBXdLCE06G KYtFz1BbFhm5C+ofKKN4cOCaOOHOFAORrAiymJZPtHnXMS8zF5Qa/Fl0+H+w/M1hF4gSOAl4N5RY ZvDOHz59+/nx8/2XH/ffv5LZIqnUe6gweGN3YfTA70KifGyCSX8kQ45Z2dNZWXmMhOPm1XRWXi1R dI5ni+X1PEEWf3J9gPhKOkOSUVOIgam2ixtnLV6hC9MsLju8hjgk/k5IhbUlfU2X89kc8RmOZIOj gKbxSAtsm3PBaSVuldYpA0K73+hADiyNRf7Ghv4KS0W2DLohLh+lMFZ1komXVpB48qiWxXdCUwtG Ckq0xGeVrBwZmdKXRKIW2iZomYd25JlEH2RO1t6JU1a/SB4ORJZwHN40cY99tB8/2PUvUEsDBAoA AAAAAIdO4kAAAAAAAAAAAAAAAAAGAAAAX3JlbHMvUEsDBBQAAAAIAIdO4kCKFGY80QAAAJQBAAAL AAAAX3JlbHMvLnJlbHOlkMFqwzAMhu+DvYPRfXGawxijTi+j0GvpHsDYimMaW0Yy2fr28w6DZfS2 o36h7xP//vCZFrUiS6RsYNf1oDA78jEHA++X49MLKKk2e7tQRgM3FDiMjw/7My62tiOZYxHVKFkM zLWWV63FzZisdFQwt81EnGxtIwddrLvagHro+2fNvxkwbpjq5A3wyQ+gLrfSzH/YKTomoal2jpKm aYruHlUHtmWO7sg24Ru5RrMcsBrwLBoHalnXfgR9X7/7p97TRz7jutV+h4zrj1dvuhy/AFBLAwQU AAAACACHTuJAfublIPcAAADhAQAAEwAAAFtDb250ZW50X1R5cGVzXS54bWyVkUFOwzAQRfdI3MHy FiVOu0AIJemCtEtAqBxgZE8Si2RseUxob4+TthtEkVjaM/+/J7vcHMZBTBjYOqrkKi+kQNLOWOoq +b7fZQ9ScAQyMDjCSh6R5aa+vSn3R48sUpq4kn2M/lEp1j2OwLnzSGnSujBCTMfQKQ/6AzpU66K4 V9pRRIpZnDtkXTbYwucQxfaQrk8mAQeW4um0OLMqCd4PVkNMpmoi84OSnQl5Si473FvPd0lDql8J 8+Q64Jx7SU8TrEHxCiE+w5g0lAmsjPuigFP+d8lsOXLm2tZqzJvATYq94XSxutaOa9c4/d/y7ZK6 dKvlg+pvUEsBAhQAFAAAAAgAh07iQH7m5SD3AAAA4QEAABMAAAAAAAAAAQAgAAAAbwQAAFtDb250 ZW50X1R5cGVzXS54bWxQSwECFAAKAAAAAACHTuJAAAAAAAAAAAAAAAAABgAAAAAAAAAAABAAAABR AwAAX3JlbHMvUEsBAhQAFAAAAAgAh07iQIoUZjzRAAAAlAEAAAsAAAAAAAAAAQAgAAAAdQMAAF9y ZWxzLy5yZWxzUEsBAhQACgAAAAAAh07iQAAAAAAAAAAAAAAAAAQAAAAAAAAAAAAQAAAAAAAAAGRy cy9QSwECFAAUAAAACACHTuJA48kIIdgAAAAJAQAADwAAAAAAAAABACAAAAAiAAAAZHJzL2Rvd25y ZXYueG1sUEsBAhQAFAAAAAgAh07iQA/X74X+AQAA+AMAAA4AAAAAAAAAAQAgAAAAJwEAAGRycy9l Mm9Eb2MueG1sUEsFBgAAAAAGAAYAWQEAAJcFAAAAAA== ">
                <v:fill on="f" focussize="0,0"/>
                <v:stroke color="#000000" joinstyle="round"/>
                <v:imagedata o:title=""/>
                <o:lock v:ext="edit" aspectratio="f"/>
              </v:shape>
            </w:pict>
          </mc:Fallback>
        </mc:AlternateContent>
      </w:r>
      <w:r>
        <w:rPr>
          <w:rFonts w:hint="eastAsia" w:ascii="微软雅黑" w:hAnsi="微软雅黑"/>
          <w:b/>
          <w:sz w:val="24"/>
          <w:szCs w:val="24"/>
        </w:rPr>
        <w:t xml:space="preserve">报告日期：          </w:t>
      </w:r>
      <w:r>
        <w:rPr>
          <w:rFonts w:hint="eastAsia" w:ascii="微软雅黑" w:hAnsi="微软雅黑"/>
          <w:b/>
          <w:color w:val="FF0000"/>
          <w:sz w:val="24"/>
          <w:szCs w:val="24"/>
        </w:rPr>
        <w:t xml:space="preserve">      </w:t>
      </w:r>
      <w:r>
        <w:rPr>
          <w:rFonts w:hint="eastAsia" w:ascii="微软雅黑" w:hAnsi="微软雅黑"/>
          <w:bCs/>
          <w:sz w:val="24"/>
          <w:szCs w:val="24"/>
        </w:rPr>
        <w:t>{{ report_date }}</w:t>
      </w:r>
      <w:r>
        <w:rPr>
          <w:rFonts w:hint="eastAsia" w:ascii="微软雅黑" w:hAnsi="微软雅黑"/>
          <w:bCs/>
          <w:sz w:val="24"/>
          <w:szCs w:val="24"/>
          <w:lang w:val="en-US" w:eastAsia="zh-CN"/>
        </w:rPr>
        <w:t/>
      </w:r>
    </w:p>
    <w:p w14:paraId="235D47CC">
      <w:pPr>
        <w:adjustRightInd/>
        <w:snapToGrid/>
        <w:spacing w:line="220" w:lineRule="atLeast"/>
        <w:rPr>
          <w:sz w:val="20"/>
          <w:szCs w:val="20"/>
        </w:rPr>
      </w:pPr>
      <w:r>
        <w:rPr>
          <w:rFonts w:ascii="微软雅黑" w:hAnsi="微软雅黑"/>
          <w:b/>
          <w:color w:val="3D5E18"/>
          <w:sz w:val="32"/>
          <w:szCs w:val="32"/>
        </w:rPr>
        <w:br w:type="page"/>
      </w:r>
    </w:p>
    <w:p w14:paraId="60E32C51">
      <w:pPr>
        <w:tabs>
          <w:tab w:val="left" w:pos="2312"/>
        </w:tabs>
        <w:spacing w:after="0" w:line="240" w:lineRule="atLeast"/>
        <w:rPr>
          <w:sz w:val="20"/>
          <w:szCs w:val="20"/>
        </w:rPr>
      </w:pPr>
    </w:p>
    <w:p w14:paraId="2964E5C1">
      <w:pPr>
        <w:tabs>
          <w:tab w:val="left" w:pos="2312"/>
        </w:tabs>
        <w:spacing w:after="0" w:line="240" w:lineRule="atLeast"/>
        <w:rPr>
          <w:sz w:val="20"/>
          <w:szCs w:val="20"/>
        </w:rPr>
      </w:pPr>
    </w:p>
    <w:p w14:paraId="635F9D8B">
      <w:pPr>
        <w:tabs>
          <w:tab w:val="left" w:pos="2312"/>
        </w:tabs>
        <w:spacing w:after="0" w:line="240" w:lineRule="atLeast"/>
        <w:rPr>
          <w:sz w:val="20"/>
          <w:szCs w:val="20"/>
        </w:rPr>
      </w:pPr>
    </w:p>
    <w:p w14:paraId="47FD4346">
      <w:pPr>
        <w:tabs>
          <w:tab w:val="left" w:pos="2312"/>
        </w:tabs>
        <w:spacing w:after="0" w:line="240" w:lineRule="atLeast"/>
        <w:rPr>
          <w:sz w:val="20"/>
          <w:szCs w:val="20"/>
        </w:rPr>
      </w:pPr>
    </w:p>
    <w:p w14:paraId="28FE2E95">
      <w:pPr>
        <w:tabs>
          <w:tab w:val="left" w:pos="2312"/>
        </w:tabs>
        <w:spacing w:after="0" w:line="240" w:lineRule="atLeast"/>
        <w:rPr>
          <w:sz w:val="20"/>
          <w:szCs w:val="20"/>
        </w:rPr>
      </w:pPr>
    </w:p>
    <w:p w14:paraId="3E611981">
      <w:pPr>
        <w:tabs>
          <w:tab w:val="left" w:pos="2312"/>
        </w:tabs>
        <w:spacing w:after="0" w:line="240" w:lineRule="atLeast"/>
        <w:rPr>
          <w:sz w:val="20"/>
          <w:szCs w:val="20"/>
        </w:rPr>
      </w:pPr>
    </w:p>
    <w:p w14:paraId="48397FB2">
      <w:pPr>
        <w:tabs>
          <w:tab w:val="left" w:pos="2312"/>
        </w:tabs>
        <w:spacing w:after="0" w:line="240" w:lineRule="atLeast"/>
        <w:rPr>
          <w:sz w:val="20"/>
          <w:szCs w:val="20"/>
        </w:rPr>
      </w:pPr>
    </w:p>
    <w:p w14:paraId="0E9A561F">
      <w:pPr>
        <w:tabs>
          <w:tab w:val="left" w:pos="2312"/>
        </w:tabs>
        <w:spacing w:after="0" w:line="240" w:lineRule="atLeast"/>
        <w:rPr>
          <w:sz w:val="20"/>
          <w:szCs w:val="20"/>
        </w:rPr>
      </w:pPr>
    </w:p>
    <w:p w14:paraId="5E5832A1">
      <w:pPr>
        <w:tabs>
          <w:tab w:val="left" w:pos="2312"/>
        </w:tabs>
        <w:spacing w:after="0" w:line="240" w:lineRule="atLeast"/>
        <w:rPr>
          <w:sz w:val="20"/>
          <w:szCs w:val="20"/>
        </w:rPr>
      </w:pPr>
    </w:p>
    <w:p w14:paraId="2490B3BE">
      <w:pPr>
        <w:tabs>
          <w:tab w:val="left" w:pos="2312"/>
        </w:tabs>
        <w:spacing w:after="0" w:line="240" w:lineRule="atLeast"/>
        <w:rPr>
          <w:sz w:val="20"/>
          <w:szCs w:val="20"/>
        </w:rPr>
      </w:pPr>
    </w:p>
    <w:p w14:paraId="2FA4B0FB">
      <w:pPr>
        <w:tabs>
          <w:tab w:val="left" w:pos="2312"/>
        </w:tabs>
        <w:spacing w:after="0" w:line="240" w:lineRule="atLeast"/>
        <w:rPr>
          <w:sz w:val="20"/>
          <w:szCs w:val="20"/>
        </w:rPr>
      </w:pPr>
    </w:p>
    <w:p w14:paraId="7B50429B">
      <w:pPr>
        <w:tabs>
          <w:tab w:val="left" w:pos="2312"/>
        </w:tabs>
        <w:spacing w:after="0" w:line="240" w:lineRule="atLeast"/>
        <w:rPr>
          <w:sz w:val="20"/>
          <w:szCs w:val="20"/>
        </w:rPr>
      </w:pPr>
    </w:p>
    <w:p w14:paraId="2E187D9D">
      <w:pPr>
        <w:tabs>
          <w:tab w:val="left" w:pos="2312"/>
        </w:tabs>
        <w:spacing w:after="0" w:line="240" w:lineRule="atLeast"/>
        <w:rPr>
          <w:sz w:val="20"/>
          <w:szCs w:val="20"/>
        </w:rPr>
      </w:pPr>
    </w:p>
    <w:p w14:paraId="564D2484">
      <w:pPr>
        <w:tabs>
          <w:tab w:val="left" w:pos="2312"/>
        </w:tabs>
        <w:spacing w:after="0" w:line="240" w:lineRule="atLeast"/>
        <w:rPr>
          <w:sz w:val="20"/>
          <w:szCs w:val="20"/>
        </w:rPr>
      </w:pPr>
    </w:p>
    <w:p w14:paraId="37E8A29A">
      <w:pPr>
        <w:tabs>
          <w:tab w:val="left" w:pos="2312"/>
        </w:tabs>
        <w:spacing w:after="0" w:line="240" w:lineRule="atLeast"/>
        <w:rPr>
          <w:sz w:val="20"/>
          <w:szCs w:val="20"/>
        </w:rPr>
      </w:pPr>
    </w:p>
    <w:p w14:paraId="1AB54AF1">
      <w:pPr>
        <w:tabs>
          <w:tab w:val="left" w:pos="2312"/>
        </w:tabs>
        <w:spacing w:after="0" w:line="240" w:lineRule="atLeast"/>
        <w:rPr>
          <w:sz w:val="20"/>
          <w:szCs w:val="20"/>
        </w:rPr>
      </w:pPr>
    </w:p>
    <w:p w14:paraId="7A30E6DC">
      <w:pPr>
        <w:tabs>
          <w:tab w:val="left" w:pos="2312"/>
        </w:tabs>
        <w:spacing w:after="0" w:line="240" w:lineRule="atLeast"/>
        <w:rPr>
          <w:sz w:val="20"/>
          <w:szCs w:val="20"/>
        </w:rPr>
      </w:pPr>
    </w:p>
    <w:p w14:paraId="0CBDB812">
      <w:pPr>
        <w:tabs>
          <w:tab w:val="left" w:pos="2312"/>
        </w:tabs>
        <w:spacing w:after="0" w:line="240" w:lineRule="atLeast"/>
        <w:rPr>
          <w:sz w:val="20"/>
          <w:szCs w:val="20"/>
        </w:rPr>
      </w:pPr>
    </w:p>
    <w:p w14:paraId="23A97B61">
      <w:pPr>
        <w:tabs>
          <w:tab w:val="left" w:pos="2312"/>
        </w:tabs>
        <w:spacing w:after="0" w:line="240" w:lineRule="atLeast"/>
        <w:rPr>
          <w:sz w:val="20"/>
          <w:szCs w:val="20"/>
        </w:rPr>
      </w:pPr>
    </w:p>
    <w:p w14:paraId="2E4B9A79">
      <w:pPr>
        <w:tabs>
          <w:tab w:val="left" w:pos="2312"/>
        </w:tabs>
        <w:spacing w:after="0" w:line="240" w:lineRule="atLeast"/>
        <w:rPr>
          <w:sz w:val="20"/>
          <w:szCs w:val="20"/>
        </w:rPr>
      </w:pPr>
    </w:p>
    <w:p w14:paraId="57991455">
      <w:pPr>
        <w:tabs>
          <w:tab w:val="left" w:pos="2312"/>
        </w:tabs>
        <w:spacing w:after="0" w:line="240" w:lineRule="atLeast"/>
        <w:rPr>
          <w:sz w:val="20"/>
          <w:szCs w:val="20"/>
        </w:rPr>
      </w:pPr>
    </w:p>
    <w:p w14:paraId="6A0709D1">
      <w:pPr>
        <w:tabs>
          <w:tab w:val="left" w:pos="2312"/>
        </w:tabs>
        <w:spacing w:after="0" w:line="240" w:lineRule="atLeast"/>
        <w:rPr>
          <w:sz w:val="20"/>
          <w:szCs w:val="20"/>
        </w:rPr>
      </w:pPr>
    </w:p>
    <w:p w14:paraId="232F9950">
      <w:pPr>
        <w:tabs>
          <w:tab w:val="left" w:pos="2312"/>
        </w:tabs>
        <w:spacing w:after="0" w:line="240" w:lineRule="atLeast"/>
        <w:rPr>
          <w:sz w:val="20"/>
          <w:szCs w:val="20"/>
        </w:rPr>
      </w:pPr>
    </w:p>
    <w:p w14:paraId="7DF3EC2E">
      <w:pPr>
        <w:tabs>
          <w:tab w:val="left" w:pos="2312"/>
        </w:tabs>
        <w:spacing w:after="0" w:line="240" w:lineRule="atLeast"/>
        <w:rPr>
          <w:sz w:val="20"/>
          <w:szCs w:val="20"/>
        </w:rPr>
      </w:pPr>
    </w:p>
    <w:p w14:paraId="3EA5A232">
      <w:pPr>
        <w:tabs>
          <w:tab w:val="left" w:pos="2312"/>
        </w:tabs>
        <w:spacing w:after="0" w:line="240" w:lineRule="atLeast"/>
        <w:rPr>
          <w:sz w:val="20"/>
          <w:szCs w:val="20"/>
        </w:rPr>
      </w:pPr>
    </w:p>
    <w:p w14:paraId="5DA5603C">
      <w:pPr>
        <w:tabs>
          <w:tab w:val="left" w:pos="2312"/>
        </w:tabs>
        <w:spacing w:after="0" w:line="240" w:lineRule="atLeast"/>
        <w:rPr>
          <w:sz w:val="20"/>
          <w:szCs w:val="20"/>
        </w:rPr>
      </w:pPr>
    </w:p>
    <w:p w14:paraId="2861ED8B">
      <w:pPr>
        <w:tabs>
          <w:tab w:val="left" w:pos="2312"/>
        </w:tabs>
        <w:spacing w:after="0" w:line="240" w:lineRule="atLeast"/>
        <w:rPr>
          <w:sz w:val="20"/>
          <w:szCs w:val="20"/>
        </w:rPr>
      </w:pPr>
    </w:p>
    <w:p w14:paraId="6C823519">
      <w:pPr>
        <w:tabs>
          <w:tab w:val="left" w:pos="2312"/>
        </w:tabs>
        <w:spacing w:after="0" w:line="240" w:lineRule="atLeast"/>
        <w:rPr>
          <w:sz w:val="20"/>
          <w:szCs w:val="20"/>
        </w:rPr>
      </w:pPr>
    </w:p>
    <w:p w14:paraId="19C46F08">
      <w:pPr>
        <w:tabs>
          <w:tab w:val="left" w:pos="2312"/>
        </w:tabs>
        <w:spacing w:after="0" w:line="240" w:lineRule="atLeast"/>
        <w:rPr>
          <w:sz w:val="20"/>
          <w:szCs w:val="20"/>
        </w:rPr>
      </w:pPr>
    </w:p>
    <w:p w14:paraId="0B399909">
      <w:pPr>
        <w:tabs>
          <w:tab w:val="left" w:pos="2312"/>
        </w:tabs>
        <w:spacing w:after="0" w:line="240" w:lineRule="atLeast"/>
        <w:rPr>
          <w:sz w:val="20"/>
          <w:szCs w:val="20"/>
        </w:rPr>
      </w:pPr>
    </w:p>
    <w:p w14:paraId="576BCB33">
      <w:pPr>
        <w:tabs>
          <w:tab w:val="left" w:pos="2312"/>
        </w:tabs>
        <w:spacing w:after="0" w:line="240" w:lineRule="atLeast"/>
        <w:rPr>
          <w:rFonts w:ascii="微软雅黑" w:hAnsi="微软雅黑"/>
          <w:b/>
          <w:sz w:val="30"/>
          <w:szCs w:val="30"/>
        </w:rPr>
      </w:pPr>
      <w:r>
        <w:rPr>
          <w:rFonts w:hint="eastAsia" w:ascii="微软雅黑" w:hAnsi="微软雅黑"/>
          <w:b/>
          <w:sz w:val="30"/>
          <w:szCs w:val="30"/>
        </w:rPr>
        <w:t>报告导读</w:t>
      </w:r>
      <w:r>
        <w:rPr>
          <w:rFonts w:ascii="微软雅黑" w:hAnsi="微软雅黑"/>
          <w:b/>
          <w:sz w:val="30"/>
          <w:szCs w:val="30"/>
        </w:rPr>
        <w:tab/>
      </w:r>
    </w:p>
    <w:p w14:paraId="34814F28">
      <w:pPr>
        <w:tabs>
          <w:tab w:val="left" w:pos="2312"/>
        </w:tabs>
        <w:spacing w:after="0" w:line="240" w:lineRule="atLeast"/>
        <w:rPr>
          <w:rFonts w:ascii="微软雅黑" w:hAnsi="微软雅黑"/>
          <w:b/>
          <w:sz w:val="30"/>
          <w:szCs w:val="30"/>
        </w:rPr>
      </w:pPr>
    </w:p>
    <w:p w14:paraId="1B44EA2A">
      <w:pPr>
        <w:tabs>
          <w:tab w:val="left" w:pos="660"/>
          <w:tab w:val="left" w:pos="2312"/>
        </w:tabs>
        <w:spacing w:after="0" w:line="288" w:lineRule="auto"/>
        <w:ind w:left="657" w:hanging="657" w:hangingChars="313"/>
        <w:jc w:val="both"/>
        <w:rPr>
          <w:rFonts w:ascii="微软雅黑" w:hAnsi="微软雅黑"/>
          <w:sz w:val="21"/>
          <w:szCs w:val="21"/>
        </w:rPr>
      </w:pPr>
      <w:r>
        <w:rPr>
          <w:rFonts w:hint="eastAsia" w:ascii="微软雅黑" w:hAnsi="微软雅黑"/>
          <w:sz w:val="21"/>
          <w:szCs w:val="21"/>
        </w:rPr>
        <w:drawing>
          <wp:anchor distT="0" distB="0" distL="114300" distR="114300" simplePos="0" relativeHeight="251661312" behindDoc="0" locked="0" layoutInCell="1" allowOverlap="1">
            <wp:simplePos x="0" y="0"/>
            <wp:positionH relativeFrom="column">
              <wp:posOffset>0</wp:posOffset>
            </wp:positionH>
            <wp:positionV relativeFrom="paragraph">
              <wp:posOffset>0</wp:posOffset>
            </wp:positionV>
            <wp:extent cx="226060" cy="226060"/>
            <wp:effectExtent l="0" t="0" r="0" b="2540"/>
            <wp:wrapSquare wrapText="bothSides"/>
            <wp:docPr id="1007" name="图片 26"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 name="图片 26" descr="脉络生物-单色LOGO"/>
                    <pic:cNvPicPr>
                      <a:picLocks noChangeAspect="1"/>
                    </pic:cNvPicPr>
                  </pic:nvPicPr>
                  <pic:blipFill>
                    <a:blip r:embed="rId20" cstate="print"/>
                    <a:stretch>
                      <a:fillRect/>
                    </a:stretch>
                  </pic:blipFill>
                  <pic:spPr>
                    <a:xfrm>
                      <a:off x="0" y="0"/>
                      <a:ext cx="226060" cy="226060"/>
                    </a:xfrm>
                    <a:prstGeom prst="rect">
                      <a:avLst/>
                    </a:prstGeom>
                  </pic:spPr>
                </pic:pic>
              </a:graphicData>
            </a:graphic>
          </wp:anchor>
        </w:drawing>
      </w:r>
      <w:r>
        <w:rPr>
          <w:rFonts w:hint="eastAsia" w:ascii="微软雅黑" w:hAnsi="微软雅黑"/>
          <w:sz w:val="21"/>
          <w:szCs w:val="21"/>
        </w:rPr>
        <w:t>报告第一部分：检测报告的基本信息。包括患者及样本信息、检测内容。</w:t>
      </w:r>
    </w:p>
    <w:p w14:paraId="55C7E305">
      <w:pPr>
        <w:tabs>
          <w:tab w:val="left" w:pos="2312"/>
        </w:tabs>
        <w:spacing w:after="0" w:line="288" w:lineRule="auto"/>
        <w:ind w:left="550" w:leftChars="250"/>
        <w:jc w:val="both"/>
        <w:rPr>
          <w:rFonts w:ascii="微软雅黑" w:hAnsi="微软雅黑"/>
          <w:sz w:val="21"/>
          <w:szCs w:val="21"/>
        </w:rPr>
      </w:pPr>
      <w:r>
        <w:rPr>
          <w:rFonts w:hint="eastAsia" w:ascii="微软雅黑" w:hAnsi="微软雅黑"/>
          <w:sz w:val="21"/>
          <w:szCs w:val="21"/>
        </w:rPr>
        <w:drawing>
          <wp:anchor distT="0" distB="0" distL="114300" distR="114300" simplePos="0" relativeHeight="251662336" behindDoc="0" locked="0" layoutInCell="1" allowOverlap="1">
            <wp:simplePos x="0" y="0"/>
            <wp:positionH relativeFrom="column">
              <wp:posOffset>0</wp:posOffset>
            </wp:positionH>
            <wp:positionV relativeFrom="paragraph">
              <wp:posOffset>0</wp:posOffset>
            </wp:positionV>
            <wp:extent cx="226060" cy="226060"/>
            <wp:effectExtent l="0" t="0" r="0" b="2540"/>
            <wp:wrapSquare wrapText="bothSides"/>
            <wp:docPr id="1008" name="图片 31"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 name="图片 31" descr="脉络生物-单色LOGO"/>
                    <pic:cNvPicPr>
                      <a:picLocks noChangeAspect="1"/>
                    </pic:cNvPicPr>
                  </pic:nvPicPr>
                  <pic:blipFill>
                    <a:blip r:embed="rId20" cstate="print"/>
                    <a:stretch>
                      <a:fillRect/>
                    </a:stretch>
                  </pic:blipFill>
                  <pic:spPr>
                    <a:xfrm>
                      <a:off x="0" y="0"/>
                      <a:ext cx="226060" cy="226060"/>
                    </a:xfrm>
                    <a:prstGeom prst="rect">
                      <a:avLst/>
                    </a:prstGeom>
                  </pic:spPr>
                </pic:pic>
              </a:graphicData>
            </a:graphic>
          </wp:anchor>
        </w:drawing>
      </w:r>
      <w:r>
        <w:rPr>
          <w:rFonts w:hint="eastAsia" w:ascii="微软雅黑" w:hAnsi="微软雅黑"/>
          <w:sz w:val="21"/>
          <w:szCs w:val="21"/>
        </w:rPr>
        <w:t>报告第二部分</w:t>
      </w:r>
      <w:r>
        <w:rPr>
          <w:rFonts w:ascii="微软雅黑" w:hAnsi="微软雅黑"/>
          <w:sz w:val="21"/>
          <w:szCs w:val="21"/>
        </w:rPr>
        <w:t>：</w:t>
      </w:r>
      <w:r>
        <w:rPr>
          <w:rFonts w:hint="eastAsia" w:ascii="微软雅黑" w:hAnsi="微软雅黑"/>
          <w:sz w:val="21"/>
          <w:szCs w:val="21"/>
        </w:rPr>
        <w:t>检测结果（提供本次检测涉及的靶向治疗、免疫治疗等综合检测结果），是本报告的关键信息。</w:t>
      </w:r>
    </w:p>
    <w:p w14:paraId="5EFF7EFE">
      <w:pPr>
        <w:tabs>
          <w:tab w:val="left" w:pos="660"/>
          <w:tab w:val="left" w:pos="2312"/>
        </w:tabs>
        <w:spacing w:after="0" w:line="288" w:lineRule="auto"/>
        <w:ind w:left="550" w:leftChars="250"/>
        <w:jc w:val="both"/>
        <w:rPr>
          <w:rFonts w:ascii="微软雅黑" w:hAnsi="微软雅黑"/>
          <w:sz w:val="21"/>
          <w:szCs w:val="21"/>
        </w:rPr>
      </w:pPr>
      <w:r>
        <w:rPr>
          <w:rFonts w:hint="eastAsia" w:ascii="微软雅黑" w:hAnsi="微软雅黑"/>
          <w:sz w:val="21"/>
          <w:szCs w:val="21"/>
        </w:rPr>
        <w:drawing>
          <wp:anchor distT="0" distB="0" distL="114935" distR="114935" simplePos="0" relativeHeight="251666432" behindDoc="1" locked="0" layoutInCell="1" allowOverlap="1">
            <wp:simplePos x="0" y="0"/>
            <wp:positionH relativeFrom="column">
              <wp:posOffset>-323215</wp:posOffset>
            </wp:positionH>
            <wp:positionV relativeFrom="paragraph">
              <wp:posOffset>537845</wp:posOffset>
            </wp:positionV>
            <wp:extent cx="226060" cy="226060"/>
            <wp:effectExtent l="0" t="0" r="0" b="2540"/>
            <wp:wrapNone/>
            <wp:docPr id="1009" name="图片 35"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 name="图片 35" descr="脉络生物-单色LOGO"/>
                    <pic:cNvPicPr>
                      <a:picLocks noChangeAspect="1"/>
                    </pic:cNvPicPr>
                  </pic:nvPicPr>
                  <pic:blipFill>
                    <a:blip r:embed="rId20" cstate="print"/>
                    <a:stretch>
                      <a:fillRect/>
                    </a:stretch>
                  </pic:blipFill>
                  <pic:spPr>
                    <a:xfrm>
                      <a:off x="0" y="0"/>
                      <a:ext cx="226060" cy="226060"/>
                    </a:xfrm>
                    <a:prstGeom prst="rect">
                      <a:avLst/>
                    </a:prstGeom>
                  </pic:spPr>
                </pic:pic>
              </a:graphicData>
            </a:graphic>
          </wp:anchor>
        </w:drawing>
      </w:r>
      <w:r>
        <w:rPr>
          <w:rFonts w:hint="eastAsia" w:ascii="微软雅黑" w:hAnsi="微软雅黑"/>
          <w:sz w:val="21"/>
          <w:szCs w:val="21"/>
        </w:rPr>
        <w:drawing>
          <wp:anchor distT="0" distB="0" distL="114300" distR="114300" simplePos="0" relativeHeight="251665408" behindDoc="0" locked="0" layoutInCell="1" allowOverlap="1">
            <wp:simplePos x="0" y="0"/>
            <wp:positionH relativeFrom="column">
              <wp:posOffset>0</wp:posOffset>
            </wp:positionH>
            <wp:positionV relativeFrom="paragraph">
              <wp:posOffset>0</wp:posOffset>
            </wp:positionV>
            <wp:extent cx="226060" cy="226060"/>
            <wp:effectExtent l="0" t="0" r="0" b="2540"/>
            <wp:wrapSquare wrapText="bothSides"/>
            <wp:docPr id="1010" name="图片 44"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 name="图片 44" descr="脉络生物-单色LOGO"/>
                    <pic:cNvPicPr>
                      <a:picLocks noChangeAspect="1"/>
                    </pic:cNvPicPr>
                  </pic:nvPicPr>
                  <pic:blipFill>
                    <a:blip r:embed="rId20" cstate="print"/>
                    <a:stretch>
                      <a:fillRect/>
                    </a:stretch>
                  </pic:blipFill>
                  <pic:spPr>
                    <a:xfrm>
                      <a:off x="0" y="0"/>
                      <a:ext cx="226060" cy="226060"/>
                    </a:xfrm>
                    <a:prstGeom prst="rect">
                      <a:avLst/>
                    </a:prstGeom>
                  </pic:spPr>
                </pic:pic>
              </a:graphicData>
            </a:graphic>
          </wp:anchor>
        </w:drawing>
      </w:r>
      <w:r>
        <w:rPr>
          <w:rFonts w:hint="eastAsia" w:ascii="微软雅黑" w:hAnsi="微软雅黑"/>
          <w:sz w:val="21"/>
          <w:szCs w:val="21"/>
        </w:rPr>
        <w:t>报告第三部分</w:t>
      </w:r>
      <w:r>
        <w:rPr>
          <w:rFonts w:ascii="微软雅黑" w:hAnsi="微软雅黑"/>
          <w:sz w:val="21"/>
          <w:szCs w:val="21"/>
        </w:rPr>
        <w:t>：</w:t>
      </w:r>
      <w:r>
        <w:rPr>
          <w:rFonts w:hint="eastAsia" w:ascii="微软雅黑" w:hAnsi="微软雅黑"/>
          <w:sz w:val="21"/>
          <w:szCs w:val="21"/>
        </w:rPr>
        <w:t>基因变异及相应靶向/免疫药物解析，该部分对</w:t>
      </w:r>
      <w:r>
        <w:rPr>
          <w:rFonts w:ascii="微软雅黑" w:hAnsi="微软雅黑"/>
          <w:sz w:val="21"/>
          <w:szCs w:val="21"/>
        </w:rPr>
        <w:t>第</w:t>
      </w:r>
      <w:r>
        <w:rPr>
          <w:rFonts w:hint="eastAsia" w:ascii="微软雅黑" w:hAnsi="微软雅黑"/>
          <w:sz w:val="21"/>
          <w:szCs w:val="21"/>
        </w:rPr>
        <w:t>二</w:t>
      </w:r>
      <w:r>
        <w:rPr>
          <w:rFonts w:ascii="微软雅黑" w:hAnsi="微软雅黑"/>
          <w:sz w:val="21"/>
          <w:szCs w:val="21"/>
        </w:rPr>
        <w:t>部分</w:t>
      </w:r>
      <w:r>
        <w:rPr>
          <w:rFonts w:hint="eastAsia" w:ascii="微软雅黑" w:hAnsi="微软雅黑"/>
          <w:sz w:val="21"/>
          <w:szCs w:val="21"/>
        </w:rPr>
        <w:t>中的</w:t>
      </w:r>
      <w:r>
        <w:rPr>
          <w:rFonts w:ascii="微软雅黑" w:hAnsi="微软雅黑"/>
          <w:sz w:val="21"/>
          <w:szCs w:val="21"/>
        </w:rPr>
        <w:t>基因变异和</w:t>
      </w:r>
      <w:r>
        <w:rPr>
          <w:rFonts w:hint="eastAsia" w:ascii="微软雅黑" w:hAnsi="微软雅黑"/>
          <w:sz w:val="21"/>
          <w:szCs w:val="21"/>
        </w:rPr>
        <w:t>靶向/免疫药物</w:t>
      </w:r>
      <w:r>
        <w:rPr>
          <w:rFonts w:ascii="微软雅黑" w:hAnsi="微软雅黑"/>
          <w:sz w:val="21"/>
          <w:szCs w:val="21"/>
        </w:rPr>
        <w:t>提</w:t>
      </w:r>
      <w:r>
        <w:rPr>
          <w:rFonts w:hint="eastAsia" w:ascii="微软雅黑" w:hAnsi="微软雅黑"/>
          <w:sz w:val="21"/>
          <w:szCs w:val="21"/>
        </w:rPr>
        <w:t>示进行详细</w:t>
      </w:r>
      <w:r>
        <w:rPr>
          <w:rFonts w:ascii="微软雅黑" w:hAnsi="微软雅黑"/>
          <w:sz w:val="21"/>
          <w:szCs w:val="21"/>
        </w:rPr>
        <w:t>解析</w:t>
      </w:r>
      <w:r>
        <w:rPr>
          <w:rFonts w:hint="eastAsia" w:ascii="微软雅黑" w:hAnsi="微软雅黑"/>
          <w:sz w:val="21"/>
          <w:szCs w:val="21"/>
        </w:rPr>
        <w:t>，并且包含本报告的阅读说明。</w:t>
      </w:r>
    </w:p>
    <w:p w14:paraId="64E74D2B">
      <w:pPr>
        <w:tabs>
          <w:tab w:val="left" w:pos="660"/>
          <w:tab w:val="left" w:pos="2312"/>
        </w:tabs>
        <w:spacing w:after="0" w:line="288" w:lineRule="auto"/>
        <w:ind w:left="550" w:leftChars="250"/>
        <w:jc w:val="both"/>
        <w:rPr>
          <w:rFonts w:ascii="微软雅黑" w:hAnsi="微软雅黑"/>
          <w:b/>
          <w:sz w:val="21"/>
          <w:szCs w:val="21"/>
        </w:rPr>
      </w:pPr>
      <w:r>
        <w:rPr>
          <w:rFonts w:hint="eastAsia" w:ascii="微软雅黑" w:hAnsi="微软雅黑"/>
          <w:sz w:val="21"/>
          <w:szCs w:val="21"/>
        </w:rPr>
        <w:t>报告第四部分：附录。提供所检测癌症的诊疗知识、癌症相关重要信号通路、</w:t>
      </w:r>
      <w:r>
        <w:rPr>
          <w:rFonts w:ascii="微软雅黑" w:hAnsi="微软雅黑"/>
          <w:sz w:val="21"/>
          <w:szCs w:val="21"/>
        </w:rPr>
        <w:t>所</w:t>
      </w:r>
      <w:r>
        <w:rPr>
          <w:rFonts w:hint="eastAsia" w:ascii="微软雅黑" w:hAnsi="微软雅黑"/>
          <w:sz w:val="21"/>
          <w:szCs w:val="21"/>
        </w:rPr>
        <w:t>检测的</w:t>
      </w:r>
      <w:r>
        <w:rPr>
          <w:rFonts w:ascii="微软雅黑" w:hAnsi="微软雅黑"/>
          <w:sz w:val="21"/>
          <w:szCs w:val="21"/>
        </w:rPr>
        <w:t>基因列表</w:t>
      </w:r>
      <w:r>
        <w:rPr>
          <w:rFonts w:hint="eastAsia" w:ascii="微软雅黑" w:hAnsi="微软雅黑"/>
          <w:sz w:val="21"/>
          <w:szCs w:val="21"/>
        </w:rPr>
        <w:t xml:space="preserve">信息、以及本报告的参考文献。  </w:t>
      </w:r>
    </w:p>
    <w:p w14:paraId="24B0DF39">
      <w:pPr>
        <w:tabs>
          <w:tab w:val="left" w:pos="2312"/>
        </w:tabs>
        <w:spacing w:after="0" w:line="288" w:lineRule="auto"/>
        <w:ind w:left="550" w:leftChars="250"/>
        <w:jc w:val="both"/>
        <w:rPr>
          <w:rFonts w:ascii="微软雅黑" w:hAnsi="微软雅黑"/>
          <w:sz w:val="21"/>
          <w:szCs w:val="21"/>
        </w:rPr>
      </w:pPr>
      <w:r>
        <w:rPr>
          <w:rFonts w:ascii="微软雅黑" w:hAnsi="微软雅黑"/>
          <w:sz w:val="21"/>
          <w:szCs w:val="21"/>
        </w:rPr>
        <w:drawing>
          <wp:anchor distT="0" distB="0" distL="114300" distR="114300" simplePos="0" relativeHeight="251663360" behindDoc="0" locked="0" layoutInCell="1" allowOverlap="1">
            <wp:simplePos x="0" y="0"/>
            <wp:positionH relativeFrom="column">
              <wp:posOffset>0</wp:posOffset>
            </wp:positionH>
            <wp:positionV relativeFrom="paragraph">
              <wp:posOffset>0</wp:posOffset>
            </wp:positionV>
            <wp:extent cx="226060" cy="226060"/>
            <wp:effectExtent l="0" t="0" r="0" b="2540"/>
            <wp:wrapSquare wrapText="bothSides"/>
            <wp:docPr id="1011" name="图片 45"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 name="图片 45" descr="脉络生物-单色LOGO"/>
                    <pic:cNvPicPr>
                      <a:picLocks noChangeAspect="1"/>
                    </pic:cNvPicPr>
                  </pic:nvPicPr>
                  <pic:blipFill>
                    <a:blip r:embed="rId20" cstate="print"/>
                    <a:stretch>
                      <a:fillRect/>
                    </a:stretch>
                  </pic:blipFill>
                  <pic:spPr>
                    <a:xfrm>
                      <a:off x="0" y="0"/>
                      <a:ext cx="226060" cy="226060"/>
                    </a:xfrm>
                    <a:prstGeom prst="rect">
                      <a:avLst/>
                    </a:prstGeom>
                  </pic:spPr>
                </pic:pic>
              </a:graphicData>
            </a:graphic>
          </wp:anchor>
        </w:drawing>
      </w:r>
      <w:r>
        <w:rPr>
          <w:rFonts w:ascii="微软雅黑" w:hAnsi="微软雅黑"/>
          <w:sz w:val="21"/>
          <w:szCs w:val="21"/>
        </w:rPr>
        <w:t>本报告信息仅供临床医生参考，而非临床诊断依据。对用药的建议需综合考虑患者其他临床信息，如家族史</w:t>
      </w:r>
      <w:r>
        <w:rPr>
          <w:rFonts w:hint="eastAsia" w:ascii="微软雅黑" w:hAnsi="微软雅黑"/>
          <w:sz w:val="21"/>
          <w:szCs w:val="21"/>
        </w:rPr>
        <w:t xml:space="preserve"> </w:t>
      </w:r>
      <w:r>
        <w:rPr>
          <w:rFonts w:ascii="微软雅黑" w:hAnsi="微软雅黑"/>
          <w:sz w:val="21"/>
          <w:szCs w:val="21"/>
        </w:rPr>
        <w:t>、肿瘤分型分期</w:t>
      </w:r>
      <w:r>
        <w:rPr>
          <w:rFonts w:hint="eastAsia" w:ascii="微软雅黑" w:hAnsi="微软雅黑"/>
          <w:sz w:val="21"/>
          <w:szCs w:val="21"/>
        </w:rPr>
        <w:t xml:space="preserve"> </w:t>
      </w:r>
      <w:r>
        <w:rPr>
          <w:rFonts w:ascii="微软雅黑" w:hAnsi="微软雅黑"/>
          <w:sz w:val="21"/>
          <w:szCs w:val="21"/>
        </w:rPr>
        <w:t>、体力状态</w:t>
      </w:r>
      <w:r>
        <w:rPr>
          <w:rFonts w:hint="eastAsia" w:ascii="微软雅黑" w:hAnsi="微软雅黑"/>
          <w:sz w:val="21"/>
          <w:szCs w:val="21"/>
        </w:rPr>
        <w:t xml:space="preserve"> </w:t>
      </w:r>
      <w:r>
        <w:rPr>
          <w:rFonts w:ascii="微软雅黑" w:hAnsi="微软雅黑"/>
          <w:sz w:val="21"/>
          <w:szCs w:val="21"/>
        </w:rPr>
        <w:t>、前期治疗方式等，具体治疗</w:t>
      </w:r>
      <w:r>
        <w:rPr>
          <w:rFonts w:hint="eastAsia" w:ascii="微软雅黑" w:hAnsi="微软雅黑"/>
          <w:sz w:val="21"/>
          <w:szCs w:val="21"/>
        </w:rPr>
        <w:t>方</w:t>
      </w:r>
      <w:r>
        <w:rPr>
          <w:rFonts w:ascii="微软雅黑" w:hAnsi="微软雅黑"/>
          <w:sz w:val="21"/>
          <w:szCs w:val="21"/>
        </w:rPr>
        <w:t>案详情请遵循医嘱。</w:t>
      </w:r>
    </w:p>
    <w:p w14:paraId="3CFA394F">
      <w:pPr>
        <w:tabs>
          <w:tab w:val="left" w:pos="2312"/>
        </w:tabs>
        <w:spacing w:after="0" w:line="288" w:lineRule="auto"/>
        <w:ind w:left="525" w:hanging="525" w:hangingChars="250"/>
        <w:jc w:val="both"/>
        <w:rPr>
          <w:rFonts w:ascii="微软雅黑" w:hAnsi="微软雅黑"/>
          <w:b/>
          <w:bCs/>
          <w:sz w:val="21"/>
          <w:szCs w:val="21"/>
        </w:rPr>
      </w:pPr>
      <w:r>
        <w:rPr>
          <w:rFonts w:hint="eastAsia" w:ascii="微软雅黑" w:hAnsi="微软雅黑"/>
          <w:b/>
          <w:bCs/>
          <w:sz w:val="21"/>
          <w:szCs w:val="21"/>
        </w:rPr>
        <w:drawing>
          <wp:anchor distT="0" distB="0" distL="114300" distR="114300" simplePos="0" relativeHeight="251664384" behindDoc="0" locked="0" layoutInCell="1" allowOverlap="1">
            <wp:simplePos x="0" y="0"/>
            <wp:positionH relativeFrom="column">
              <wp:posOffset>0</wp:posOffset>
            </wp:positionH>
            <wp:positionV relativeFrom="paragraph">
              <wp:posOffset>0</wp:posOffset>
            </wp:positionV>
            <wp:extent cx="226060" cy="226060"/>
            <wp:effectExtent l="0" t="0" r="0" b="2540"/>
            <wp:wrapSquare wrapText="bothSides"/>
            <wp:docPr id="1012" name="图片 46"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 name="图片 46" descr="脉络生物-单色LOGO"/>
                    <pic:cNvPicPr>
                      <a:picLocks noChangeAspect="1"/>
                    </pic:cNvPicPr>
                  </pic:nvPicPr>
                  <pic:blipFill>
                    <a:blip r:embed="rId20" cstate="print"/>
                    <a:stretch>
                      <a:fillRect/>
                    </a:stretch>
                  </pic:blipFill>
                  <pic:spPr>
                    <a:xfrm>
                      <a:off x="0" y="0"/>
                      <a:ext cx="226060" cy="226060"/>
                    </a:xfrm>
                    <a:prstGeom prst="rect">
                      <a:avLst/>
                    </a:prstGeom>
                  </pic:spPr>
                </pic:pic>
              </a:graphicData>
            </a:graphic>
          </wp:anchor>
        </w:drawing>
      </w:r>
      <w:r>
        <w:rPr>
          <w:rFonts w:hint="eastAsia" w:ascii="微软雅黑" w:hAnsi="微软雅黑"/>
          <w:b/>
          <w:bCs/>
          <w:sz w:val="21"/>
          <w:szCs w:val="21"/>
        </w:rPr>
        <w:t>检测结果仅对本次送检样本负责，电子版报告仅供参考，以加盖红章的纸质报告为准，无章无效。如有疑问，请于报告出具后三个工作日内咨询。</w:t>
      </w:r>
    </w:p>
    <w:p w14:paraId="6B9D9A4A">
      <w:pPr>
        <w:tabs>
          <w:tab w:val="left" w:pos="2312"/>
        </w:tabs>
        <w:spacing w:after="0" w:line="288" w:lineRule="auto"/>
        <w:ind w:firstLine="420" w:firstLineChars="200"/>
        <w:jc w:val="both"/>
        <w:rPr>
          <w:rFonts w:ascii="微软雅黑" w:hAnsi="微软雅黑"/>
          <w:sz w:val="21"/>
          <w:szCs w:val="21"/>
        </w:rPr>
        <w:sectPr>
          <w:headerReference r:id="rId6" w:type="default"/>
          <w:pgSz w:w="11906" w:h="16838"/>
          <w:pgMar w:top="1440" w:right="1800" w:bottom="1440" w:left="1800" w:header="708" w:footer="708" w:gutter="0"/>
          <w:pgNumType w:start="1"/>
          <w:cols w:space="708" w:num="1"/>
          <w:docGrid w:linePitch="360" w:charSpace="0"/>
        </w:sectPr>
      </w:pPr>
      <w:r>
        <w:rPr>
          <w:rFonts w:hint="eastAsia" w:ascii="微软雅黑" w:hAnsi="微软雅黑"/>
          <w:b/>
          <w:bCs/>
          <w:sz w:val="21"/>
          <w:szCs w:val="21"/>
        </w:rPr>
        <w:t xml:space="preserve">  咨询电话：022-87190699。</w:t>
      </w:r>
    </w:p>
    <w:p w14:paraId="72A86E49">
      <w:pPr>
        <w:widowControl w:val="0"/>
        <w:adjustRightInd/>
        <w:snapToGrid/>
        <w:spacing w:after="0" w:line="312" w:lineRule="auto"/>
        <w:jc w:val="both"/>
        <w:rPr>
          <w:b/>
          <w:bCs/>
          <w:sz w:val="24"/>
          <w:szCs w:val="24"/>
        </w:rPr>
      </w:pPr>
    </w:p>
    <w:p w14:paraId="5751A270">
      <w:pPr>
        <w:tabs>
          <w:tab w:val="left" w:pos="2312"/>
        </w:tabs>
        <w:spacing w:after="0" w:line="240" w:lineRule="atLeast"/>
        <w:rPr>
          <w:sz w:val="20"/>
          <w:szCs w:val="20"/>
        </w:rPr>
      </w:pPr>
      <w:r>
        <w:rPr>
          <w:b/>
          <w:bCs/>
          <w:color w:val="00C4D8"/>
          <w:sz w:val="32"/>
          <w:szCs w:val="32"/>
        </w:rPr>
        <w:t>致您的一封信</w:t>
      </w:r>
    </w:p>
    <w:p w14:paraId="19A45F0F">
      <w:pPr>
        <w:widowControl w:val="0"/>
        <w:adjustRightInd/>
        <w:snapToGrid/>
        <w:spacing w:line="312" w:lineRule="auto"/>
        <w:ind w:firstLine="420"/>
        <w:jc w:val="both"/>
        <w:rPr>
          <w:rFonts w:ascii="微软雅黑" w:hAnsi="微软雅黑"/>
          <w:b/>
          <w:sz w:val="30"/>
          <w:szCs w:val="30"/>
        </w:rPr>
        <w:sectPr>
          <w:footerReference r:id="rId7" w:type="default"/>
          <w:pgSz w:w="11906" w:h="16838"/>
          <w:pgMar w:top="1440" w:right="1800" w:bottom="1440" w:left="1800" w:header="708" w:footer="708" w:gutter="0"/>
          <w:cols w:space="708" w:num="1"/>
          <w:docGrid w:linePitch="360" w:charSpace="0"/>
        </w:sectPr>
      </w:pPr>
      <w:r>
        <w:rPr>
          <w:sz w:val="24"/>
        </w:rPr>
        <mc:AlternateContent>
          <mc:Choice Requires="wps">
            <w:drawing>
              <wp:anchor distT="0" distB="0" distL="114300" distR="114300" simplePos="0" relativeHeight="251669504" behindDoc="1" locked="0" layoutInCell="1" allowOverlap="1">
                <wp:simplePos x="0" y="0"/>
                <wp:positionH relativeFrom="column">
                  <wp:posOffset>1474470</wp:posOffset>
                </wp:positionH>
                <wp:positionV relativeFrom="paragraph">
                  <wp:posOffset>349250</wp:posOffset>
                </wp:positionV>
                <wp:extent cx="3796665" cy="8905240"/>
                <wp:effectExtent l="0" t="0" r="0" b="0"/>
                <wp:wrapNone/>
                <wp:docPr id="1013" name="文本框 52"/>
                <wp:cNvGraphicFramePr/>
                <a:graphic xmlns:a="http://schemas.openxmlformats.org/drawingml/2006/main">
                  <a:graphicData uri="http://schemas.microsoft.com/office/word/2010/wordprocessingShape">
                    <wps:wsp>
                      <wps:cNvSpPr txBox="1"/>
                      <wps:spPr>
                        <a:xfrm>
                          <a:off x="0" y="0"/>
                          <a:ext cx="3796665" cy="8905240"/>
                        </a:xfrm>
                        <a:prstGeom prst="rect">
                          <a:avLst/>
                        </a:prstGeom>
                        <a:noFill/>
                        <a:ln w="6350">
                          <a:noFill/>
                        </a:ln>
                        <a:effectLst/>
                      </wps:spPr>
                      <wps:txbx>
                        <w:txbxContent>
                          <w:p w14:paraId="0E6CB2F4">
                            <w:pPr>
                              <w:widowControl w:val="0"/>
                              <w:adjustRightInd/>
                              <w:snapToGrid/>
                              <w:spacing w:after="0" w:line="312" w:lineRule="auto"/>
                              <w:jc w:val="both"/>
                              <w:rPr>
                                <w:b/>
                                <w:bCs/>
                                <w:sz w:val="24"/>
                                <w:szCs w:val="24"/>
                              </w:rPr>
                            </w:pPr>
                            <w:r>
                              <w:rPr>
                                <w:rFonts w:hint="eastAsia"/>
                                <w:b/>
                                <w:bCs/>
                                <w:sz w:val="24"/>
                                <w:szCs w:val="24"/>
                              </w:rPr>
                              <w:t>尊敬的</w:t>
                            </w:r>
                            <w:r>
                              <w:rPr>
                                <w:b/>
                                <w:bCs/>
                                <w:sz w:val="24"/>
                                <w:szCs w:val="24"/>
                                <w:u w:val="single"/>
                              </w:rPr>
                              <w:t xml:space="preserve">  </w:t>
                            </w:r>
                            <w:r>
                              <w:rPr>
                                <w:rFonts w:hint="eastAsia"/>
                                <w:b/>
                                <w:bCs/>
                                <w:sz w:val="24"/>
                                <w:szCs w:val="24"/>
                                <w:u w:val="single"/>
                              </w:rPr>
                              <w:t xml:space="preserve">   </w:t>
                            </w:r>
                            <w:r>
                              <w:rPr>
                                <w:rFonts w:hint="eastAsia"/>
                                <w:b/>
                                <w:bCs/>
                                <w:sz w:val="24"/>
                                <w:szCs w:val="24"/>
                                <w:u w:val="single"/>
                                <w:lang w:eastAsia="zh-CN"/>
                              </w:rPr>
                              <w:t>{{ patient_name }}</w:t>
                            </w:r>
                            <w:r>
                              <w:rPr>
                                <w:rFonts w:hint="eastAsia"/>
                                <w:b/>
                                <w:bCs/>
                                <w:sz w:val="24"/>
                                <w:szCs w:val="24"/>
                                <w:u w:val="single"/>
                              </w:rPr>
                              <w:t xml:space="preserve">     </w:t>
                            </w:r>
                            <w:r>
                              <w:rPr>
                                <w:rFonts w:hint="eastAsia"/>
                                <w:b/>
                                <w:bCs/>
                                <w:sz w:val="24"/>
                                <w:szCs w:val="24"/>
                                <w:lang w:val="en-US" w:eastAsia="zh-CN"/>
                              </w:rPr>
                              <w:t>先生</w:t>
                            </w:r>
                            <w:r>
                              <w:rPr>
                                <w:rFonts w:hint="eastAsia"/>
                                <w:b/>
                                <w:bCs/>
                                <w:sz w:val="24"/>
                                <w:szCs w:val="24"/>
                              </w:rPr>
                              <w:t>：</w:t>
                            </w:r>
                          </w:p>
                          <w:p w14:paraId="3FEB3630">
                            <w:pPr>
                              <w:widowControl w:val="0"/>
                              <w:adjustRightInd/>
                              <w:snapToGrid/>
                              <w:spacing w:after="0" w:line="300" w:lineRule="auto"/>
                              <w:ind w:firstLine="420"/>
                              <w:jc w:val="both"/>
                              <w:rPr>
                                <w:rFonts w:ascii="微软雅黑" w:hAnsi="微软雅黑" w:cs="微软雅黑"/>
                                <w:sz w:val="21"/>
                                <w:szCs w:val="21"/>
                              </w:rPr>
                            </w:pPr>
                            <w:r>
                              <w:rPr>
                                <w:rFonts w:hint="eastAsia" w:ascii="微软雅黑" w:hAnsi="微软雅黑" w:cs="微软雅黑"/>
                                <w:sz w:val="21"/>
                                <w:szCs w:val="21"/>
                              </w:rPr>
                              <w:t>您好！</w:t>
                            </w:r>
                          </w:p>
                          <w:p w14:paraId="647287A3">
                            <w:pPr>
                              <w:widowControl w:val="0"/>
                              <w:adjustRightInd/>
                              <w:snapToGrid/>
                              <w:spacing w:after="0" w:line="312"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感谢您选择本机构为您精心定</w:t>
                            </w:r>
                            <w:r>
                              <w:rPr>
                                <w:rFonts w:hint="eastAsia" w:ascii="微软雅黑" w:hAnsi="微软雅黑" w:cs="微软雅黑"/>
                                <w:sz w:val="21"/>
                                <w:szCs w:val="21"/>
                                <w:lang w:val="en-US" w:eastAsia="zh-CN"/>
                              </w:rPr>
                              <w:t>的</w:t>
                            </w:r>
                            <w:r>
                              <w:rPr>
                                <w:rFonts w:hint="eastAsia" w:ascii="微软雅黑" w:hAnsi="微软雅黑" w:cs="微软雅黑"/>
                                <w:sz w:val="21"/>
                                <w:szCs w:val="21"/>
                                <w:u w:val="single"/>
                              </w:rPr>
                              <w:t xml:space="preserve">      </w:t>
                            </w:r>
                            <w:r>
                              <w:rPr>
                                <w:rFonts w:hint="eastAsia" w:ascii="微软雅黑" w:hAnsi="微软雅黑" w:cs="微软雅黑"/>
                                <w:sz w:val="21"/>
                                <w:szCs w:val="21"/>
                                <w:u w:val="single"/>
                                <w:lang w:val="en-US" w:eastAsia="zh-CN"/>
                              </w:rPr>
                              <w:t xml:space="preserve">结直肠癌358基因+MSI      </w:t>
                            </w:r>
                            <w:r>
                              <w:rPr>
                                <w:rFonts w:hint="eastAsia" w:ascii="微软雅黑" w:hAnsi="微软雅黑" w:cs="微软雅黑"/>
                                <w:sz w:val="21"/>
                                <w:szCs w:val="21"/>
                              </w:rPr>
                              <w:t>检测项目。天津脉络医学检验很荣幸能为您提供基因检测服务。</w:t>
                            </w:r>
                          </w:p>
                          <w:p w14:paraId="4C4E2293">
                            <w:pPr>
                              <w:widowControl w:val="0"/>
                              <w:adjustRightInd/>
                              <w:snapToGrid/>
                              <w:spacing w:after="0" w:line="312"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现代医学已经证明，肿瘤是基因变异由量变到质变的累积结果，即使临床表现相似的患者，其体内基因变异情况也可能千差万别。这种基因分子水平差异将导致同种肿瘤的不同患者对于同一抗肿瘤治疗方案的反应不尽相同。近年来，随着医学技术的迅速发展和对肿瘤研究的不断深入，通过基因组、蛋白质组等组学技术可帮助临床医师及患者精确找到疾病治疗的靶点，科学地预测药物的疗效和副作用，量体裁衣地为其制定最佳的治疗方案。</w:t>
                            </w:r>
                          </w:p>
                          <w:p w14:paraId="5D8BFCD3">
                            <w:pPr>
                              <w:widowControl w:val="0"/>
                              <w:adjustRightInd/>
                              <w:snapToGrid/>
                              <w:spacing w:after="0" w:line="312"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脉络医学致力于通过检测受检者肿瘤样本的基因信息，以美国食品药品监督管理局（FDA）批准、国家药品监督管理局（NMPA）批准、临床实践指南、专家共识以及目前国际权威的研究进展为理论依据，寻找患者罹患肿瘤的可能致病原因和潜在的治疗靶点，协助您更好地了解相应药物的用药提示及治疗方案。</w:t>
                            </w:r>
                          </w:p>
                          <w:p w14:paraId="14244CD1">
                            <w:pPr>
                              <w:widowControl w:val="0"/>
                              <w:adjustRightInd/>
                              <w:snapToGrid/>
                              <w:spacing w:after="0" w:line="312"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相信您经过主治医师的精心治疗，一定能够顺利度过眼前这个暂时的难关。最后，脉络医学全体员工衷心祝愿您早日康复！</w:t>
                            </w:r>
                          </w:p>
                          <w:p w14:paraId="08A92A81">
                            <w:pPr>
                              <w:widowControl w:val="0"/>
                              <w:adjustRightInd/>
                              <w:snapToGrid/>
                              <w:spacing w:after="0" w:line="312" w:lineRule="auto"/>
                              <w:ind w:firstLine="420"/>
                              <w:jc w:val="both"/>
                              <w:rPr>
                                <w:rFonts w:ascii="微软雅黑" w:hAnsi="微软雅黑" w:cs="微软雅黑"/>
                                <w:sz w:val="21"/>
                                <w:szCs w:val="21"/>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52" o:spid="_x0000_s1026" o:spt="202" type="#_x0000_t202" style="position:absolute;left:0pt;margin-left:116.1pt;margin-top:27.5pt;height:701.2pt;width:298.95pt;z-index:-251646976;mso-width-relative:page;mso-height-relative:page;" filled="f" stroked="f" coordsize="21600,21600" o:gfxdata="UEsDBAoAAAAAAIdO4kAAAAAAAAAAAAAAAAAEAAAAZHJzL1BLAwQUAAAACACHTuJAPmTFQ9wAAAAL AQAADwAAAGRycy9kb3ducmV2LnhtbE2Py07DMBBF90j8gzVI7Kgdt4EojVOhSBUSgkVLN9058TSJ iO0Quw/4eoZVWY7m6N5zi9XFDuyEU+i9U5DMBDB0jTe9axXsPtYPGbAQtTN68A4VfGOAVXl7U+jc +LPb4GkbW0YhLuRaQRfjmHMemg6tDjM/oqPfwU9WRzqnlptJnyncDlwK8cit7h01dHrEqsPmc3u0 Cl6r9bve1NJmP0P18nZ4Hr92+1Sp+7tELIFFvMQrDH/6pA4lOdX+6ExggwI5l5JQBWlKmwjI5iIB VhO5SJ8WwMuC/99Q/gJQSwMEFAAAAAgAh07iQPkg+KlHAgAAeQQAAA4AAABkcnMvZTJvRG9jLnht bK1UzY7TMBC+I/EOlu806e9uq6arslURUsWuVBBn13GaSLbH2G6T8gDwBpy4cOe5+hyMnbZbLRz2 wMWZ8Yxn5vtmJtO7RkmyF9ZVoDPa7aSUCM0hr/Q2o58+Lt/cUuI80zmToEVGD8LRu9nrV9PaTEQP SpC5sASDaDepTUZL780kSRwvhWKuA0ZoNBZgFfOo2m2SW1ZjdCWTXpqOkhpsbixw4RzeLlojPUW0 LwkIRVFxsQC+U0L7NqoVknmE5MrKODqL1RaF4P6hKJzwRGYUkfp4YhKUN+FMZlM22VpmyoqfSmAv KeEZJsUqjUkvoRbMM7Kz1V+hVMUtOCh8h4NKWiCREUTRTZ9xsy6ZERELUu3MhXT3/8LyD/tHS6oc JyHt9inRTGHPjz++H3/+Pv76Roa9QFFt3AQ91wZ9ffMWGnQ/3zu8DMibwqrwRUwE7Ujw4UKwaDzh eNm/GY9GoyElHG2343TYG8QWJE/PjXX+nQBFgpBRix2MxLL9ynksBV3PLiGbhmUlZeyi1KTO6Kg/ TOODiwVfSB18RZyHU5gAqS09SL7ZNCecG8gPCNNCOyvO8GWFpayY84/M4nAgMlwf/4BHIQFTwkmi pAT79V/3wR97hlZKahy2jLovO2YFJfK9xm6OuwMkgvioDIY3PVTstWVzbdE7dQ84z11cVMOjGPy9 PIuFBfUZt2wesqKJaY65M+rP4r1vVwC3lIv5PDrhPBrmV3pteAjdkjvfeSiqyHugqeUGmxAUnMjY jtP2hJG/1qPX0x9j9gdQSwMECgAAAAAAh07iQAAAAAAAAAAAAAAAAAYAAABfcmVscy9QSwMEFAAA AAgAh07iQIoUZjzRAAAAlAEAAAsAAABfcmVscy8ucmVsc6WQwWrDMAyG74O9g9F9cZrDGKNOL6PQ a+kewNiKYxpbRjLZ+vbzDoNl9LajfqHvE//+8JkWtSJLpGxg1/WgMDvyMQcD75fj0wsoqTZ7u1BG AzcUOIyPD/szLra2I5ljEdUoWQzMtZZXrcXNmKx0VDC3zUScbG0jB12su9qAeuj7Z82/GTBumOrk DfDJD6Aut9LMf9gpOiahqXaOkqZpiu4eVQe2ZY7uyDbhG7lGsxywGvAsGgdqWdd+BH1fv/un3tNH PuO61X6HjOuPV2+6HL8AUEsDBBQAAAAIAIdO4kB+5uUg9wAAAOEBAAATAAAAW0NvbnRlbnRfVHlw ZXNdLnhtbJWRQU7DMBBF90jcwfIWJU67QAgl6YK0S0CoHGBkTxKLZGx5TGhvj5O2G0SRWNoz/78n u9wcxkFMGNg6quQqL6RA0s5Y6ir5vt9lD1JwBDIwOMJKHpHlpr69KfdHjyxSmriSfYz+USnWPY7A ufNIadK6MEJMx9ApD/oDOlTrorhX2lFEilmcO2RdNtjC5xDF9pCuTyYBB5bi6bQ4syoJ3g9WQ0ym aiLzg5KdCXlKLjvcW893SUOqXwnz5DrgnHtJTxOsQfEKIT7DmDSUCayM+6KAU/53yWw5cuba1mrM m8BNir3hdLG61o5r1zj93/Ltkrp0q+WD6m9QSwECFAAUAAAACACHTuJAfublIPcAAADhAQAAEwAA AAAAAAABACAAAAC8BAAAW0NvbnRlbnRfVHlwZXNdLnhtbFBLAQIUAAoAAAAAAIdO4kAAAAAAAAAA AAAAAAAGAAAAAAAAAAAAEAAAAJ4DAABfcmVscy9QSwECFAAUAAAACACHTuJAihRmPNEAAACUAQAA CwAAAAAAAAABACAAAADCAwAAX3JlbHMvLnJlbHNQSwECFAAKAAAAAACHTuJAAAAAAAAAAAAAAAAA BAAAAAAAAAAAABAAAAAAAAAAZHJzL1BLAQIUABQAAAAIAIdO4kA+ZMVD3AAAAAsBAAAPAAAAAAAA AAEAIAAAACIAAABkcnMvZG93bnJldi54bWxQSwECFAAUAAAACACHTuJA+SD4qUcCAAB5BAAADgAA AAAAAAABACAAAAArAQAAZHJzL2Uyb0RvYy54bWxQSwUGAAAAAAYABgBZAQAA5AUAAAAA ">
                <v:fill on="f" focussize="0,0"/>
                <v:stroke on="f" weight="0.5pt"/>
                <v:imagedata o:title=""/>
                <o:lock v:ext="edit" aspectratio="f"/>
                <v:textbox>
                  <w:txbxContent>
                    <w:p w14:paraId="0E6CB2F4">
                      <w:pPr>
                        <w:widowControl w:val="0"/>
                        <w:adjustRightInd/>
                        <w:snapToGrid/>
                        <w:spacing w:after="0" w:line="312" w:lineRule="auto"/>
                        <w:jc w:val="both"/>
                        <w:rPr>
                          <w:b/>
                          <w:bCs/>
                          <w:sz w:val="24"/>
                          <w:szCs w:val="24"/>
                        </w:rPr>
                      </w:pPr>
                      <w:r>
                        <w:rPr>
                          <w:rFonts w:hint="eastAsia"/>
                          <w:b/>
                          <w:bCs/>
                          <w:sz w:val="24"/>
                          <w:szCs w:val="24"/>
                        </w:rPr>
                        <w:t>尊敬的</w:t>
                      </w:r>
                      <w:r>
                        <w:rPr>
                          <w:b/>
                          <w:bCs/>
                          <w:sz w:val="24"/>
                          <w:szCs w:val="24"/>
                          <w:u w:val="single"/>
                        </w:rPr>
                        <w:t xml:space="preserve">  </w:t>
                      </w:r>
                      <w:r>
                        <w:rPr>
                          <w:rFonts w:hint="eastAsia"/>
                          <w:b/>
                          <w:bCs/>
                          <w:sz w:val="24"/>
                          <w:szCs w:val="24"/>
                          <w:u w:val="single"/>
                        </w:rPr>
                        <w:t xml:space="preserve">   </w:t>
                      </w:r>
                      <w:r>
                        <w:rPr>
                          <w:rFonts w:hint="eastAsia"/>
                          <w:b/>
                          <w:bCs/>
                          <w:sz w:val="24"/>
                          <w:szCs w:val="24"/>
                          <w:u w:val="single"/>
                          <w:lang w:eastAsia="zh-CN"/>
                        </w:rPr>
                        <w:t>{{ patient_name }}</w:t>
                      </w:r>
                      <w:r>
                        <w:rPr>
                          <w:rFonts w:hint="eastAsia"/>
                          <w:b/>
                          <w:bCs/>
                          <w:sz w:val="24"/>
                          <w:szCs w:val="24"/>
                          <w:u w:val="single"/>
                        </w:rPr>
                        <w:t xml:space="preserve">     </w:t>
                      </w:r>
                      <w:r>
                        <w:rPr>
                          <w:rFonts w:hint="eastAsia"/>
                          <w:b/>
                          <w:bCs/>
                          <w:sz w:val="24"/>
                          <w:szCs w:val="24"/>
                          <w:lang w:val="en-US" w:eastAsia="zh-CN"/>
                        </w:rPr>
                        <w:t>先生</w:t>
                      </w:r>
                      <w:r>
                        <w:rPr>
                          <w:rFonts w:hint="eastAsia"/>
                          <w:b/>
                          <w:bCs/>
                          <w:sz w:val="24"/>
                          <w:szCs w:val="24"/>
                        </w:rPr>
                        <w:t>：</w:t>
                      </w:r>
                    </w:p>
                    <w:p w14:paraId="3FEB3630">
                      <w:pPr>
                        <w:widowControl w:val="0"/>
                        <w:adjustRightInd/>
                        <w:snapToGrid/>
                        <w:spacing w:after="0" w:line="300" w:lineRule="auto"/>
                        <w:ind w:firstLine="420"/>
                        <w:jc w:val="both"/>
                        <w:rPr>
                          <w:rFonts w:ascii="微软雅黑" w:hAnsi="微软雅黑" w:cs="微软雅黑"/>
                          <w:sz w:val="21"/>
                          <w:szCs w:val="21"/>
                        </w:rPr>
                      </w:pPr>
                      <w:r>
                        <w:rPr>
                          <w:rFonts w:hint="eastAsia" w:ascii="微软雅黑" w:hAnsi="微软雅黑" w:cs="微软雅黑"/>
                          <w:sz w:val="21"/>
                          <w:szCs w:val="21"/>
                        </w:rPr>
                        <w:t>您好！</w:t>
                      </w:r>
                    </w:p>
                    <w:p w14:paraId="647287A3">
                      <w:pPr>
                        <w:widowControl w:val="0"/>
                        <w:adjustRightInd/>
                        <w:snapToGrid/>
                        <w:spacing w:after="0" w:line="312"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感谢您选择本机构为您精心定</w:t>
                      </w:r>
                      <w:r>
                        <w:rPr>
                          <w:rFonts w:hint="eastAsia" w:ascii="微软雅黑" w:hAnsi="微软雅黑" w:cs="微软雅黑"/>
                          <w:sz w:val="21"/>
                          <w:szCs w:val="21"/>
                          <w:lang w:val="en-US" w:eastAsia="zh-CN"/>
                        </w:rPr>
                        <w:t>的</w:t>
                      </w:r>
                      <w:r>
                        <w:rPr>
                          <w:rFonts w:hint="eastAsia" w:ascii="微软雅黑" w:hAnsi="微软雅黑" w:cs="微软雅黑"/>
                          <w:sz w:val="21"/>
                          <w:szCs w:val="21"/>
                          <w:u w:val="single"/>
                        </w:rPr>
                        <w:t xml:space="preserve">      </w:t>
                      </w:r>
                      <w:r>
                        <w:rPr>
                          <w:rFonts w:hint="eastAsia" w:ascii="微软雅黑" w:hAnsi="微软雅黑" w:cs="微软雅黑"/>
                          <w:sz w:val="21"/>
                          <w:szCs w:val="21"/>
                          <w:u w:val="single"/>
                          <w:lang w:val="en-US" w:eastAsia="zh-CN"/>
                        </w:rPr>
                        <w:t xml:space="preserve">结直肠癌358基因+MSI      </w:t>
                      </w:r>
                      <w:r>
                        <w:rPr>
                          <w:rFonts w:hint="eastAsia" w:ascii="微软雅黑" w:hAnsi="微软雅黑" w:cs="微软雅黑"/>
                          <w:sz w:val="21"/>
                          <w:szCs w:val="21"/>
                        </w:rPr>
                        <w:t>检测项目。天津脉络医学检验很荣幸能为您提供基因检测服务。</w:t>
                      </w:r>
                    </w:p>
                    <w:p w14:paraId="4C4E2293">
                      <w:pPr>
                        <w:widowControl w:val="0"/>
                        <w:adjustRightInd/>
                        <w:snapToGrid/>
                        <w:spacing w:after="0" w:line="312"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现代医学已经证明，肿瘤是基因变异由量变到质变的累积结果，即使临床表现相似的患者，其体内基因变异情况也可能千差万别。这种基因分子水平差异将导致同种肿瘤的不同患者对于同一抗肿瘤治疗方案的反应不尽相同。近年来，随着医学技术的迅速发展和对肿瘤研究的不断深入，通过基因组、蛋白质组等组学技术可帮助临床医师及患者精确找到疾病治疗的靶点，科学地预测药物的疗效和副作用，量体裁衣地为其制定最佳的治疗方案。</w:t>
                      </w:r>
                    </w:p>
                    <w:p w14:paraId="5D8BFCD3">
                      <w:pPr>
                        <w:widowControl w:val="0"/>
                        <w:adjustRightInd/>
                        <w:snapToGrid/>
                        <w:spacing w:after="0" w:line="312"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脉络医学致力于通过检测受检者肿瘤样本的基因信息，以美国食品药品监督管理局（FDA）批准、国家药品监督管理局（NMPA）批准、临床实践指南、专家共识以及目前国际权威的研究进展为理论依据，寻找患者罹患肿瘤的可能致病原因和潜在的治疗靶点，协助您更好地了解相应药物的用药提示及治疗方案。</w:t>
                      </w:r>
                    </w:p>
                    <w:p w14:paraId="14244CD1">
                      <w:pPr>
                        <w:widowControl w:val="0"/>
                        <w:adjustRightInd/>
                        <w:snapToGrid/>
                        <w:spacing w:after="0" w:line="312"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相信您经过主治医师的精心治疗，一定能够顺利度过眼前这个暂时的难关。最后，脉络医学全体员工衷心祝愿您早日康复！</w:t>
                      </w:r>
                    </w:p>
                    <w:p w14:paraId="08A92A81">
                      <w:pPr>
                        <w:widowControl w:val="0"/>
                        <w:adjustRightInd/>
                        <w:snapToGrid/>
                        <w:spacing w:after="0" w:line="312" w:lineRule="auto"/>
                        <w:ind w:firstLine="420"/>
                        <w:jc w:val="both"/>
                        <w:rPr>
                          <w:rFonts w:ascii="微软雅黑" w:hAnsi="微软雅黑" w:cs="微软雅黑"/>
                          <w:sz w:val="21"/>
                          <w:szCs w:val="21"/>
                        </w:rPr>
                      </w:pPr>
                    </w:p>
                  </w:txbxContent>
                </v:textbox>
              </v:shape>
            </w:pict>
          </mc:Fallback>
        </mc:AlternateContent>
      </w:r>
      <w:r>
        <w:rPr>
          <w:sz w:val="24"/>
        </w:rPr>
        <mc:AlternateContent>
          <mc:Choice Requires="wpg">
            <w:drawing>
              <wp:anchor distT="0" distB="0" distL="114300" distR="114300" simplePos="0" relativeHeight="251680768" behindDoc="0" locked="0" layoutInCell="1" allowOverlap="1">
                <wp:simplePos x="0" y="0"/>
                <wp:positionH relativeFrom="column">
                  <wp:posOffset>1222375</wp:posOffset>
                </wp:positionH>
                <wp:positionV relativeFrom="paragraph">
                  <wp:posOffset>360045</wp:posOffset>
                </wp:positionV>
                <wp:extent cx="67945" cy="7146925"/>
                <wp:effectExtent l="6350" t="6350" r="20955" b="9525"/>
                <wp:wrapNone/>
                <wp:docPr id="1014" name="组合 17"/>
                <wp:cNvGraphicFramePr/>
                <a:graphic xmlns:a="http://schemas.openxmlformats.org/drawingml/2006/main">
                  <a:graphicData uri="http://schemas.microsoft.com/office/word/2010/wordprocessingGroup">
                    <wpg:wgp>
                      <wpg:cNvGrpSpPr/>
                      <wpg:grpSpPr>
                        <a:xfrm>
                          <a:off x="0" y="0"/>
                          <a:ext cx="67945" cy="7146925"/>
                          <a:chOff x="7193" y="54165"/>
                          <a:chExt cx="120" cy="10770"/>
                        </a:xfrm>
                        <a:effectLst/>
                      </wpg:grpSpPr>
                      <wps:wsp>
                        <wps:cNvPr id="9" name="直接连接符 11"/>
                        <wps:cNvCnPr/>
                        <wps:spPr>
                          <a:xfrm>
                            <a:off x="7261" y="54291"/>
                            <a:ext cx="39" cy="10644"/>
                          </a:xfrm>
                          <a:prstGeom prst="line">
                            <a:avLst/>
                          </a:prstGeom>
                          <a:noFill/>
                          <a:ln w="19050" cap="flat" cmpd="sng" algn="ctr">
                            <a:solidFill>
                              <a:srgbClr val="00C4D8"/>
                            </a:solidFill>
                            <a:prstDash val="solid"/>
                          </a:ln>
                          <a:effectLst/>
                        </wps:spPr>
                        <wps:bodyPr/>
                      </wps:wsp>
                      <wps:wsp>
                        <wps:cNvPr id="68" name="椭圆 68"/>
                        <wps:cNvSpPr/>
                        <wps:spPr>
                          <a:xfrm>
                            <a:off x="7193" y="54165"/>
                            <a:ext cx="120" cy="120"/>
                          </a:xfrm>
                          <a:prstGeom prst="ellipse">
                            <a:avLst/>
                          </a:prstGeom>
                          <a:noFill/>
                          <a:ln w="12700" cap="flat" cmpd="sng" algn="ctr">
                            <a:solidFill>
                              <a:srgbClr val="00C4D8"/>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组合 17" o:spid="_x0000_s1026" o:spt="203" style="position:absolute;left:0pt;margin-left:96.25pt;margin-top:28.35pt;height:562.75pt;width:5.35pt;z-index:251680768;mso-width-relative:page;mso-height-relative:page;" coordorigin="7193,54165" coordsize="120,10770" o:gfxdata="UEsDBAoAAAAAAIdO4kAAAAAAAAAAAAAAAAAEAAAAZHJzL1BLAwQUAAAACACHTuJAz23QRdoAAAAL AQAADwAAAGRycy9kb3ducmV2LnhtbE2PTUvDQBRF94L/YXiCOzsfJbXGTIoUdVWEtoK4m2Zek9DM TMhMk/bf+1zp8nIP951XrC6uYyMOsQ1eg5wJYOirYFtfa/jcvz0sgcVkvDVd8KjhihFW5e1NYXIb Jr/FcZdqRiM+5kZDk1Kfcx6rBp2Js9Cjp+4YBmcSxaHmdjATjbuOKyEW3JnW04XG9LhusDrtzk7D +2Sml7l8HTen4/r6vc8+vjYStb6/k+IZWMJL+oPhV5/UoSSnQzh7G1lH+UllhGrIFo/ACFBiroAd qJFLpYCXBf//Q/kDUEsDBBQAAAAIAIdO4kCFupLuNAMAANsHAAAOAAAAZHJzL2Uyb0RvYy54bWzN VUtvEzEQviPxHyzf6e6mm2yzalJFCa2QKlqpIM6O431IXtvYTrbljBAnxB3ECTjBjRsHfk1bfgZj 7+ZBqBAPCXHZtT3j8cz3zWP/4LziaMG0KaUY4GgnxIgJKmelyAf44YPDO3sYGUvEjHAp2ABfMIMP hrdv7dcqZR1ZSD5jGoERYdJaDXBhrUqDwNCCVcTsSMUECDOpK2Jhq/NgpkkN1isedMKwF9RSz5SW lBkDp5NGiFuL+lcMyiwrKZtIOq+YsI1VzTixEJIpSmXw0HubZYzakywzzCI+wBCp9V94BNZT9w2G +yTNNVFFSVsXyK+4sBVTRUoBj65MTYglaK7LH0xVJdXSyMzuUFkFTSAeEYgiCrewOdJyrnwseVrn agU6ELWF+h+bpfcXpxqVM8iEMIoxEqQCzq8/P718+RxFicOnVnkKakdanalT3R7kzc6FfJ7pyv0h GHTukb1YIcvOLaJw2Ev6cRcjCpIkinv9TrdBnhZAj7uVRP1djEDcjaPeSni3vR51gC93OQqTxJMW rN9lnuZjY8G1wDm78q1WkKJmjZv5O9zOCqKYp8M4QFrc+ivQXn26evHu65c38L3+8B5FUYOeVx6L FjqTGkDxBtySTi9qEej0/VWSLuHbhUea8Htx7KxuhK+0sUdMVsgtBpiXwvlIUrJoISHpUsUdC3lY cg4mSMoFqgHSfth16BKo5QxqCJaVgnwwIseI8ByaBLXamzSSlzN33d02Op+OuUYL4korHMeTvdaz 79Tc2xNiikbPi1o1LpyZLfaW8DjqpnJ24VEDVj2RLhf/AaM96IBNHVy9/Xj5+hmCA5/2nslVESxd XWdiWwE35fKSyXUmQ0r/lEjGOXSy3+Syk4T/M5dIy6YDG0UPS8iMY2LsKdHQcsFtGEr2BD4Zl5CX sl1hVEj95KZzpw8VDVKMamjhkLOP50QzjPg9AbXej+IYzFq/ibuJayJ6UzLdlIh5NZaQylCE4J1f On3Ll8tMy+oRzK6RexVERFB4u6mOdjO2zWiB6UfZaOTVoM8rYo/FmaLOeFODo7mVWdl2rGWm+/bV JrpvZNDzfam388kNlc2911/P5OE3UEsDBAoAAAAAAIdO4kAAAAAAAAAAAAAAAAAGAAAAX3JlbHMv UEsDBBQAAAAIAIdO4kCKFGY80QAAAJQBAAALAAAAX3JlbHMvLnJlbHOlkMFqwzAMhu+DvYPRfXGa wxijTi+j0GvpHsDYimMaW0Yy2fr28w6DZfS2o36h7xP//vCZFrUiS6RsYNf1oDA78jEHA++X49ML KKk2e7tQRgM3FDiMjw/7My62tiOZYxHVKFkMzLWWV63FzZisdFQwt81EnGxtIwddrLvagHro+2fN vxkwbpjq5A3wyQ+gLrfSzH/YKTomoal2jpKmaYruHlUHtmWO7sg24Ru5RrMcsBrwLBoHalnXfgR9 X7/7p97TRz7jutV+h4zrj1dvuhy/AFBLAwQUAAAACACHTuJAfublIPcAAADhAQAAEwAAAFtDb250 ZW50X1R5cGVzXS54bWyVkUFOwzAQRfdI3MHyFiVOu0AIJemCtEtAqBxgZE8Si2RseUxob4+TthtE kVjaM/+/J7vcHMZBTBjYOqrkKi+kQNLOWOoq+b7fZQ9ScAQyMDjCSh6R5aa+vSn3R48sUpq4kn2M /lEp1j2OwLnzSGnSujBCTMfQKQ/6AzpU66K4V9pRRIpZnDtkXTbYwucQxfaQrk8mAQeW4um0OLMq Cd4PVkNMpmoi84OSnQl5Si473FvPd0lDql8J8+Q64Jx7SU8TrEHxCiE+w5g0lAmsjPuigFP+d8ls OXLm2tZqzJvATYq94XSxutaOa9c4/d/y7ZK6dKvlg+pvUEsBAhQAFAAAAAgAh07iQH7m5SD3AAAA 4QEAABMAAAAAAAAAAQAgAAAApwUAAFtDb250ZW50X1R5cGVzXS54bWxQSwECFAAKAAAAAACHTuJA AAAAAAAAAAAAAAAABgAAAAAAAAAAABAAAACJBAAAX3JlbHMvUEsBAhQAFAAAAAgAh07iQIoUZjzR AAAAlAEAAAsAAAAAAAAAAQAgAAAArQQAAF9yZWxzLy5yZWxzUEsBAhQACgAAAAAAh07iQAAAAAAA AAAAAAAAAAQAAAAAAAAAAAAQAAAAAAAAAGRycy9QSwECFAAUAAAACACHTuJAz23QRdoAAAALAQAA DwAAAAAAAAABACAAAAAiAAAAZHJzL2Rvd25yZXYueG1sUEsBAhQAFAAAAAgAh07iQIW6ku40AwAA 2wcAAA4AAAAAAAAAAQAgAAAAKQEAAGRycy9lMm9Eb2MueG1sUEsFBgAAAAAGAAYAWQEAAM8GAAAA AA== ">
                <o:lock v:ext="edit" aspectratio="f"/>
                <v:line id="直接连接符 11" o:spid="_x0000_s1026" o:spt="20" style="position:absolute;left:7261;top:54291;height:10644;width:39;" filled="f" stroked="t" coordsize="21600,21600" o:gfxdata="UEsDBAoAAAAAAIdO4kAAAAAAAAAAAAAAAAAEAAAAZHJzL1BLAwQUAAAACACHTuJAC2wEx7oAAADa AAAADwAAAGRycy9kb3ducmV2LnhtbEWPwW7CMBBE75X4B2uReisOHEgJGA4UUHts4ANW9pIE4nVk u0n693UlJI6jmXmj2exG24qefGgcK5jPMhDE2pmGKwWX8/HtHUSIyAZbx6TglwLstpOXDRbGDfxN fRkrkSAcClRQx9gVUgZdk8Uwcx1x8q7OW4xJ+koaj0OC21YusmwpLTacFmrsaF+Tvpc/VsHJHzi3 9y95vOFBXxa57sqPoNTrdJ6tQUQa4zP8aH8aBSv4v5JugNz+AVBLAwQUAAAACACHTuJAMy8FnjsA AAA5AAAAEAAAAGRycy9zaGFwZXhtbC54bWyzsa/IzVEoSy0qzszPs1Uy1DNQUkjNS85PycxLt1UK DXHTtVBSKC5JzEtJzMnPS7VVqkwtVrK34+UCAFBLAwQKAAAAAACHTuJAAAAAAAAAAAAAAAAABgAA AF9yZWxzL1BLAwQUAAAACACHTuJA1VwmKMwAAACPAQAACwAAAF9yZWxzLy5yZWxzpZCxagMxDIb3 QN/BaO/5kqGUEF+2QtaQQldh6+5MzpaxzDV5+7iUQi9ky6BBv9D3Ce32lzCpmbJ4jgbWTQuKomXn 42Dg8/Tx+g5KCkaHE0cycCWBffey2h1pwlKXZPRJVKVEMTCWkrZaix0poDScKNZJzzlgqW0edEJ7 xoH0pm3fdP7PgG7BVAdnIB/cBtTpmqr5jh28zSzcl8Zy0Nz33j6iahkx0VeYKgbzQMWAy/Kb1tOa WqAfm9dPmh1/xyPNS/FPmGn+8+rFG7sbUEsDBBQAAAAIAIdO4kBa4xFm9wAAAOIBAAATAAAAW0Nv bnRlbnRfVHlwZXNdLnhtbJWRTU/EIBCG7yb+BzJX01I9GGNK92D1qEbXHzCBaUu2BcJg3f330v24 GNfEI8y8z/sE6tV2GsVMka13Cq7LCgQ57Y11vYKP9VNxB4ITOoOjd6RgRwyr5vKiXu8CschpxwqG lMK9lKwHmpBLH8jlSefjhCkfYy8D6g32JG+q6lZq7xK5VKSFAU3dUoefYxKP23x9MIk0MoiHw+LS pQBDGK3GlE3l7MyPluLYUObkfocHG/gqa4D8tWGZnC845l7y00RrSLxiTM84ZQ1pIkvjv1ykufwb slhOXPius5rKNnKbY280n6zO0XnAQBn9X/z7kjvB5f6Hmm9QSwECFAAUAAAACACHTuJAWuMRZvcA AADiAQAAEwAAAAAAAAABACAAAACLAgAAW0NvbnRlbnRfVHlwZXNdLnhtbFBLAQIUAAoAAAAAAIdO 4kAAAAAAAAAAAAAAAAAGAAAAAAAAAAAAEAAAAHIBAABfcmVscy9QSwECFAAUAAAACACHTuJA1Vwm KMwAAACPAQAACwAAAAAAAAABACAAAACWAQAAX3JlbHMvLnJlbHNQSwECFAAKAAAAAACHTuJAAAAA AAAAAAAAAAAABAAAAAAAAAAAABAAAAAAAAAAZHJzL1BLAQIUABQAAAAIAIdO4kALbATHugAAANoA AAAPAAAAAAAAAAEAIAAAACIAAABkcnMvZG93bnJldi54bWxQSwECFAAUAAAACACHTuJAMy8FnjsA AAA5AAAAEAAAAAAAAAABACAAAAAJAQAAZHJzL3NoYXBleG1sLnhtbFBLBQYAAAAABgAGAFsBAACz AwAAAAA= ">
                  <v:fill on="f" focussize="0,0"/>
                  <v:stroke weight="1.5pt" color="#00C4D8" joinstyle="round"/>
                  <v:imagedata o:title=""/>
                  <o:lock v:ext="edit" aspectratio="f"/>
                </v:line>
                <v:shape id="_x0000_s1026" o:spid="_x0000_s1026" o:spt="3" type="#_x0000_t3" style="position:absolute;left:7193;top:54165;height:120;width:120;v-text-anchor:middle;" filled="f" stroked="t" coordsize="21600,21600" o:gfxdata="UEsDBAoAAAAAAIdO4kAAAAAAAAAAAAAAAAAEAAAAZHJzL1BLAwQUAAAACACHTuJABV9WGrYAAADb AAAADwAAAGRycy9kb3ducmV2LnhtbEVPuwrCMBTdBf8hXMFNUxVEqtFBEEUE0bq4XZtrU2xuSpP6 +HszCI6H816s3rYST2p86VjBaJiAIM6dLrlQcMk2gxkIH5A1Vo5JwYc8rJbdzgJT7V58ouc5FCKG sE9RgQmhTqX0uSGLfuhq4sjdXWMxRNgUUjf4iuG2kuMkmUqLJccGgzWtDeWPc2sV6P1V3rLNDE1b Hg9ZfdtO9h9Wqt8bJXMQgd7hL/65d1rBNI6NX+IPkMsvUEsDBBQAAAAIAIdO4kAzLwWeOwAAADkA AAAQAAAAZHJzL3NoYXBleG1sLnhtbLOxr8jNUShLLSrOzM+zVTLUM1BSSM1Lzk/JzEu3VQoNcdO1 UFIoLknMS0nMyc9LtVWqTC1Wsrfj5QIAUEsDBAoAAAAAAIdO4kAAAAAAAAAAAAAAAAAGAAAAX3Jl bHMvUEsDBBQAAAAIAIdO4kDVXCYozAAAAI8BAAALAAAAX3JlbHMvLnJlbHOlkLFqAzEMhvdA38Fo 7/mSoZQQX7ZC1pBCV2Hr7kzOlrHMNXn7uJRCL2TLoEG/0PcJ7faXMKmZsniOBtZNC4qiZefjYODz 9PH6DkoKRocTRzJwJYF997LaHWnCUpdk9ElUpUQxMJaStlqLHSmgNJwo1knPOWCpbR50QnvGgfSm bd90/s+AbsFUB2cgH9wG1OmaqvmOHbzNLNyXxnLQ3PfePqJqGTHRV5gqBvNAxYDL8pvW05paoB+b 10+aHX/HI81L8U+Yaf7z6sUbuxtQSwMEFAAAAAgAh07iQFrjEWb3AAAA4gEAABMAAABbQ29udGVu dF9UeXBlc10ueG1slZFNT8QgEIbvJv4HMlfTUj0YY0r3YPWoRtcfMIFpS7YFwmDd/ffS/bgY18Qj zLzP+wTq1XYaxUyRrXcKrssKBDntjXW9go/1U3EHghM6g6N3pGBHDKvm8qJe7wKxyGnHCoaUwr2U rAeakEsfyOVJ5+OEKR9jLwPqDfYkb6rqVmrvErlUpIUBTd1Sh59jEo/bfH0wiTQyiIfD4tKlAEMY rcaUTeXszI+W4thQ5uR+hwcb+CprgPy1YZmcLzjmXvLTRGtIvGJMzzhlDWkiS+O/XKS5/BuyWE5c +K6zmso2cptjbzSfrM7RecBAGf1f/PuSO8Hl/oeab1BLAQIUABQAAAAIAIdO4kBa4xFm9wAAAOIB AAATAAAAAAAAAAEAIAAAAIcCAABbQ29udGVudF9UeXBlc10ueG1sUEsBAhQACgAAAAAAh07iQAAA AAAAAAAAAAAAAAYAAAAAAAAAAAAQAAAAbgEAAF9yZWxzL1BLAQIUABQAAAAIAIdO4kDVXCYozAAA AI8BAAALAAAAAAAAAAEAIAAAAJIBAABfcmVscy8ucmVsc1BLAQIUAAoAAAAAAIdO4kAAAAAAAAAA AAAAAAAEAAAAAAAAAAAAEAAAAAAAAABkcnMvUEsBAhQAFAAAAAgAh07iQAVfVhq2AAAA2wAAAA8A AAAAAAAAAQAgAAAAIgAAAGRycy9kb3ducmV2LnhtbFBLAQIUABQAAAAIAIdO4kAzLwWeOwAAADkA AAAQAAAAAAAAAAEAIAAAAAUBAABkcnMvc2hhcGV4bWwueG1sUEsFBgAAAAAGAAYAWwEAAK8DAAAA AA== ">
                  <v:fill on="f" focussize="0,0"/>
                  <v:stroke weight="1pt" color="#00C4D8" joinstyle="round"/>
                  <v:imagedata o:title=""/>
                  <o:lock v:ext="edit" aspectratio="f"/>
                </v:shape>
              </v:group>
            </w:pict>
          </mc:Fallback>
        </mc:AlternateContent>
      </w:r>
      <w:r>
        <w:rPr>
          <w:rFonts w:hint="eastAsia" w:ascii="微软雅黑" w:hAnsi="微软雅黑"/>
          <w:b/>
          <w:sz w:val="30"/>
          <w:szCs w:val="30"/>
        </w:rPr>
        <w:br w:type="page"/>
      </w:r>
    </w:p>
    <w:p w14:paraId="1E07B7BE">
      <w:pPr>
        <w:spacing w:before="240" w:beforeLines="100" w:after="0"/>
        <w:jc w:val="both"/>
        <w:rPr>
          <w:b/>
          <w:bCs/>
          <w:color w:val="00C4D8"/>
          <w:sz w:val="44"/>
          <w:szCs w:val="44"/>
        </w:rPr>
      </w:pPr>
      <w:bookmarkStart w:id="0" w:name="_Toc31222"/>
      <w:bookmarkStart w:id="1" w:name="_Toc6876"/>
      <w:bookmarkStart w:id="2" w:name="_Toc6603"/>
      <w:bookmarkStart w:id="3" w:name="_Toc6705"/>
      <w:bookmarkStart w:id="4" w:name="_Toc30904"/>
      <w:bookmarkStart w:id="5" w:name="_Toc18130"/>
      <w:bookmarkStart w:id="6" w:name="_Toc3608"/>
      <w:bookmarkStart w:id="7" w:name="_Toc12809"/>
      <w:bookmarkStart w:id="8" w:name="_Toc27006"/>
      <w:bookmarkStart w:id="9" w:name="_Toc26024"/>
      <w:bookmarkStart w:id="10" w:name="_Toc14260"/>
      <w:bookmarkStart w:id="11" w:name="_Toc3134"/>
      <w:bookmarkStart w:id="12" w:name="_Toc4599"/>
      <w:bookmarkStart w:id="13" w:name="_Toc17764"/>
      <w:bookmarkStart w:id="14" w:name="OLE_LINK2"/>
      <w:bookmarkStart w:id="15" w:name="OLE_LINK1"/>
      <w:r>
        <w:rPr>
          <w:sz w:val="24"/>
        </w:rPr>
        <mc:AlternateContent>
          <mc:Choice Requires="wps">
            <w:drawing>
              <wp:anchor distT="0" distB="0" distL="114300" distR="114300" simplePos="0" relativeHeight="251674624" behindDoc="0" locked="0" layoutInCell="1" allowOverlap="1">
                <wp:simplePos x="0" y="0"/>
                <wp:positionH relativeFrom="column">
                  <wp:posOffset>862965</wp:posOffset>
                </wp:positionH>
                <wp:positionV relativeFrom="paragraph">
                  <wp:posOffset>1119505</wp:posOffset>
                </wp:positionV>
                <wp:extent cx="22860" cy="7139940"/>
                <wp:effectExtent l="9525" t="0" r="24765" b="3810"/>
                <wp:wrapNone/>
                <wp:docPr id="1015" name="直接连接符 11"/>
                <wp:cNvGraphicFramePr/>
                <a:graphic xmlns:a="http://schemas.openxmlformats.org/drawingml/2006/main">
                  <a:graphicData uri="http://schemas.microsoft.com/office/word/2010/wordprocessingShape">
                    <wps:wsp>
                      <wps:cNvCnPr/>
                      <wps:spPr>
                        <a:xfrm>
                          <a:off x="0" y="0"/>
                          <a:ext cx="22860" cy="7139940"/>
                        </a:xfrm>
                        <a:prstGeom prst="line">
                          <a:avLst/>
                        </a:prstGeom>
                        <a:noFill/>
                        <a:ln w="19050" cap="flat" cmpd="sng" algn="ctr">
                          <a:solidFill>
                            <a:srgbClr val="00C4D8"/>
                          </a:solidFill>
                          <a:prstDash val="solid"/>
                        </a:ln>
                        <a:effectLst/>
                      </wps:spPr>
                      <wps:bodyPr/>
                    </wps:wsp>
                  </a:graphicData>
                </a:graphic>
              </wp:anchor>
            </w:drawing>
          </mc:Choice>
          <mc:Fallback>
            <w:pict>
              <v:line id="直接连接符 11" o:spid="_x0000_s1026" o:spt="20" style="position:absolute;left:0pt;margin-left:67.95pt;margin-top:88.15pt;height:562.2pt;width:1.8pt;z-index:251674624;mso-width-relative:page;mso-height-relative:page;" filled="f" stroked="t" coordsize="21600,21600" o:gfxdata="UEsDBAoAAAAAAIdO4kAAAAAAAAAAAAAAAAAEAAAAZHJzL1BLAwQUAAAACACHTuJAzW/estYAAAAM AQAADwAAAGRycy9kb3ducmV2LnhtbE2PzU7DMBCE70i8g7VI3KjdRm1oiNMDtEgcSfsArr0kofE6 it0f3p7NCW4z2k+zM+Xm5ntxwTF2gTTMZwoEkg2uo0bDYb97egYRkyFn+kCo4QcjbKr7u9IULlzp Ey91agSHUCyMhjaloZAy2ha9ibMwIPHtK4zeJLZjI91orhzue7lQaiW96Yg/tGbA1xbtqT57De/j lnJ/+pC7b7O1h0Vuh/otav34MFcvIBLe0h8MU32uDhV3OoYzuSh69tlyzSiLfJWBmIhsvQRxnIRS OciqlP9HVL9QSwMEFAAAAAgAh07iQPfxYK3nAQAAsQMAAA4AAABkcnMvZTJvRG9jLnhtbK1TzY7T MBC+I/EOlu80Sdld2qjpHhotFwSVgAdwHTux5D95vE37ErwAEjc4ceTO27A8BmM3lGW57IGLM2OP v5nv85fV9cFoshcBlLMNrWYlJcJy1ynbN/T9u5tnC0ogMtsx7axo6FEAvV4/fbIafS3mbnC6E4Eg iIV69A0dYvR1UQAfhGEwc15YPJQuGBYxDX3RBTYiutHFvCyvitGFzgfHBQDutqdDOiGGxwA6KRUX reO3Rth4Qg1Cs4iUYFAe6DpPK6Xg8Y2UICLRDUWmMa/YBONdWov1itV9YH5QfBqBPWaEB5wMUxab nqFaFhm5DeofKKN4cOBknHFnihORrAiyqMoH2rwdmBeZC0oN/iw6/D9Y/nq/DUR16ISyuqTEMoNv fvfx248Pn39+/4Tr3dcvpKqSUKOHGus3dhumDPw2JNYHGUz6Ih9yyOIez+KKQyQcN+fzxRWqzvHk RfV8ubzI4hd/LvsA8aVwhqSgoVrZxJ3VbP8KIjbE0t8ladu6G6V1fj9tyYgEluVlasDQlBLNgKHx SAxsTwnTPbqdx5AhwWnVpesJCEK/2+hA9ix5pNxctIvEFtv9VZZ6twyGU10+msq0TTAiu20aNUl1 EidFO9cds2ZFyvAlM/rkumSV+znG9/+09S9QSwMECgAAAAAAh07iQAAAAAAAAAAAAAAAAAYAAABf cmVscy9QSwMEFAAAAAgAh07iQIoUZjzRAAAAlAEAAAsAAABfcmVscy8ucmVsc6WQwWrDMAyG74O9 g9F9cZrDGKNOL6PQa+kewNiKYxpbRjLZ+vbzDoNl9LajfqHvE//+8JkWtSJLpGxg1/WgMDvyMQcD 75fj0wsoqTZ7u1BGAzcUOIyPD/szLra2I5ljEdUoWQzMtZZXrcXNmKx0VDC3zUScbG0jB12su9qA euj7Z82/GTBumOrkDfDJD6Aut9LMf9gpOiahqXaOkqZpiu4eVQe2ZY7uyDbhG7lGsxywGvAsGgdq Wdd+BH1fv/un3tNHPuO61X6HjOuPV2+6HL8AUEsDBBQAAAAIAIdO4kB+5uUg9wAAAOEBAAATAAAA W0NvbnRlbnRfVHlwZXNdLnhtbJWRQU7DMBBF90jcwfIWJU67QAgl6YK0S0CoHGBkTxKLZGx5TGhv j5O2G0SRWNoz/78nu9wcxkFMGNg6quQqL6RA0s5Y6ir5vt9lD1JwBDIwOMJKHpHlpr69KfdHjyxS mriSfYz+USnWPY7AufNIadK6MEJMx9ApD/oDOlTrorhX2lFEilmcO2RdNtjC5xDF9pCuTyYBB5bi 6bQ4syoJ3g9WQ0ymaiLzg5KdCXlKLjvcW893SUOqXwnz5DrgnHtJTxOsQfEKIT7DmDSUCayM+6KA U/53yWw5cuba1mrMm8BNir3hdLG61o5r1zj93/Ltkrp0q+WD6m9QSwECFAAUAAAACACHTuJAfubl IPcAAADhAQAAEwAAAAAAAAABACAAAABWBAAAW0NvbnRlbnRfVHlwZXNdLnhtbFBLAQIUAAoAAAAA AIdO4kAAAAAAAAAAAAAAAAAGAAAAAAAAAAAAEAAAADgDAABfcmVscy9QSwECFAAUAAAACACHTuJA ihRmPNEAAACUAQAACwAAAAAAAAABACAAAABcAwAAX3JlbHMvLnJlbHNQSwECFAAKAAAAAACHTuJA AAAAAAAAAAAAAAAABAAAAAAAAAAAABAAAAAAAAAAZHJzL1BLAQIUABQAAAAIAIdO4kDNb96y1gAA AAwBAAAPAAAAAAAAAAEAIAAAACIAAABkcnMvZG93bnJldi54bWxQSwECFAAUAAAACACHTuJA9/Fg recBAACxAwAADgAAAAAAAAABACAAAAAlAQAAZHJzL2Uyb0RvYy54bWxQSwUGAAAAAAYABgBZAQAA fgUAAAAA ">
                <v:fill on="f" focussize="0,0"/>
                <v:stroke weight="1.5pt" color="#00C4D8" joinstyle="round"/>
                <v:imagedata o:title=""/>
                <o:lock v:ext="edit" aspectratio="f"/>
              </v:line>
            </w:pict>
          </mc:Fallback>
        </mc:AlternateContent>
      </w:r>
      <w:r>
        <w:rPr>
          <w:sz w:val="24"/>
        </w:rPr>
        <mc:AlternateContent>
          <mc:Choice Requires="wps">
            <w:drawing>
              <wp:anchor distT="0" distB="0" distL="114300" distR="114300" simplePos="0" relativeHeight="251679744" behindDoc="0" locked="0" layoutInCell="1" allowOverlap="1">
                <wp:simplePos x="0" y="0"/>
                <wp:positionH relativeFrom="column">
                  <wp:posOffset>828675</wp:posOffset>
                </wp:positionH>
                <wp:positionV relativeFrom="paragraph">
                  <wp:posOffset>1043305</wp:posOffset>
                </wp:positionV>
                <wp:extent cx="76200" cy="76200"/>
                <wp:effectExtent l="6350" t="6350" r="12700" b="12700"/>
                <wp:wrapNone/>
                <wp:docPr id="1016" name="椭圆 68"/>
                <wp:cNvGraphicFramePr/>
                <a:graphic xmlns:a="http://schemas.openxmlformats.org/drawingml/2006/main">
                  <a:graphicData uri="http://schemas.microsoft.com/office/word/2010/wordprocessingShape">
                    <wps:wsp>
                      <wps:cNvSpPr/>
                      <wps:spPr>
                        <a:xfrm>
                          <a:off x="0" y="0"/>
                          <a:ext cx="76200" cy="76200"/>
                        </a:xfrm>
                        <a:prstGeom prst="ellipse">
                          <a:avLst/>
                        </a:prstGeom>
                        <a:noFill/>
                        <a:ln w="12700" cap="flat" cmpd="sng" algn="ctr">
                          <a:solidFill>
                            <a:srgbClr val="00C4D8"/>
                          </a:solidFill>
                          <a:prstDash val="solid"/>
                        </a:ln>
                        <a:effectLst/>
                      </wps:spPr>
                      <wps:txbx>
                        <w:txbxContent>
                          <w:p w14:paraId="0565EC9C">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椭圆 68" o:spid="_x0000_s1026" o:spt="3" type="#_x0000_t3" style="position:absolute;left:0pt;margin-left:65.25pt;margin-top:82.15pt;height:6pt;width:6pt;z-index:251679744;v-text-anchor:middle;mso-width-relative:page;mso-height-relative:page;" filled="f" stroked="t" coordsize="21600,21600" o:gfxdata="UEsDBAoAAAAAAIdO4kAAAAAAAAAAAAAAAAAEAAAAZHJzL1BLAwQUAAAACACHTuJAGEwRutgAAAAL AQAADwAAAGRycy9kb3ducmV2LnhtbE2PzU7DMBCE70i8g7VI3KjdpoQqxOkBqUKqkBANF26b2MQR 8TqKnf68PdsT3GZ2R7PfltuzH8TRTrEPpGG5UCAstcH01Gn4rHcPGxAxIRkcAlkNFxthW93elFiY cKIPezykTnAJxQI1uJTGQsrYOusxLsJoiXffYfKY2E6dNBOeuNwPcqVULj32xBccjvbF2fbnMHsN Zv8lm3q3QTf372/12Lxm+wtpfX+3VM8gkj2nvzBc8RkdKmZqwkwmioF9ph45yiJfZyCuifWKJw2L pzwDWZXy/w/VL1BLAwQUAAAACACHTuJApVyj32kCAADRBAAADgAAAGRycy9lMm9Eb2MueG1srVTN bhMxEL4j8Q6W73STKKRl1aSKEhUhVbRSQZwdr5215D9sJ5vyADwFR648FjwHn73btBQOPXDZzHjG 38x8/ibnFwejyV6EqJyd0/HJiBJhuWuU3c7pxw+Xr84oiYnZhmlnxZzeiUgvFi9fnHe+FhPXOt2I QABiY935OW1T8nVVRd4Kw+KJ88IiKF0wLMEN26oJrAO60dVkNJpVnQuND46LGHG67oN0QAzPAXRS Ki7Wju+MsKlHDUKzhJFiq3yki9KtlIKnaymjSETPKSZN5YsisDf5Wy3OWb0NzLeKDy2w57TwZCbD lEXRI9SaJUZ2Qf0FZRQPLjqZTrgzVT9IYQRTjEdPuLltmRdlFlAd/ZH0+P9g+fv9TSCqgRJG4xkl lhm8+a/vP35++0pmZ5mfzscaabf+JgxehJmHPchg8i/GIIfC6d2RU3FIhOPwdIZHp4Qj0pvAqB6u +hDTW+EMycacCq3xfHlmVrP9VUx99n1WPrbuUmmNc1ZrSzo0PjktFRjEKCECFDMeA0W7pYTpLVTO UyiQ0WnV5Ov5dgzbzUoHsmdZG6PVdF3GRXN/pOXaaxbbPq+EMitI0zbDiKKyodXMVc9OttJhc0Bq NjeuuQPRwfUKjJ5fKgBfsZhuWIDkwBGWMl3jI7XDWG6wKGld+PKv85wPJSBKSQcJY+TPOxYEJfqd hUbejKfTrPniTF+fTuCEx5HN44jdmZUDE2Osv+fFzPlJ35syOPMJu7vMVRFilqN2T+7grFK/Wth+ LpbLkgade5au7K3nGbx/wuUuOanK6z6wA1KzA6UXeoetzKv02C9ZD/9Ei99QSwMECgAAAAAAh07i QAAAAAAAAAAAAAAAAAYAAABfcmVscy9QSwMEFAAAAAgAh07iQIoUZjzRAAAAlAEAAAsAAABfcmVs cy8ucmVsc6WQwWrDMAyG74O9g9F9cZrDGKNOL6PQa+kewNiKYxpbRjLZ+vbzDoNl9LajfqHvE//+ 8JkWtSJLpGxg1/WgMDvyMQcD75fj0wsoqTZ7u1BGAzcUOIyPD/szLra2I5ljEdUoWQzMtZZXrcXN mKx0VDC3zUScbG0jB12su9qAeuj7Z82/GTBumOrkDfDJD6Aut9LMf9gpOiahqXaOkqZpiu4eVQe2 ZY7uyDbhG7lGsxywGvAsGgdqWdd+BH1fv/un3tNHPuO61X6HjOuPV2+6HL8AUEsDBBQAAAAIAIdO 4kB+5uUg9wAAAOEBAAATAAAAW0NvbnRlbnRfVHlwZXNdLnhtbJWRQU7DMBBF90jcwfIWJU67QAgl 6YK0S0CoHGBkTxKLZGx5TGhvj5O2G0SRWNoz/78nu9wcxkFMGNg6quQqL6RA0s5Y6ir5vt9lD1Jw BDIwOMJKHpHlpr69KfdHjyxSmriSfYz+USnWPY7AufNIadK6MEJMx9ApD/oDOlTrorhX2lFEilmc O2RdNtjC5xDF9pCuTyYBB5bi6bQ4syoJ3g9WQ0ymaiLzg5KdCXlKLjvcW893SUOqXwnz5DrgnHtJ TxOsQfEKIT7DmDSUCayM+6KAU/53yWw5cuba1mrMm8BNir3hdLG61o5r1zj93/Ltkrp0q+WD6m9Q SwECFAAUAAAACACHTuJAfublIPcAAADhAQAAEwAAAAAAAAABACAAAADaBAAAW0NvbnRlbnRfVHlw ZXNdLnhtbFBLAQIUAAoAAAAAAIdO4kAAAAAAAAAAAAAAAAAGAAAAAAAAAAAAEAAAALwDAABfcmVs cy9QSwECFAAUAAAACACHTuJAihRmPNEAAACUAQAACwAAAAAAAAABACAAAADgAwAAX3JlbHMvLnJl bHNQSwECFAAKAAAAAACHTuJAAAAAAAAAAAAAAAAABAAAAAAAAAAAABAAAAAAAAAAZHJzL1BLAQIU ABQAAAAIAIdO4kAYTBG62AAAAAsBAAAPAAAAAAAAAAEAIAAAACIAAABkcnMvZG93bnJldi54bWxQ SwECFAAUAAAACACHTuJApVyj32kCAADRBAAADgAAAAAAAAABACAAAAAnAQAAZHJzL2Uyb0RvYy54 bWxQSwUGAAAAAAYABgBZAQAAAgYAAAAA ">
                <v:fill on="f" focussize="0,0"/>
                <v:stroke weight="1pt" color="#00C4D8" joinstyle="round"/>
                <v:imagedata o:title=""/>
                <o:lock v:ext="edit" aspectratio="f"/>
                <v:textbox>
                  <w:txbxContent>
                    <w:p w14:paraId="0565EC9C">
                      <w:pPr>
                        <w:jc w:val="center"/>
                      </w:pPr>
                    </w:p>
                  </w:txbxContent>
                </v:textbox>
              </v:shape>
            </w:pict>
          </mc:Fallback>
        </mc:AlternateContent>
      </w:r>
      <w:r>
        <w:rPr>
          <w:b/>
          <w:bCs/>
          <w:color w:val="00C4D8"/>
          <w:sz w:val="44"/>
          <w:szCs w:val="44"/>
        </w:rPr>
        <w:t>目    录</w:t>
      </w:r>
    </w:p>
    <w:sdt>
      <w:sdtPr>
        <w:rPr>
          <w:rFonts w:ascii="宋体" w:hAnsi="宋体" w:eastAsia="宋体"/>
          <w:sz w:val="21"/>
        </w:rPr>
        <w:id w:val="147482047"/>
        <w15:color w:val="DBDBDB"/>
        <w:docPartObj>
          <w:docPartGallery w:val="Table of Contents"/>
          <w:docPartUnique/>
        </w:docPartObj>
      </w:sdtPr>
      <w:sdtEndPr>
        <w:rPr>
          <w:rFonts w:ascii="Tahoma" w:hAnsi="Tahoma" w:eastAsia="微软雅黑"/>
          <w:bCs/>
          <w:color w:val="00C4D8"/>
          <w:sz w:val="22"/>
          <w:szCs w:val="44"/>
        </w:rPr>
      </w:sdtEndPr>
      <w:sdtContent>
        <w:p w14:paraId="1FB0E3E3">
          <w:pPr>
            <w:spacing w:after="0"/>
            <w:jc w:val="center"/>
            <w:rPr>
              <w:rFonts w:ascii="宋体" w:hAnsi="宋体" w:eastAsia="宋体"/>
              <w:sz w:val="21"/>
            </w:rPr>
          </w:pPr>
        </w:p>
        <w:p w14:paraId="1AAD7890">
          <w:pPr>
            <w:spacing w:after="0"/>
            <w:jc w:val="center"/>
            <w:rPr>
              <w:rFonts w:ascii="宋体" w:hAnsi="宋体" w:eastAsia="宋体"/>
              <w:sz w:val="21"/>
            </w:rPr>
          </w:pPr>
        </w:p>
        <w:p w14:paraId="17BE5C0B">
          <w:pPr>
            <w:spacing w:after="0"/>
            <w:jc w:val="center"/>
            <w:rPr>
              <w:rFonts w:ascii="宋体" w:hAnsi="宋体" w:eastAsia="宋体"/>
              <w:sz w:val="21"/>
            </w:rPr>
          </w:pPr>
        </w:p>
        <w:p w14:paraId="760C8D7A">
          <w:pPr>
            <w:spacing w:after="0"/>
            <w:jc w:val="center"/>
            <w:rPr>
              <w:rFonts w:ascii="宋体" w:hAnsi="宋体" w:eastAsia="宋体"/>
              <w:sz w:val="21"/>
            </w:rPr>
          </w:pPr>
        </w:p>
        <w:p w14:paraId="63ABB7D7">
          <w:pPr>
            <w:spacing w:after="0"/>
            <w:jc w:val="center"/>
            <w:rPr>
              <w:rFonts w:ascii="宋体" w:hAnsi="宋体" w:eastAsia="宋体"/>
              <w:sz w:val="21"/>
            </w:rPr>
          </w:pPr>
        </w:p>
        <w:p w14:paraId="6F44D1AA">
          <w:pPr>
            <w:tabs>
              <w:tab w:val="right" w:pos="7700"/>
            </w:tabs>
            <w:adjustRightInd w:val="0"/>
            <w:snapToGrid w:val="0"/>
            <w:spacing w:after="0" w:line="312" w:lineRule="auto"/>
            <w:ind w:left="1980" w:leftChars="900"/>
            <w:rPr>
              <w:rFonts w:ascii="Tahoma" w:hAnsi="Tahoma" w:eastAsia="微软雅黑" w:cs="Times New Roman"/>
              <w:b/>
              <w:bCs/>
              <w:color w:val="00C4D8"/>
              <w:sz w:val="32"/>
              <w:szCs w:val="32"/>
              <w:lang w:val="en-US" w:eastAsia="zh-CN" w:bidi="ar-SA"/>
            </w:rPr>
          </w:pPr>
          <w:r>
            <w:rPr>
              <w:rFonts w:ascii="Tahoma" w:hAnsi="Tahoma" w:eastAsia="微软雅黑" w:cs="Times New Roman"/>
              <w:b/>
              <w:bCs/>
              <w:color w:val="00C4D8"/>
              <w:sz w:val="44"/>
              <w:szCs w:val="44"/>
              <w:lang w:val="en-US" w:eastAsia="zh-CN" w:bidi="ar-SA"/>
            </w:rPr>
            <w:fldChar w:fldCharType="begin"/>
          </w:r>
          <w:r>
            <w:rPr>
              <w:rFonts w:ascii="Tahoma" w:hAnsi="Tahoma" w:eastAsia="微软雅黑" w:cs="Times New Roman"/>
              <w:b/>
              <w:bCs/>
              <w:color w:val="00C4D8"/>
              <w:sz w:val="44"/>
              <w:szCs w:val="44"/>
              <w:lang w:val="en-US" w:eastAsia="zh-CN" w:bidi="ar-SA"/>
            </w:rPr>
            <w:instrText xml:space="preserve">TOC \o "1-1" \h \u </w:instrText>
          </w:r>
          <w:r>
            <w:rPr>
              <w:rFonts w:ascii="Tahoma" w:hAnsi="Tahoma" w:eastAsia="微软雅黑" w:cs="Times New Roman"/>
              <w:b/>
              <w:bCs/>
              <w:color w:val="00C4D8"/>
              <w:sz w:val="44"/>
              <w:szCs w:val="44"/>
              <w:lang w:val="en-US" w:eastAsia="zh-CN" w:bidi="ar-SA"/>
            </w:rPr>
            <w:fldChar w:fldCharType="separate"/>
          </w: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"_Toc26009" </w:instrText>
          </w:r>
          <w:r>
            <w:rPr>
              <w:rFonts w:ascii="Tahoma" w:hAnsi="Tahoma" w:eastAsia="微软雅黑" w:cs="Times New Roman"/>
              <w:sz w:val="22"/>
              <w:szCs w:val="22"/>
              <w:lang w:val="en-US" w:eastAsia="zh-CN" w:bidi="ar-SA"/>
            </w:rPr>
            <w:fldChar w:fldCharType="separate"/>
          </w:r>
          <w:r>
            <w:rPr>
              <w:rFonts w:hint="eastAsia" w:ascii="Tahoma" w:hAnsi="Tahoma" w:eastAsia="微软雅黑" w:cs="Times New Roman"/>
              <w:b/>
              <w:bCs/>
              <w:color w:val="00C4D8"/>
              <w:sz w:val="32"/>
              <w:szCs w:val="32"/>
              <w:lang w:val="en-US" w:eastAsia="zh-CN" w:bidi="ar-SA"/>
            </w:rPr>
            <w:t>第一部分：基本信息</w:t>
          </w:r>
          <w:r>
            <w:rPr>
              <w:rFonts w:ascii="Tahoma" w:hAnsi="Tahoma" w:eastAsia="微软雅黑" w:cs="Times New Roman"/>
              <w:b/>
              <w:bCs/>
              <w:color w:val="00C4D8"/>
              <w:sz w:val="32"/>
              <w:szCs w:val="32"/>
              <w:lang w:val="en-US" w:eastAsia="zh-CN" w:bidi="ar-SA"/>
            </w:rPr>
            <w:tab/>
          </w:r>
          <w:r>
            <w:rPr>
              <w:rFonts w:ascii="Tahoma" w:hAnsi="Tahoma" w:eastAsia="微软雅黑" w:cs="Times New Roman"/>
              <w:b/>
              <w:bCs/>
              <w:color w:val="00C4D8"/>
              <w:sz w:val="32"/>
              <w:szCs w:val="32"/>
              <w:lang w:val="en-US" w:eastAsia="zh-CN" w:bidi="ar-SA"/>
            </w:rPr>
            <w:fldChar w:fldCharType="end"/>
          </w:r>
        </w:p>
        <w:p w14:paraId="1AECC18F">
          <w:pPr>
            <w:tabs>
              <w:tab w:val="right" w:pos="7700"/>
            </w:tabs>
            <w:adjustRightInd w:val="0"/>
            <w:snapToGrid w:val="0"/>
            <w:spacing w:after="0" w:line="312" w:lineRule="auto"/>
            <w:ind w:left="1980" w:leftChars="900"/>
            <w:rPr>
              <w:rFonts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"_Toc24274" </w:instrText>
          </w:r>
          <w:r>
            <w:rPr>
              <w:rFonts w:ascii="Tahoma" w:hAnsi="Tahoma" w:eastAsia="微软雅黑" w:cs="Times New Roman"/>
              <w:sz w:val="22"/>
              <w:szCs w:val="22"/>
              <w:lang w:val="en-US" w:eastAsia="zh-CN" w:bidi="ar-SA"/>
            </w:rPr>
            <w:fldChar w:fldCharType="separate"/>
          </w:r>
          <w:r>
            <w:rPr>
              <w:rFonts w:hint="eastAsia" w:ascii="微软雅黑" w:hAnsi="微软雅黑" w:eastAsia="微软雅黑" w:cs="Times New Roman"/>
              <w:sz w:val="22"/>
              <w:szCs w:val="32"/>
              <w:lang w:val="en-US" w:eastAsia="zh-CN" w:bidi="ar-SA"/>
            </w:rPr>
            <w:t>患者及样本信息</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PAGEREF _Toc24274 \h </w:instrText>
          </w:r>
          <w:r>
            <w:rPr>
              <w:rFonts w:ascii="Tahoma" w:hAnsi="Tahoma" w:eastAsia="微软雅黑" w:cs="Times New Roman"/>
              <w:sz w:val="22"/>
              <w:szCs w:val="22"/>
              <w:lang w:val="en-US" w:eastAsia="zh-CN" w:bidi="ar-SA"/>
            </w:rPr>
            <w:fldChar w:fldCharType="separate"/>
          </w:r>
          <w:r>
            <w:rPr>
              <w:rFonts w:ascii="Tahoma" w:hAnsi="Tahoma" w:eastAsia="微软雅黑" w:cs="Times New Roman"/>
              <w:sz w:val="22"/>
              <w:szCs w:val="22"/>
              <w:lang w:val="en-US" w:eastAsia="zh-CN" w:bidi="ar-SA"/>
            </w:rPr>
            <w:t>1</w:t>
          </w:r>
          <w:r>
            <w:rPr>
              <w:rFonts w:ascii="Tahoma" w:hAnsi="Tahoma" w:eastAsia="微软雅黑" w:cs="Times New Roman"/>
              <w:sz w:val="22"/>
              <w:szCs w:val="22"/>
              <w:lang w:val="en-US" w:eastAsia="zh-CN" w:bidi="ar-SA"/>
            </w:rPr>
            <w:fldChar w:fldCharType="end"/>
          </w:r>
          <w:r>
            <w:rPr>
              <w:rFonts w:ascii="Tahoma" w:hAnsi="Tahoma" w:eastAsia="微软雅黑" w:cs="Times New Roman"/>
              <w:sz w:val="22"/>
              <w:szCs w:val="22"/>
              <w:lang w:val="en-US" w:eastAsia="zh-CN" w:bidi="ar-SA"/>
            </w:rPr>
            <w:fldChar w:fldCharType="end"/>
          </w:r>
        </w:p>
        <w:p w14:paraId="037C18E5">
          <w:pPr>
            <w:tabs>
              <w:tab w:val="right" w:pos="7700"/>
            </w:tabs>
            <w:adjustRightInd w:val="0"/>
            <w:snapToGrid w:val="0"/>
            <w:spacing w:after="0" w:line="312" w:lineRule="auto"/>
            <w:ind w:left="1980" w:leftChars="900"/>
            <w:rPr>
              <w:rFonts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"_Toc17258" </w:instrText>
          </w:r>
          <w:r>
            <w:rPr>
              <w:rFonts w:ascii="Tahoma" w:hAnsi="Tahoma" w:eastAsia="微软雅黑" w:cs="Times New Roman"/>
              <w:sz w:val="22"/>
              <w:szCs w:val="22"/>
              <w:lang w:val="en-US" w:eastAsia="zh-CN" w:bidi="ar-SA"/>
            </w:rPr>
            <w:fldChar w:fldCharType="separate"/>
          </w:r>
          <w:r>
            <w:rPr>
              <w:rFonts w:hint="eastAsia" w:ascii="微软雅黑" w:hAnsi="微软雅黑" w:eastAsia="微软雅黑" w:cs="Times New Roman"/>
              <w:sz w:val="22"/>
              <w:szCs w:val="32"/>
              <w:lang w:val="en-US" w:eastAsia="zh-CN" w:bidi="ar-SA"/>
            </w:rPr>
            <w:t>检测内容</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PAGEREF _Toc17258 \h </w:instrText>
          </w:r>
          <w:r>
            <w:rPr>
              <w:rFonts w:ascii="Tahoma" w:hAnsi="Tahoma" w:eastAsia="微软雅黑" w:cs="Times New Roman"/>
              <w:sz w:val="22"/>
              <w:szCs w:val="22"/>
              <w:lang w:val="en-US" w:eastAsia="zh-CN" w:bidi="ar-SA"/>
            </w:rPr>
            <w:fldChar w:fldCharType="separate"/>
          </w:r>
          <w:r>
            <w:rPr>
              <w:rFonts w:ascii="Tahoma" w:hAnsi="Tahoma" w:eastAsia="微软雅黑" w:cs="Times New Roman"/>
              <w:sz w:val="22"/>
              <w:szCs w:val="22"/>
              <w:lang w:val="en-US" w:eastAsia="zh-CN" w:bidi="ar-SA"/>
            </w:rPr>
            <w:t>1</w:t>
          </w:r>
          <w:r>
            <w:rPr>
              <w:rFonts w:ascii="Tahoma" w:hAnsi="Tahoma" w:eastAsia="微软雅黑" w:cs="Times New Roman"/>
              <w:sz w:val="22"/>
              <w:szCs w:val="22"/>
              <w:lang w:val="en-US" w:eastAsia="zh-CN" w:bidi="ar-SA"/>
            </w:rPr>
            <w:fldChar w:fldCharType="end"/>
          </w:r>
          <w:r>
            <w:rPr>
              <w:rFonts w:ascii="Tahoma" w:hAnsi="Tahoma" w:eastAsia="微软雅黑" w:cs="Times New Roman"/>
              <w:sz w:val="22"/>
              <w:szCs w:val="22"/>
              <w:lang w:val="en-US" w:eastAsia="zh-CN" w:bidi="ar-SA"/>
            </w:rPr>
            <w:fldChar w:fldCharType="end"/>
          </w:r>
        </w:p>
        <w:p w14:paraId="2C79A89C">
          <w:pPr>
            <w:tabs>
              <w:tab w:val="right" w:pos="7700"/>
            </w:tabs>
            <w:adjustRightInd w:val="0"/>
            <w:snapToGrid w:val="0"/>
            <w:spacing w:after="0" w:line="312" w:lineRule="auto"/>
            <w:ind w:left="1980" w:leftChars="900"/>
            <w:rPr>
              <w:rFonts w:ascii="Tahoma" w:hAnsi="Tahoma" w:eastAsia="微软雅黑" w:cs="Times New Roman"/>
              <w:b/>
              <w:bCs/>
              <w:color w:val="00C4D8"/>
              <w:sz w:val="32"/>
              <w:szCs w:val="3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"_Toc4168" </w:instrText>
          </w:r>
          <w:r>
            <w:rPr>
              <w:rFonts w:ascii="Tahoma" w:hAnsi="Tahoma" w:eastAsia="微软雅黑" w:cs="Times New Roman"/>
              <w:sz w:val="22"/>
              <w:szCs w:val="22"/>
              <w:lang w:val="en-US" w:eastAsia="zh-CN" w:bidi="ar-SA"/>
            </w:rPr>
            <w:fldChar w:fldCharType="separate"/>
          </w:r>
          <w:r>
            <w:rPr>
              <w:rFonts w:hint="eastAsia" w:ascii="Tahoma" w:hAnsi="Tahoma" w:eastAsia="微软雅黑" w:cs="Times New Roman"/>
              <w:b/>
              <w:bCs/>
              <w:color w:val="00C4D8"/>
              <w:sz w:val="32"/>
              <w:szCs w:val="32"/>
              <w:lang w:val="en-US" w:eastAsia="zh-CN" w:bidi="ar-SA"/>
            </w:rPr>
            <w:t>第二部分：检测结果</w:t>
          </w:r>
          <w:r>
            <w:rPr>
              <w:rFonts w:hint="eastAsia" w:ascii="Tahoma" w:hAnsi="Tahoma" w:eastAsia="微软雅黑" w:cs="Times New Roman"/>
              <w:b/>
              <w:bCs/>
              <w:color w:val="00C4D8"/>
              <w:sz w:val="32"/>
              <w:szCs w:val="32"/>
              <w:lang w:val="en-US" w:eastAsia="zh-CN" w:bidi="ar-SA"/>
            </w:rPr>
            <w:tab/>
          </w:r>
          <w:r>
            <w:rPr>
              <w:rFonts w:hint="eastAsia" w:ascii="Tahoma" w:hAnsi="Tahoma" w:eastAsia="微软雅黑" w:cs="Times New Roman"/>
              <w:b/>
              <w:bCs/>
              <w:color w:val="00C4D8"/>
              <w:sz w:val="32"/>
              <w:szCs w:val="32"/>
              <w:lang w:val="en-US" w:eastAsia="zh-CN" w:bidi="ar-SA"/>
            </w:rPr>
            <w:fldChar w:fldCharType="end"/>
          </w:r>
        </w:p>
        <w:p w14:paraId="5134043C">
          <w:pPr>
            <w:tabs>
              <w:tab w:val="right" w:pos="7700"/>
            </w:tabs>
            <w:adjustRightInd w:val="0"/>
            <w:snapToGrid w:val="0"/>
            <w:spacing w:after="0" w:line="312" w:lineRule="auto"/>
            <w:ind w:left="1980" w:leftChars="900"/>
            <w:rPr>
              <w:rFonts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"_Toc14194" </w:instrText>
          </w:r>
          <w:r>
            <w:rPr>
              <w:rFonts w:ascii="Tahoma" w:hAnsi="Tahoma" w:eastAsia="微软雅黑" w:cs="Times New Roman"/>
              <w:sz w:val="22"/>
              <w:szCs w:val="22"/>
              <w:lang w:val="en-US" w:eastAsia="zh-CN" w:bidi="ar-SA"/>
            </w:rPr>
            <w:fldChar w:fldCharType="separate"/>
          </w:r>
          <w:r>
            <w:rPr>
              <w:rFonts w:hint="eastAsia" w:ascii="微软雅黑" w:hAnsi="微软雅黑" w:eastAsia="微软雅黑" w:cs="Times New Roman"/>
              <w:sz w:val="22"/>
              <w:szCs w:val="32"/>
              <w:lang w:val="en-US" w:eastAsia="zh-CN" w:bidi="ar-SA"/>
            </w:rPr>
            <w:t>检测结果小结</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PAGEREF _Toc14194 \h </w:instrText>
          </w:r>
          <w:r>
            <w:rPr>
              <w:rFonts w:ascii="Tahoma" w:hAnsi="Tahoma" w:eastAsia="微软雅黑" w:cs="Times New Roman"/>
              <w:sz w:val="22"/>
              <w:szCs w:val="22"/>
              <w:lang w:val="en-US" w:eastAsia="zh-CN" w:bidi="ar-SA"/>
            </w:rPr>
            <w:fldChar w:fldCharType="separate"/>
          </w:r>
          <w:r>
            <w:rPr>
              <w:rFonts w:ascii="Tahoma" w:hAnsi="Tahoma" w:eastAsia="微软雅黑" w:cs="Times New Roman"/>
              <w:sz w:val="22"/>
              <w:szCs w:val="22"/>
              <w:lang w:val="en-US" w:eastAsia="zh-CN" w:bidi="ar-SA"/>
            </w:rPr>
            <w:t>2</w:t>
          </w:r>
          <w:r>
            <w:rPr>
              <w:rFonts w:ascii="Tahoma" w:hAnsi="Tahoma" w:eastAsia="微软雅黑" w:cs="Times New Roman"/>
              <w:sz w:val="22"/>
              <w:szCs w:val="22"/>
              <w:lang w:val="en-US" w:eastAsia="zh-CN" w:bidi="ar-SA"/>
            </w:rPr>
            <w:fldChar w:fldCharType="end"/>
          </w:r>
          <w:r>
            <w:rPr>
              <w:rFonts w:ascii="Tahoma" w:hAnsi="Tahoma" w:eastAsia="微软雅黑" w:cs="Times New Roman"/>
              <w:sz w:val="22"/>
              <w:szCs w:val="22"/>
              <w:lang w:val="en-US" w:eastAsia="zh-CN" w:bidi="ar-SA"/>
            </w:rPr>
            <w:fldChar w:fldCharType="end"/>
          </w:r>
        </w:p>
        <w:p w14:paraId="38736788">
          <w:pPr>
            <w:tabs>
              <w:tab w:val="right" w:pos="7700"/>
            </w:tabs>
            <w:adjustRightInd w:val="0"/>
            <w:snapToGrid w:val="0"/>
            <w:spacing w:after="0" w:line="312" w:lineRule="auto"/>
            <w:ind w:left="1980" w:leftChars="900"/>
            <w:rPr>
              <w:rFonts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"_Toc24469" </w:instrText>
          </w:r>
          <w:r>
            <w:rPr>
              <w:rFonts w:ascii="Tahoma" w:hAnsi="Tahoma" w:eastAsia="微软雅黑" w:cs="Times New Roman"/>
              <w:sz w:val="22"/>
              <w:szCs w:val="22"/>
              <w:lang w:val="en-US" w:eastAsia="zh-CN" w:bidi="ar-SA"/>
            </w:rPr>
            <w:fldChar w:fldCharType="separate"/>
          </w:r>
          <w:r>
            <w:rPr>
              <w:rFonts w:hint="eastAsia" w:ascii="微软雅黑" w:hAnsi="微软雅黑" w:eastAsia="微软雅黑" w:cs="Times New Roman"/>
              <w:sz w:val="22"/>
              <w:szCs w:val="32"/>
              <w:lang w:val="en-US" w:eastAsia="zh-CN" w:bidi="ar-SA"/>
            </w:rPr>
            <w:t>靶向药物相关检测结果</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PAGEREF _Toc24469 \h </w:instrText>
          </w:r>
          <w:r>
            <w:rPr>
              <w:rFonts w:ascii="Tahoma" w:hAnsi="Tahoma" w:eastAsia="微软雅黑" w:cs="Times New Roman"/>
              <w:sz w:val="22"/>
              <w:szCs w:val="22"/>
              <w:lang w:val="en-US" w:eastAsia="zh-CN" w:bidi="ar-SA"/>
            </w:rPr>
            <w:fldChar w:fldCharType="separate"/>
          </w:r>
          <w:r>
            <w:rPr>
              <w:rFonts w:ascii="Tahoma" w:hAnsi="Tahoma" w:eastAsia="微软雅黑" w:cs="Times New Roman"/>
              <w:sz w:val="22"/>
              <w:szCs w:val="22"/>
              <w:lang w:val="en-US" w:eastAsia="zh-CN" w:bidi="ar-SA"/>
            </w:rPr>
            <w:t>5</w:t>
          </w:r>
          <w:r>
            <w:rPr>
              <w:rFonts w:ascii="Tahoma" w:hAnsi="Tahoma" w:eastAsia="微软雅黑" w:cs="Times New Roman"/>
              <w:sz w:val="22"/>
              <w:szCs w:val="22"/>
              <w:lang w:val="en-US" w:eastAsia="zh-CN" w:bidi="ar-SA"/>
            </w:rPr>
            <w:fldChar w:fldCharType="end"/>
          </w:r>
          <w:r>
            <w:rPr>
              <w:rFonts w:ascii="Tahoma" w:hAnsi="Tahoma" w:eastAsia="微软雅黑" w:cs="Times New Roman"/>
              <w:sz w:val="22"/>
              <w:szCs w:val="22"/>
              <w:lang w:val="en-US" w:eastAsia="zh-CN" w:bidi="ar-SA"/>
            </w:rPr>
            <w:fldChar w:fldCharType="end"/>
          </w:r>
        </w:p>
        <w:p w14:paraId="1C3C88C7">
          <w:pPr>
            <w:tabs>
              <w:tab w:val="right" w:pos="7700"/>
            </w:tabs>
            <w:adjustRightInd w:val="0"/>
            <w:snapToGrid w:val="0"/>
            <w:spacing w:after="0" w:line="312" w:lineRule="auto"/>
            <w:ind w:left="1980" w:leftChars="900"/>
            <w:rPr>
              <w:rFonts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"_Toc31097" </w:instrText>
          </w:r>
          <w:r>
            <w:rPr>
              <w:rFonts w:ascii="Tahoma" w:hAnsi="Tahoma" w:eastAsia="微软雅黑" w:cs="Times New Roman"/>
              <w:sz w:val="22"/>
              <w:szCs w:val="22"/>
              <w:lang w:val="en-US" w:eastAsia="zh-CN" w:bidi="ar-SA"/>
            </w:rPr>
            <w:fldChar w:fldCharType="separate"/>
          </w:r>
          <w:r>
            <w:rPr>
              <w:rFonts w:hint="eastAsia" w:ascii="微软雅黑" w:hAnsi="微软雅黑" w:eastAsia="微软雅黑" w:cs="Times New Roman"/>
              <w:sz w:val="22"/>
              <w:szCs w:val="32"/>
              <w:lang w:val="en-US" w:eastAsia="zh-CN" w:bidi="ar-SA"/>
            </w:rPr>
            <w:t>免疫治疗疗效评估</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PAGEREF _Toc31097 \h </w:instrText>
          </w:r>
          <w:r>
            <w:rPr>
              <w:rFonts w:ascii="Tahoma" w:hAnsi="Tahoma" w:eastAsia="微软雅黑" w:cs="Times New Roman"/>
              <w:sz w:val="22"/>
              <w:szCs w:val="22"/>
              <w:lang w:val="en-US" w:eastAsia="zh-CN" w:bidi="ar-SA"/>
            </w:rPr>
            <w:fldChar w:fldCharType="separate"/>
          </w:r>
          <w:r>
            <w:rPr>
              <w:rFonts w:ascii="Tahoma" w:hAnsi="Tahoma" w:eastAsia="微软雅黑" w:cs="Times New Roman"/>
              <w:sz w:val="22"/>
              <w:szCs w:val="22"/>
              <w:lang w:val="en-US" w:eastAsia="zh-CN" w:bidi="ar-SA"/>
            </w:rPr>
            <w:t>13</w:t>
          </w:r>
          <w:r>
            <w:rPr>
              <w:rFonts w:ascii="Tahoma" w:hAnsi="Tahoma" w:eastAsia="微软雅黑" w:cs="Times New Roman"/>
              <w:sz w:val="22"/>
              <w:szCs w:val="22"/>
              <w:lang w:val="en-US" w:eastAsia="zh-CN" w:bidi="ar-SA"/>
            </w:rPr>
            <w:fldChar w:fldCharType="end"/>
          </w:r>
          <w:r>
            <w:rPr>
              <w:rFonts w:ascii="Tahoma" w:hAnsi="Tahoma" w:eastAsia="微软雅黑" w:cs="Times New Roman"/>
              <w:sz w:val="22"/>
              <w:szCs w:val="22"/>
              <w:lang w:val="en-US" w:eastAsia="zh-CN" w:bidi="ar-SA"/>
            </w:rPr>
            <w:fldChar w:fldCharType="end"/>
          </w:r>
        </w:p>
        <w:p w14:paraId="43A926E6">
          <w:pPr>
            <w:tabs>
              <w:tab w:val="right" w:pos="7700"/>
            </w:tabs>
            <w:adjustRightInd w:val="0"/>
            <w:snapToGrid w:val="0"/>
            <w:spacing w:after="0" w:line="312" w:lineRule="auto"/>
            <w:ind w:left="1980" w:leftChars="900"/>
            <w:rPr>
              <w:rFonts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"_Toc29647" </w:instrText>
          </w:r>
          <w:r>
            <w:rPr>
              <w:rFonts w:ascii="Tahoma" w:hAnsi="Tahoma" w:eastAsia="微软雅黑" w:cs="Times New Roman"/>
              <w:sz w:val="22"/>
              <w:szCs w:val="22"/>
              <w:lang w:val="en-US" w:eastAsia="zh-CN" w:bidi="ar-SA"/>
            </w:rPr>
            <w:fldChar w:fldCharType="separate"/>
          </w:r>
          <w:r>
            <w:rPr>
              <w:rFonts w:hint="eastAsia" w:ascii="微软雅黑" w:hAnsi="微软雅黑" w:eastAsia="微软雅黑" w:cs="Times New Roman"/>
              <w:sz w:val="22"/>
              <w:szCs w:val="32"/>
              <w:lang w:val="en-US" w:eastAsia="zh-CN" w:bidi="ar-SA"/>
            </w:rPr>
            <w:t>检测结果说明</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PAGEREF _Toc29647 \h </w:instrText>
          </w:r>
          <w:r>
            <w:rPr>
              <w:rFonts w:ascii="Tahoma" w:hAnsi="Tahoma" w:eastAsia="微软雅黑" w:cs="Times New Roman"/>
              <w:sz w:val="22"/>
              <w:szCs w:val="22"/>
              <w:lang w:val="en-US" w:eastAsia="zh-CN" w:bidi="ar-SA"/>
            </w:rPr>
            <w:fldChar w:fldCharType="separate"/>
          </w:r>
          <w:r>
            <w:rPr>
              <w:rFonts w:ascii="Tahoma" w:hAnsi="Tahoma" w:eastAsia="微软雅黑" w:cs="Times New Roman"/>
              <w:sz w:val="22"/>
              <w:szCs w:val="22"/>
              <w:lang w:val="en-US" w:eastAsia="zh-CN" w:bidi="ar-SA"/>
            </w:rPr>
            <w:t>20</w:t>
          </w:r>
          <w:r>
            <w:rPr>
              <w:rFonts w:ascii="Tahoma" w:hAnsi="Tahoma" w:eastAsia="微软雅黑" w:cs="Times New Roman"/>
              <w:sz w:val="22"/>
              <w:szCs w:val="22"/>
              <w:lang w:val="en-US" w:eastAsia="zh-CN" w:bidi="ar-SA"/>
            </w:rPr>
            <w:fldChar w:fldCharType="end"/>
          </w:r>
          <w:r>
            <w:rPr>
              <w:rFonts w:ascii="Tahoma" w:hAnsi="Tahoma" w:eastAsia="微软雅黑" w:cs="Times New Roman"/>
              <w:sz w:val="22"/>
              <w:szCs w:val="22"/>
              <w:lang w:val="en-US" w:eastAsia="zh-CN" w:bidi="ar-SA"/>
            </w:rPr>
            <w:fldChar w:fldCharType="end"/>
          </w:r>
        </w:p>
        <w:p w14:paraId="5BE00BEF">
          <w:pPr>
            <w:tabs>
              <w:tab w:val="right" w:pos="7700"/>
            </w:tabs>
            <w:adjustRightInd w:val="0"/>
            <w:snapToGrid w:val="0"/>
            <w:spacing w:after="0" w:line="312" w:lineRule="auto"/>
            <w:ind w:left="1980" w:leftChars="900"/>
            <w:rPr>
              <w:rFonts w:ascii="Tahoma" w:hAnsi="Tahoma" w:eastAsia="微软雅黑" w:cs="Times New Roman"/>
              <w:b/>
              <w:bCs/>
              <w:color w:val="00C4D8"/>
              <w:sz w:val="32"/>
              <w:szCs w:val="3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"_Toc6684" </w:instrText>
          </w:r>
          <w:r>
            <w:rPr>
              <w:rFonts w:ascii="Tahoma" w:hAnsi="Tahoma" w:eastAsia="微软雅黑" w:cs="Times New Roman"/>
              <w:sz w:val="22"/>
              <w:szCs w:val="22"/>
              <w:lang w:val="en-US" w:eastAsia="zh-CN" w:bidi="ar-SA"/>
            </w:rPr>
            <w:fldChar w:fldCharType="separate"/>
          </w:r>
          <w:r>
            <w:rPr>
              <w:rFonts w:hint="eastAsia" w:ascii="Tahoma" w:hAnsi="Tahoma" w:eastAsia="微软雅黑" w:cs="Times New Roman"/>
              <w:b/>
              <w:bCs/>
              <w:color w:val="00C4D8"/>
              <w:sz w:val="32"/>
              <w:szCs w:val="32"/>
              <w:lang w:val="en-US" w:eastAsia="zh-CN" w:bidi="ar-SA"/>
            </w:rPr>
            <w:t>第三部分：基因变异及相应靶向/免疫药物解析</w:t>
          </w:r>
          <w:r>
            <w:rPr>
              <w:rFonts w:hint="eastAsia" w:ascii="Tahoma" w:hAnsi="Tahoma" w:eastAsia="微软雅黑" w:cs="Times New Roman"/>
              <w:b/>
              <w:bCs/>
              <w:color w:val="00C4D8"/>
              <w:sz w:val="32"/>
              <w:szCs w:val="32"/>
              <w:lang w:val="en-US" w:eastAsia="zh-CN" w:bidi="ar-SA"/>
            </w:rPr>
            <w:fldChar w:fldCharType="end"/>
          </w:r>
        </w:p>
        <w:p w14:paraId="21358DA5">
          <w:pPr>
            <w:tabs>
              <w:tab w:val="right" w:pos="7700"/>
            </w:tabs>
            <w:adjustRightInd w:val="0"/>
            <w:snapToGrid w:val="0"/>
            <w:spacing w:after="0" w:line="312" w:lineRule="auto"/>
            <w:ind w:left="1980" w:leftChars="900"/>
            <w:rPr>
              <w:rFonts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"_Toc6727" </w:instrText>
          </w:r>
          <w:r>
            <w:rPr>
              <w:rFonts w:ascii="Tahoma" w:hAnsi="Tahoma" w:eastAsia="微软雅黑" w:cs="Times New Roman"/>
              <w:sz w:val="22"/>
              <w:szCs w:val="22"/>
              <w:lang w:val="en-US" w:eastAsia="zh-CN" w:bidi="ar-SA"/>
            </w:rPr>
            <w:fldChar w:fldCharType="separate"/>
          </w:r>
          <w:r>
            <w:rPr>
              <w:rFonts w:ascii="微软雅黑" w:hAnsi="微软雅黑" w:eastAsia="微软雅黑" w:cs="Times New Roman"/>
              <w:sz w:val="22"/>
              <w:szCs w:val="24"/>
              <w:lang w:val="en-US" w:eastAsia="zh-CN" w:bidi="ar-SA"/>
            </w:rPr>
            <w:t>基因</w:t>
          </w:r>
          <w:r>
            <w:rPr>
              <w:rFonts w:hint="eastAsia" w:ascii="微软雅黑" w:hAnsi="微软雅黑" w:eastAsia="微软雅黑" w:cs="Times New Roman"/>
              <w:sz w:val="22"/>
              <w:szCs w:val="24"/>
              <w:lang w:val="en-US" w:eastAsia="zh-CN" w:bidi="ar-SA"/>
            </w:rPr>
            <w:t>变异</w:t>
          </w:r>
          <w:r>
            <w:rPr>
              <w:rFonts w:ascii="微软雅黑" w:hAnsi="微软雅黑" w:eastAsia="微软雅黑" w:cs="Times New Roman"/>
              <w:sz w:val="22"/>
              <w:szCs w:val="24"/>
              <w:lang w:val="en-US" w:eastAsia="zh-CN" w:bidi="ar-SA"/>
            </w:rPr>
            <w:t>解析</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PAGEREF _Toc6727 \h </w:instrText>
          </w:r>
          <w:r>
            <w:rPr>
              <w:rFonts w:ascii="Tahoma" w:hAnsi="Tahoma" w:eastAsia="微软雅黑" w:cs="Times New Roman"/>
              <w:sz w:val="22"/>
              <w:szCs w:val="22"/>
              <w:lang w:val="en-US" w:eastAsia="zh-CN" w:bidi="ar-SA"/>
            </w:rPr>
            <w:fldChar w:fldCharType="separate"/>
          </w:r>
          <w:r>
            <w:rPr>
              <w:rFonts w:ascii="Tahoma" w:hAnsi="Tahoma" w:eastAsia="微软雅黑" w:cs="Times New Roman"/>
              <w:sz w:val="22"/>
              <w:szCs w:val="22"/>
              <w:lang w:val="en-US" w:eastAsia="zh-CN" w:bidi="ar-SA"/>
            </w:rPr>
            <w:t>21</w:t>
          </w:r>
          <w:r>
            <w:rPr>
              <w:rFonts w:ascii="Tahoma" w:hAnsi="Tahoma" w:eastAsia="微软雅黑" w:cs="Times New Roman"/>
              <w:sz w:val="22"/>
              <w:szCs w:val="22"/>
              <w:lang w:val="en-US" w:eastAsia="zh-CN" w:bidi="ar-SA"/>
            </w:rPr>
            <w:fldChar w:fldCharType="end"/>
          </w:r>
          <w:r>
            <w:rPr>
              <w:rFonts w:ascii="Tahoma" w:hAnsi="Tahoma" w:eastAsia="微软雅黑" w:cs="Times New Roman"/>
              <w:sz w:val="22"/>
              <w:szCs w:val="22"/>
              <w:lang w:val="en-US" w:eastAsia="zh-CN" w:bidi="ar-SA"/>
            </w:rPr>
            <w:fldChar w:fldCharType="end"/>
          </w:r>
        </w:p>
        <w:p w14:paraId="712B6AEE">
          <w:pPr>
            <w:tabs>
              <w:tab w:val="right" w:pos="7700"/>
            </w:tabs>
            <w:adjustRightInd w:val="0"/>
            <w:snapToGrid w:val="0"/>
            <w:spacing w:after="0" w:line="312" w:lineRule="auto"/>
            <w:ind w:left="1980" w:leftChars="900"/>
            <w:rPr>
              <w:rFonts w:hint="default"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"_Toc16898" </w:instrText>
          </w:r>
          <w:r>
            <w:rPr>
              <w:rFonts w:ascii="Tahoma" w:hAnsi="Tahoma" w:eastAsia="微软雅黑" w:cs="Times New Roman"/>
              <w:sz w:val="22"/>
              <w:szCs w:val="22"/>
              <w:lang w:val="en-US" w:eastAsia="zh-CN" w:bidi="ar-SA"/>
            </w:rPr>
            <w:fldChar w:fldCharType="separate"/>
          </w:r>
          <w:r>
            <w:rPr>
              <w:rFonts w:hint="eastAsia" w:ascii="微软雅黑" w:hAnsi="微软雅黑" w:eastAsia="微软雅黑" w:cs="Times New Roman"/>
              <w:sz w:val="22"/>
              <w:szCs w:val="24"/>
              <w:lang w:val="en-US" w:eastAsia="zh-CN" w:bidi="ar-SA"/>
            </w:rPr>
            <w:t>靶向</w:t>
          </w:r>
          <w:r>
            <w:rPr>
              <w:rFonts w:ascii="微软雅黑" w:hAnsi="微软雅黑" w:eastAsia="微软雅黑" w:cs="Times New Roman"/>
              <w:sz w:val="22"/>
              <w:szCs w:val="24"/>
              <w:lang w:val="en-US" w:eastAsia="zh-CN" w:bidi="ar-SA"/>
            </w:rPr>
            <w:t>药物</w:t>
          </w:r>
          <w:r>
            <w:rPr>
              <w:rFonts w:hint="eastAsia" w:ascii="微软雅黑" w:hAnsi="微软雅黑" w:eastAsia="微软雅黑" w:cs="Times New Roman"/>
              <w:sz w:val="22"/>
              <w:szCs w:val="24"/>
              <w:lang w:val="en-US" w:eastAsia="zh-CN" w:bidi="ar-SA"/>
            </w:rPr>
            <w:t>/免疫用药</w:t>
          </w:r>
          <w:r>
            <w:rPr>
              <w:rFonts w:ascii="微软雅黑" w:hAnsi="微软雅黑" w:eastAsia="微软雅黑" w:cs="Times New Roman"/>
              <w:sz w:val="22"/>
              <w:szCs w:val="24"/>
              <w:lang w:val="en-US" w:eastAsia="zh-CN" w:bidi="ar-SA"/>
            </w:rPr>
            <w:t>提示解析</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end"/>
          </w:r>
          <w:r>
            <w:rPr>
              <w:rFonts w:hint="eastAsia" w:ascii="Tahoma" w:hAnsi="Tahoma" w:eastAsia="微软雅黑" w:cs="Times New Roman"/>
              <w:sz w:val="22"/>
              <w:szCs w:val="22"/>
              <w:lang w:val="en-US" w:eastAsia="zh-CN" w:bidi="ar-SA"/>
            </w:rPr>
            <w:t>27</w:t>
          </w:r>
        </w:p>
        <w:p w14:paraId="05F73296">
          <w:pPr>
            <w:tabs>
              <w:tab w:val="right" w:pos="7700"/>
            </w:tabs>
            <w:adjustRightInd w:val="0"/>
            <w:snapToGrid w:val="0"/>
            <w:spacing w:after="0" w:line="312" w:lineRule="auto"/>
            <w:ind w:left="1980" w:leftChars="900"/>
            <w:rPr>
              <w:rFonts w:hint="default"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"_Toc3535" </w:instrText>
          </w:r>
          <w:r>
            <w:rPr>
              <w:rFonts w:ascii="Tahoma" w:hAnsi="Tahoma" w:eastAsia="微软雅黑" w:cs="Times New Roman"/>
              <w:sz w:val="22"/>
              <w:szCs w:val="22"/>
              <w:lang w:val="en-US" w:eastAsia="zh-CN" w:bidi="ar-SA"/>
            </w:rPr>
            <w:fldChar w:fldCharType="separate"/>
          </w:r>
          <w:r>
            <w:rPr>
              <w:rFonts w:hint="eastAsia" w:ascii="微软雅黑" w:hAnsi="微软雅黑" w:eastAsia="微软雅黑" w:cs="Times New Roman"/>
              <w:sz w:val="22"/>
              <w:szCs w:val="24"/>
              <w:lang w:val="en-US" w:eastAsia="zh-CN" w:bidi="ar-SA"/>
            </w:rPr>
            <w:t>阅读说明</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end"/>
          </w:r>
          <w:r>
            <w:rPr>
              <w:rFonts w:hint="eastAsia" w:ascii="Tahoma" w:hAnsi="Tahoma" w:eastAsia="微软雅黑" w:cs="Times New Roman"/>
              <w:sz w:val="22"/>
              <w:szCs w:val="22"/>
              <w:lang w:val="en-US" w:eastAsia="zh-CN" w:bidi="ar-SA"/>
            </w:rPr>
            <w:t>36</w:t>
          </w:r>
        </w:p>
        <w:p w14:paraId="35F8FABB">
          <w:pPr>
            <w:tabs>
              <w:tab w:val="right" w:pos="7700"/>
            </w:tabs>
            <w:adjustRightInd w:val="0"/>
            <w:snapToGrid w:val="0"/>
            <w:spacing w:after="0" w:line="312" w:lineRule="auto"/>
            <w:ind w:left="1980" w:leftChars="900"/>
            <w:rPr>
              <w:rFonts w:ascii="Tahoma" w:hAnsi="Tahoma" w:eastAsia="微软雅黑" w:cs="Times New Roman"/>
              <w:b/>
              <w:bCs/>
              <w:color w:val="00C4D8"/>
              <w:sz w:val="32"/>
              <w:szCs w:val="3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"_Toc28254" </w:instrText>
          </w:r>
          <w:r>
            <w:rPr>
              <w:rFonts w:ascii="Tahoma" w:hAnsi="Tahoma" w:eastAsia="微软雅黑" w:cs="Times New Roman"/>
              <w:sz w:val="22"/>
              <w:szCs w:val="22"/>
              <w:lang w:val="en-US" w:eastAsia="zh-CN" w:bidi="ar-SA"/>
            </w:rPr>
            <w:fldChar w:fldCharType="separate"/>
          </w:r>
          <w:r>
            <w:rPr>
              <w:rFonts w:hint="eastAsia" w:ascii="Tahoma" w:hAnsi="Tahoma" w:eastAsia="微软雅黑" w:cs="Times New Roman"/>
              <w:b/>
              <w:bCs/>
              <w:color w:val="00C4D8"/>
              <w:sz w:val="32"/>
              <w:szCs w:val="32"/>
              <w:lang w:val="en-US" w:eastAsia="zh-CN" w:bidi="ar-SA"/>
            </w:rPr>
            <w:t>第四部分：附录</w:t>
          </w:r>
          <w:r>
            <w:rPr>
              <w:rFonts w:hint="eastAsia" w:ascii="Tahoma" w:hAnsi="Tahoma" w:eastAsia="微软雅黑" w:cs="Times New Roman"/>
              <w:b/>
              <w:bCs/>
              <w:color w:val="00C4D8"/>
              <w:sz w:val="32"/>
              <w:szCs w:val="32"/>
              <w:lang w:val="en-US" w:eastAsia="zh-CN" w:bidi="ar-SA"/>
            </w:rPr>
            <w:tab/>
          </w:r>
          <w:r>
            <w:rPr>
              <w:rFonts w:hint="eastAsia" w:ascii="Tahoma" w:hAnsi="Tahoma" w:eastAsia="微软雅黑" w:cs="Times New Roman"/>
              <w:b/>
              <w:bCs/>
              <w:color w:val="00C4D8"/>
              <w:sz w:val="32"/>
              <w:szCs w:val="32"/>
              <w:lang w:val="en-US" w:eastAsia="zh-CN" w:bidi="ar-SA"/>
            </w:rPr>
            <w:fldChar w:fldCharType="end"/>
          </w:r>
        </w:p>
        <w:p w14:paraId="3FAC9C39">
          <w:pPr>
            <w:tabs>
              <w:tab w:val="right" w:pos="7700"/>
            </w:tabs>
            <w:adjustRightInd w:val="0"/>
            <w:snapToGrid w:val="0"/>
            <w:spacing w:after="0" w:line="312" w:lineRule="auto"/>
            <w:ind w:left="1980" w:leftChars="900"/>
            <w:rPr>
              <w:rFonts w:hint="default"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"_Toc6659" </w:instrText>
          </w:r>
          <w:r>
            <w:rPr>
              <w:rFonts w:ascii="Tahoma" w:hAnsi="Tahoma" w:eastAsia="微软雅黑" w:cs="Times New Roman"/>
              <w:sz w:val="22"/>
              <w:szCs w:val="22"/>
              <w:lang w:val="en-US" w:eastAsia="zh-CN" w:bidi="ar-SA"/>
            </w:rPr>
            <w:fldChar w:fldCharType="separate"/>
          </w:r>
          <w:r>
            <w:rPr>
              <w:rFonts w:hint="eastAsia" w:ascii="微软雅黑" w:hAnsi="微软雅黑" w:eastAsia="微软雅黑" w:cs="Times New Roman"/>
              <w:sz w:val="22"/>
              <w:szCs w:val="24"/>
              <w:lang w:val="en-US" w:eastAsia="zh-CN" w:bidi="ar-SA"/>
            </w:rPr>
            <w:t>常见问题解答</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end"/>
          </w:r>
          <w:r>
            <w:rPr>
              <w:rFonts w:hint="eastAsia" w:ascii="Tahoma" w:hAnsi="Tahoma" w:eastAsia="微软雅黑" w:cs="Times New Roman"/>
              <w:sz w:val="22"/>
              <w:szCs w:val="22"/>
              <w:lang w:val="en-US" w:eastAsia="zh-CN" w:bidi="ar-SA"/>
            </w:rPr>
            <w:t>39</w:t>
          </w:r>
        </w:p>
        <w:p w14:paraId="4C8F957D">
          <w:pPr>
            <w:tabs>
              <w:tab w:val="right" w:pos="7700"/>
            </w:tabs>
            <w:adjustRightInd w:val="0"/>
            <w:snapToGrid w:val="0"/>
            <w:spacing w:after="0" w:line="312" w:lineRule="auto"/>
            <w:ind w:left="1980" w:leftChars="900"/>
            <w:rPr>
              <w:rFonts w:hint="default"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"_Toc9100" </w:instrText>
          </w:r>
          <w:r>
            <w:rPr>
              <w:rFonts w:ascii="Tahoma" w:hAnsi="Tahoma" w:eastAsia="微软雅黑" w:cs="Times New Roman"/>
              <w:sz w:val="22"/>
              <w:szCs w:val="22"/>
              <w:lang w:val="en-US" w:eastAsia="zh-CN" w:bidi="ar-SA"/>
            </w:rPr>
            <w:fldChar w:fldCharType="separate"/>
          </w:r>
          <w:r>
            <w:rPr>
              <w:rFonts w:hint="eastAsia" w:ascii="微软雅黑" w:hAnsi="微软雅黑" w:eastAsia="微软雅黑" w:cs="Times New Roman"/>
              <w:sz w:val="22"/>
              <w:szCs w:val="24"/>
              <w:lang w:val="en-US" w:eastAsia="zh-CN" w:bidi="ar-SA"/>
            </w:rPr>
            <w:t>结直肠癌诊疗知识</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end"/>
          </w:r>
          <w:r>
            <w:rPr>
              <w:rFonts w:hint="eastAsia" w:ascii="Tahoma" w:hAnsi="Tahoma" w:eastAsia="微软雅黑" w:cs="Times New Roman"/>
              <w:sz w:val="22"/>
              <w:szCs w:val="22"/>
              <w:lang w:val="en-US" w:eastAsia="zh-CN" w:bidi="ar-SA"/>
            </w:rPr>
            <w:t>41</w:t>
          </w:r>
        </w:p>
        <w:p w14:paraId="0F86970C">
          <w:pPr>
            <w:tabs>
              <w:tab w:val="right" w:pos="7700"/>
            </w:tabs>
            <w:adjustRightInd w:val="0"/>
            <w:snapToGrid w:val="0"/>
            <w:spacing w:after="0" w:line="312" w:lineRule="auto"/>
            <w:ind w:left="1980" w:leftChars="900"/>
            <w:rPr>
              <w:rFonts w:hint="default"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"_Toc17460" </w:instrText>
          </w:r>
          <w:r>
            <w:rPr>
              <w:rFonts w:ascii="Tahoma" w:hAnsi="Tahoma" w:eastAsia="微软雅黑" w:cs="Times New Roman"/>
              <w:sz w:val="22"/>
              <w:szCs w:val="22"/>
              <w:lang w:val="en-US" w:eastAsia="zh-CN" w:bidi="ar-SA"/>
            </w:rPr>
            <w:fldChar w:fldCharType="separate"/>
          </w:r>
          <w:r>
            <w:rPr>
              <w:rFonts w:hint="eastAsia" w:ascii="微软雅黑" w:hAnsi="微软雅黑" w:eastAsia="微软雅黑" w:cs="Times New Roman"/>
              <w:sz w:val="22"/>
              <w:szCs w:val="24"/>
              <w:lang w:val="en-US" w:eastAsia="zh-CN" w:bidi="ar-SA"/>
            </w:rPr>
            <w:t>癌症相关信号通路</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end"/>
          </w:r>
          <w:r>
            <w:rPr>
              <w:rFonts w:hint="eastAsia" w:ascii="Tahoma" w:hAnsi="Tahoma" w:eastAsia="微软雅黑" w:cs="Times New Roman"/>
              <w:sz w:val="22"/>
              <w:szCs w:val="22"/>
              <w:lang w:val="en-US" w:eastAsia="zh-CN" w:bidi="ar-SA"/>
            </w:rPr>
            <w:t>63</w:t>
          </w:r>
        </w:p>
        <w:p w14:paraId="0F19E295">
          <w:pPr>
            <w:tabs>
              <w:tab w:val="right" w:pos="7700"/>
            </w:tabs>
            <w:adjustRightInd w:val="0"/>
            <w:snapToGrid w:val="0"/>
            <w:spacing w:after="0" w:line="312" w:lineRule="auto"/>
            <w:ind w:left="1980" w:leftChars="900"/>
            <w:rPr>
              <w:rFonts w:hint="default"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"_Toc16989" </w:instrText>
          </w:r>
          <w:r>
            <w:rPr>
              <w:rFonts w:ascii="Tahoma" w:hAnsi="Tahoma" w:eastAsia="微软雅黑" w:cs="Times New Roman"/>
              <w:sz w:val="22"/>
              <w:szCs w:val="22"/>
              <w:lang w:val="en-US" w:eastAsia="zh-CN" w:bidi="ar-SA"/>
            </w:rPr>
            <w:fldChar w:fldCharType="separate"/>
          </w:r>
          <w:r>
            <w:rPr>
              <w:rFonts w:hint="eastAsia" w:ascii="微软雅黑" w:hAnsi="微软雅黑" w:eastAsia="微软雅黑" w:cs="Times New Roman"/>
              <w:sz w:val="22"/>
              <w:szCs w:val="24"/>
              <w:lang w:val="en-US" w:eastAsia="zh-CN" w:bidi="ar-SA"/>
            </w:rPr>
            <w:t>基因检测列表</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end"/>
          </w:r>
          <w:r>
            <w:rPr>
              <w:rFonts w:hint="eastAsia" w:ascii="Tahoma" w:hAnsi="Tahoma" w:eastAsia="微软雅黑" w:cs="Times New Roman"/>
              <w:sz w:val="22"/>
              <w:szCs w:val="22"/>
              <w:lang w:val="en-US" w:eastAsia="zh-CN" w:bidi="ar-SA"/>
            </w:rPr>
            <w:t>73</w:t>
          </w:r>
        </w:p>
        <w:p w14:paraId="23DFAEBD">
          <w:pPr>
            <w:tabs>
              <w:tab w:val="right" w:pos="7700"/>
            </w:tabs>
            <w:adjustRightInd w:val="0"/>
            <w:snapToGrid w:val="0"/>
            <w:spacing w:after="0" w:line="312" w:lineRule="auto"/>
            <w:ind w:left="1980" w:leftChars="900"/>
            <w:rPr>
              <w:rFonts w:hint="default"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"_Toc8115" </w:instrText>
          </w:r>
          <w:r>
            <w:rPr>
              <w:rFonts w:ascii="Tahoma" w:hAnsi="Tahoma" w:eastAsia="微软雅黑" w:cs="Times New Roman"/>
              <w:sz w:val="22"/>
              <w:szCs w:val="22"/>
              <w:lang w:val="en-US" w:eastAsia="zh-CN" w:bidi="ar-SA"/>
            </w:rPr>
            <w:fldChar w:fldCharType="separate"/>
          </w:r>
          <w:r>
            <w:rPr>
              <w:rFonts w:hint="eastAsia" w:ascii="微软雅黑" w:hAnsi="微软雅黑" w:eastAsia="微软雅黑" w:cs="Times New Roman"/>
              <w:sz w:val="22"/>
              <w:szCs w:val="24"/>
              <w:lang w:val="en-US" w:eastAsia="zh-CN" w:bidi="ar-SA"/>
            </w:rPr>
            <w:t>参考文献</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end"/>
          </w:r>
          <w:r>
            <w:rPr>
              <w:rFonts w:hint="eastAsia" w:ascii="Tahoma" w:hAnsi="Tahoma" w:eastAsia="微软雅黑" w:cs="Times New Roman"/>
              <w:sz w:val="22"/>
              <w:szCs w:val="22"/>
              <w:lang w:val="en-US" w:eastAsia="zh-CN" w:bidi="ar-SA"/>
            </w:rPr>
            <w:t>75</w:t>
          </w:r>
        </w:p>
        <w:p w14:paraId="6E86B1AB">
          <w:pPr>
            <w:spacing w:after="0" w:line="312" w:lineRule="auto"/>
            <w:ind w:left="1980" w:leftChars="900"/>
            <w:jc w:val="both"/>
            <w:rPr>
              <w:b/>
              <w:bCs/>
              <w:color w:val="00C4D8"/>
              <w:sz w:val="44"/>
              <w:szCs w:val="44"/>
            </w:rPr>
            <w:sectPr>
              <w:footerReference r:id="rId8" w:type="default"/>
              <w:pgSz w:w="11906" w:h="16838"/>
              <w:pgMar w:top="1440" w:right="1526" w:bottom="1440" w:left="1800" w:header="708" w:footer="708" w:gutter="0"/>
              <w:cols w:space="708" w:num="1"/>
              <w:docGrid w:linePitch="360" w:charSpace="0"/>
            </w:sectPr>
          </w:pPr>
          <w:r>
            <w:rPr>
              <w:rFonts w:ascii="Tahoma" w:hAnsi="Tahoma" w:eastAsia="微软雅黑" w:cs="Times New Roman"/>
              <w:bCs/>
              <w:color w:val="00C4D8"/>
              <w:kern w:val="0"/>
              <w:sz w:val="22"/>
              <w:szCs w:val="44"/>
            </w:rPr>
            <w:fldChar w:fldCharType="end"/>
          </w:r>
        </w:p>
      </w:sdtContent>
    </w:sdt>
    <w:p w14:paraId="196C30E6">
      <w:pPr>
        <w:tabs>
          <w:tab w:val="left" w:pos="7492"/>
        </w:tabs>
        <w:adjustRightInd/>
        <w:snapToGrid/>
        <w:spacing w:line="220" w:lineRule="atLeast"/>
        <w:rPr>
          <w:rFonts w:ascii="微软雅黑" w:hAnsi="微软雅黑"/>
          <w:b/>
          <w:sz w:val="30"/>
          <w:szCs w:val="30"/>
        </w:rPr>
      </w:pPr>
      <w:r>
        <w:rPr>
          <w:rFonts w:hint="eastAsia" w:ascii="微软雅黑" w:hAnsi="微软雅黑"/>
          <w:b/>
          <w:sz w:val="30"/>
          <w:szCs w:val="30"/>
        </w:rPr>
        <w:tab/>
      </w:r>
    </w:p>
    <w:p w14:paraId="6D48FF65">
      <w:pPr>
        <w:pStyle w:val="29"/>
        <w:numPr>
          <w:ilvl w:val="255"/>
          <w:numId w:val="0"/>
        </w:numPr>
        <w:adjustRightInd/>
        <w:snapToGrid/>
        <w:spacing w:before="200" w:after="780" w:line="220" w:lineRule="atLeast"/>
        <w:jc w:val="center"/>
        <w:outlineLvl w:val="0"/>
        <w:rPr>
          <w:rFonts w:ascii="微软雅黑" w:hAnsi="微软雅黑"/>
          <w:b/>
          <w:color w:val="00C4D8"/>
          <w:sz w:val="36"/>
          <w:szCs w:val="36"/>
        </w:rPr>
      </w:pPr>
      <w:bookmarkStart w:id="16" w:name="_Toc8579"/>
      <w:bookmarkStart w:id="17" w:name="_Toc14886"/>
      <w:bookmarkStart w:id="18" w:name="_Toc10896"/>
      <w:bookmarkStart w:id="19" w:name="_Toc445"/>
      <w:bookmarkStart w:id="20" w:name="_Toc14336"/>
      <w:bookmarkStart w:id="21" w:name="_Toc12032"/>
      <w:bookmarkStart w:id="22" w:name="_Toc3165"/>
      <w:bookmarkStart w:id="23" w:name="_Toc12673"/>
      <w:bookmarkStart w:id="24" w:name="_Toc18057"/>
      <w:bookmarkStart w:id="25" w:name="_Toc20058"/>
      <w:bookmarkStart w:id="26" w:name="_Toc32538"/>
      <w:bookmarkStart w:id="27" w:name="_Toc4575"/>
      <w:bookmarkStart w:id="28" w:name="_Toc16016"/>
      <w:bookmarkStart w:id="29" w:name="_Toc14984"/>
      <w:bookmarkStart w:id="30" w:name="_Toc22635"/>
      <w:bookmarkStart w:id="31" w:name="_Toc1945"/>
      <w:bookmarkStart w:id="32" w:name="_Toc21484"/>
      <w:bookmarkStart w:id="33" w:name="_Toc24717"/>
      <w:bookmarkStart w:id="34" w:name="_Toc7206"/>
      <w:bookmarkStart w:id="35" w:name="_Toc31884"/>
      <w:bookmarkStart w:id="36" w:name="_Toc15404"/>
      <w:bookmarkStart w:id="37" w:name="_Toc29729"/>
      <w:bookmarkStart w:id="38" w:name="_Toc15999"/>
      <w:bookmarkStart w:id="39" w:name="_Toc26009"/>
      <w:bookmarkStart w:id="40" w:name="_Toc28396"/>
      <w:r>
        <w:rPr>
          <w:sz w:val="32"/>
        </w:rPr>
        <mc:AlternateContent>
          <mc:Choice Requires="wps">
            <w:drawing>
              <wp:anchor distT="0" distB="0" distL="114300" distR="114300" simplePos="0" relativeHeight="251678720" behindDoc="0" locked="0" layoutInCell="1" allowOverlap="1">
                <wp:simplePos x="0" y="0"/>
                <wp:positionH relativeFrom="column">
                  <wp:posOffset>2717800</wp:posOffset>
                </wp:positionH>
                <wp:positionV relativeFrom="paragraph">
                  <wp:posOffset>826135</wp:posOffset>
                </wp:positionV>
                <wp:extent cx="3056890" cy="609600"/>
                <wp:effectExtent l="0" t="0" r="0" b="0"/>
                <wp:wrapNone/>
                <wp:docPr id="1017" name="文本框 53"/>
                <wp:cNvGraphicFramePr/>
                <a:graphic xmlns:a="http://schemas.openxmlformats.org/drawingml/2006/main">
                  <a:graphicData uri="http://schemas.microsoft.com/office/word/2010/wordprocessingShape">
                    <wps:wsp>
                      <wps:cNvSpPr txBox="1"/>
                      <wps:spPr>
                        <a:xfrm>
                          <a:off x="3897630" y="1962150"/>
                          <a:ext cx="3056890" cy="609600"/>
                        </a:xfrm>
                        <a:prstGeom prst="rect">
                          <a:avLst/>
                        </a:prstGeom>
                        <a:noFill/>
                        <a:ln w="6350">
                          <a:noFill/>
                        </a:ln>
                        <a:effectLst/>
                      </wps:spPr>
                      <wps:txbx>
                        <w:txbxContent>
                          <w:p w14:paraId="56FCDDD9">
                            <w:pPr>
                              <w:pStyle w:val="29"/>
                              <w:numPr>
                                <w:ilvl w:val="255"/>
                                <w:numId w:val="0"/>
                              </w:numPr>
                              <w:adjustRightInd/>
                              <w:snapToGrid/>
                              <w:spacing w:after="300" w:line="220" w:lineRule="atLeast"/>
                              <w:outlineLvl w:val="1"/>
                              <w:rPr>
                                <w:rFonts w:ascii="微软雅黑" w:hAnsi="微软雅黑"/>
                                <w:b/>
                                <w:color w:val="00C4D8"/>
                                <w:sz w:val="32"/>
                                <w:szCs w:val="32"/>
                              </w:rPr>
                            </w:pPr>
                            <w:r>
                              <w:rPr>
                                <w:rFonts w:hint="eastAsia" w:ascii="微软雅黑" w:hAnsi="微软雅黑"/>
                                <w:b/>
                                <w:color w:val="00C4D8"/>
                                <w:sz w:val="32"/>
                                <w:szCs w:val="32"/>
                              </w:rPr>
                              <w:t>样本信息</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53" o:spid="_x0000_s1026" o:spt="202" type="#_x0000_t202" style="position:absolute;left:0pt;margin-left:214pt;margin-top:65.05pt;height:48pt;width:240.7pt;z-index:251678720;mso-width-relative:page;mso-height-relative:page;" filled="f" stroked="f" coordsize="21600,21600" o:gfxdata="UEsDBAoAAAAAAIdO4kAAAAAAAAAAAAAAAAAEAAAAZHJzL1BLAwQUAAAACACHTuJAcUZSqNsAAAAL AQAADwAAAGRycy9kb3ducmV2LnhtbE2Py07DMBRE90j8g3WR2FE7plRpiFOhSBUSgkVLN+xu4tsk wo8Quw/4esyqLEczmjlTrs7WsCNNYfBOQTYTwMi1Xg+uU7B7X9/lwEJEp9F4Rwq+KcCqur4qsdD+ 5DZ03MaOpRIXClTQxzgWnIe2J4th5kdyydv7yWJMcuq4nvCUyq3hUogFtzi4tNDjSHVP7ef2YBW8 1Os33DTS5j+mfn7dP41fu48HpW5vMvEILNI5XsLwh5/QoUpMjT84HZhRMJd5+hKTcS8yYCmxFMs5 sEaBlIsMeFXy/x+qX1BLAwQUAAAACACHTuJAtIJC4E4CAACEBAAADgAAAGRycy9lMm9Eb2MueG1s rVRLbtswEN0X6B0I7hvJduzEhuXATZCiQNAESIuuaYqyBPBXko6UHqC9QVbddN9z5Rx9pOQkTbvI oht6yHl+M/NmRsuTTklyI5xvjC7o6CCnRGhuykZvC/rp4/mbY0p8YLpk0mhR0Fvh6cnq9atlaxdi bGojS+EISLRftLagdQh2kWWe10Ixf2Cs0HBWxikWcHXbrHSsBbuS2TjPZ1lrXGmd4cJ7vJ71Tjow upcQmqpquDgzfKeEDj2rE5IFlOTrxnq6StlWleDhsqq8CEQWFJWGdCII7E08s9WSLbaO2brhQwrs JSk8q0mxRiPoA9UZC4zsXPMXlWq4M95U4YAblfWFJEVQxSh/ps11zaxItUBqbx9E9/+Pln+4uXKk KTEJ+eiIEs0Uen5/9/3+x6/7n9/IdBIlaq1fAHltgQ3dW9MBvn/3eIyVd5VT8Rc1Efgnx/Oj2QQy 3wI7n41H00Fs0QXCIyCfzo7nAHAgZvl8lidA9shknQ/vhFEkGgV1aGbSmN1c+ICsAN1DYmBtzhsp U0OlJi1IJ4j5hwf/kDq+iDQaA02srq8iWqHbdEPJG1PeomJn+rHxlp83SOWC+XDFHOYE2WOTwiWO ShqENINFSW3c13+9RzzaBy8lLeauoP7LjjlBiXyv0dj56PAQtCFdDqdHY1zcU8/mqUfv1KnBaI+w s5YnM+KD3JuVM+ozFm4do8LFNEfsgoa9eRr6bcDCcrFeJxBG07Jwoa8tj9S9hOtdMFWTdI8y9dqg CfGC4UztGBYpTv/Te0I9fjxWvwFQSwMECgAAAAAAh07iQAAAAAAAAAAAAAAAAAYAAABfcmVscy9Q SwMEFAAAAAgAh07iQIoUZjzRAAAAlAEAAAsAAABfcmVscy8ucmVsc6WQwWrDMAyG74O9g9F9cZrD GKNOL6PQa+kewNiKYxpbRjLZ+vbzDoNl9LajfqHvE//+8JkWtSJLpGxg1/WgMDvyMQcD75fj0wso qTZ7u1BGAzcUOIyPD/szLra2I5ljEdUoWQzMtZZXrcXNmKx0VDC3zUScbG0jB12su9qAeuj7Z82/ GTBumOrkDfDJD6Aut9LMf9gpOiahqXaOkqZpiu4eVQe2ZY7uyDbhG7lGsxywGvAsGgdqWdd+BH1f v/un3tNHPuO61X6HjOuPV2+6HL8AUEsDBBQAAAAIAIdO4kB+5uUg9wAAAOEBAAATAAAAW0NvbnRl bnRfVHlwZXNdLnhtbJWRQU7DMBBF90jcwfIWJU67QAgl6YK0S0CoHGBkTxKLZGx5TGhvj5O2G0SR WNoz/78nu9wcxkFMGNg6quQqL6RA0s5Y6ir5vt9lD1JwBDIwOMJKHpHlpr69KfdHjyxSmriSfYz+ USnWPY7AufNIadK6MEJMx9ApD/oDOlTrorhX2lFEilmcO2RdNtjC5xDF9pCuTyYBB5bi6bQ4syoJ 3g9WQ0ymaiLzg5KdCXlKLjvcW893SUOqXwnz5DrgnHtJTxOsQfEKIT7DmDSUCayM+6KAU/53yWw5 cuba1mrMm8BNir3hdLG61o5r1zj93/Ltkrp0q+WD6m9QSwECFAAUAAAACACHTuJAfublIPcAAADh AQAAEwAAAAAAAAABACAAAADCBAAAW0NvbnRlbnRfVHlwZXNdLnhtbFBLAQIUAAoAAAAAAIdO4kAA AAAAAAAAAAAAAAAGAAAAAAAAAAAAEAAAAKQDAABfcmVscy9QSwECFAAUAAAACACHTuJAihRmPNEA AACUAQAACwAAAAAAAAABACAAAADIAwAAX3JlbHMvLnJlbHNQSwECFAAKAAAAAACHTuJAAAAAAAAA AAAAAAAABAAAAAAAAAAAABAAAAAAAAAAZHJzL1BLAQIUABQAAAAIAIdO4kBxRlKo2wAAAAsBAAAP AAAAAAAAAAEAIAAAACIAAABkcnMvZG93bnJldi54bWxQSwECFAAUAAAACACHTuJAtIJC4E4CAACE BAAADgAAAAAAAAABACAAAAAqAQAAZHJzL2Uyb0RvYy54bWxQSwUGAAAAAAYABgBZAQAA6gUAAAAA ">
                <v:fill on="f" focussize="0,0"/>
                <v:stroke on="f" weight="0.5pt"/>
                <v:imagedata o:title=""/>
                <o:lock v:ext="edit" aspectratio="f"/>
                <v:textbox>
                  <w:txbxContent>
                    <w:p w14:paraId="56FCDDD9">
                      <w:pPr>
                        <w:pStyle w:val="29"/>
                        <w:numPr>
                          <w:ilvl w:val="255"/>
                          <w:numId w:val="0"/>
                        </w:numPr>
                        <w:adjustRightInd/>
                        <w:snapToGrid/>
                        <w:spacing w:after="300" w:line="220" w:lineRule="atLeast"/>
                        <w:outlineLvl w:val="1"/>
                        <w:rPr>
                          <w:rFonts w:ascii="微软雅黑" w:hAnsi="微软雅黑"/>
                          <w:b/>
                          <w:color w:val="00C4D8"/>
                          <w:sz w:val="32"/>
                          <w:szCs w:val="32"/>
                        </w:rPr>
                      </w:pPr>
                      <w:r>
                        <w:rPr>
                          <w:rFonts w:hint="eastAsia" w:ascii="微软雅黑" w:hAnsi="微软雅黑"/>
                          <w:b/>
                          <w:color w:val="00C4D8"/>
                          <w:sz w:val="32"/>
                          <w:szCs w:val="32"/>
                        </w:rPr>
                        <w:t>样本信息</w:t>
                      </w:r>
                    </w:p>
                  </w:txbxContent>
                </v:textbox>
              </v:shape>
            </w:pict>
          </mc:Fallback>
        </mc:AlternateContent>
      </w:r>
      <w:bookmarkEnd w:id="16"/>
      <w:bookmarkEnd w:id="17"/>
      <w:bookmarkEnd w:id="18"/>
      <w:bookmarkEnd w:id="19"/>
      <w:bookmarkEnd w:id="20"/>
      <w:bookmarkEnd w:id="21"/>
      <w:bookmarkEnd w:id="22"/>
      <w:bookmarkEnd w:id="23"/>
      <w:bookmarkEnd w:id="24"/>
      <w:bookmarkEnd w:id="25"/>
      <w:bookmarkEnd w:id="26"/>
      <w:bookmarkEnd w:id="27"/>
      <w:r>
        <w:rPr>
          <w:rFonts w:hint="eastAsia" w:ascii="微软雅黑" w:hAnsi="微软雅黑"/>
          <w:b/>
          <w:color w:val="00C4D8"/>
          <w:sz w:val="36"/>
          <w:szCs w:val="36"/>
        </w:rPr>
        <w:t>第一部分：</w:t>
      </w:r>
      <w:bookmarkEnd w:id="28"/>
      <w:bookmarkEnd w:id="29"/>
      <w:bookmarkEnd w:id="30"/>
      <w:bookmarkEnd w:id="31"/>
      <w:bookmarkEnd w:id="32"/>
      <w:bookmarkEnd w:id="33"/>
      <w:bookmarkEnd w:id="34"/>
      <w:bookmarkEnd w:id="35"/>
      <w:bookmarkEnd w:id="36"/>
      <w:bookmarkEnd w:id="37"/>
      <w:bookmarkEnd w:id="38"/>
      <w:r>
        <w:rPr>
          <w:rFonts w:hint="eastAsia" w:ascii="微软雅黑" w:hAnsi="微软雅黑"/>
          <w:b/>
          <w:color w:val="00C4D8"/>
          <w:sz w:val="36"/>
          <w:szCs w:val="36"/>
        </w:rPr>
        <w:t>基本信息</w:t>
      </w:r>
      <w:bookmarkEnd w:id="39"/>
      <w:bookmarkEnd w:id="40"/>
    </w:p>
    <w:p w14:paraId="70CD0809">
      <w:pPr>
        <w:pStyle w:val="29"/>
        <w:numPr>
          <w:ilvl w:val="255"/>
          <w:numId w:val="0"/>
        </w:numPr>
        <w:adjustRightInd/>
        <w:snapToGrid/>
        <w:spacing w:after="300" w:line="220" w:lineRule="atLeast"/>
        <w:outlineLvl w:val="0"/>
        <w:rPr>
          <w:rFonts w:ascii="微软雅黑" w:hAnsi="微软雅黑"/>
          <w:b/>
          <w:color w:val="00C4D8"/>
          <w:sz w:val="32"/>
          <w:szCs w:val="32"/>
        </w:rPr>
      </w:pPr>
      <w:bookmarkStart w:id="41" w:name="_Toc24274"/>
      <w:r>
        <w:rPr>
          <w:rFonts w:ascii="微软雅黑" w:hAnsi="微软雅黑"/>
          <w:b/>
          <w:color w:val="00C4D8"/>
          <w:sz w:val="32"/>
          <w:szCs w:val="32"/>
        </w:rPr>
        <mc:AlternateContent>
          <mc:Choice Requires="wps">
            <w:drawing>
              <wp:anchor distT="0" distB="0" distL="114300" distR="114300" simplePos="0" relativeHeight="251677696" behindDoc="0" locked="0" layoutInCell="1" allowOverlap="1">
                <wp:simplePos x="0" y="0"/>
                <wp:positionH relativeFrom="column">
                  <wp:posOffset>-52705</wp:posOffset>
                </wp:positionH>
                <wp:positionV relativeFrom="paragraph">
                  <wp:posOffset>386080</wp:posOffset>
                </wp:positionV>
                <wp:extent cx="2521585" cy="1905"/>
                <wp:effectExtent l="33655" t="23495" r="35560" b="69850"/>
                <wp:wrapNone/>
                <wp:docPr id="1018" name="直接连接符 51"/>
                <wp:cNvGraphicFramePr/>
                <a:graphic xmlns:a="http://schemas.openxmlformats.org/drawingml/2006/main">
                  <a:graphicData uri="http://schemas.microsoft.com/office/word/2010/wordprocessingShape">
                    <wps:wsp>
                      <wps:cNvCnPr/>
                      <wps:spPr>
                        <a:xfrm>
                          <a:off x="1040765" y="2446655"/>
                          <a:ext cx="2521585" cy="1905"/>
                        </a:xfrm>
                        <a:prstGeom prst="line">
                          <a:avLst/>
                        </a:prstGeom>
                        <a:noFill/>
                        <a:ln w="19050" cap="flat" cmpd="sng" algn="ctr">
                          <a:solidFill>
                            <a:srgbClr val="00C4D8"/>
                          </a:solidFill>
                          <a:prstDash val="sysDot"/>
                        </a:ln>
                        <a:effectLst>
                          <a:outerShdw blurRad="40000" dist="20000" dir="5400000" rotWithShape="0">
                            <a:srgbClr val="000000">
                              <a:alpha val="38000"/>
                            </a:srgbClr>
                          </a:outerShdw>
                        </a:effectLst>
                      </wps:spPr>
                      <wps:bodyPr/>
                    </wps:wsp>
                  </a:graphicData>
                </a:graphic>
              </wp:anchor>
            </w:drawing>
          </mc:Choice>
          <mc:Fallback>
            <w:pict>
              <v:line id="直接连接符 51" o:spid="_x0000_s1026" o:spt="20" style="position:absolute;left:0pt;margin-left:-4.15pt;margin-top:30.4pt;height:0.15pt;width:198.55pt;z-index:251677696;mso-width-relative:page;mso-height-relative:page;" filled="f" stroked="t" coordsize="21600,21600" o:gfxdata="UEsDBAoAAAAAAIdO4kAAAAAAAAAAAAAAAAAEAAAAZHJzL1BLAwQUAAAACACHTuJAqmkVt9cAAAAI AQAADwAAAGRycy9kb3ducmV2LnhtbE2PzU7DMBCE70i8g7VIXFBrh4pihTgVQuoRIQIcuLnx5kfE 6zR2mvL2LCe47e6MZr8pdmc/iBNOsQ9kIFsrEEh1cD21Bt7f9isNIiZLzg6B0MA3RtiVlxeFzV1Y 6BVPVWoFh1DMrYEupTGXMtYdehvXYURirQmTt4nXqZVusguH+0HeKrWV3vbEHzo74lOH9Vc1ewPH 8fP+OPfpZdL7m+bxo0nLXfVszPVVph5AJDynPzP84jM6lMx0CDO5KAYDK71hp4Gt4gasb7Tm4cCH LANZFvJ/gfIHUEsDBBQAAAAIAIdO4kBiazaDOAIAAFsEAAAOAAAAZHJzL2Uyb0RvYy54bWytVMGO 0zAQvSPxD5bvNElpSoma7qHRckFQsSDOruM0lhzb8rhN+xP8ABI3OHHcO3/D8hmMnVDKwmEP9OB6 7Mmb92Zesrw6doochANpdEmzSUqJ0NzUUu9K+u7t9ZMFJeCZrpkyWpT0JIBerR4/Wva2EFPTGlUL RxBEQ9Hbkrbe2yJJgLeiYzAxVmi8bIzrmMfQ7ZLasR7RO5VM03Se9MbV1hkuAPC0Gi7piOgeAmia RnJRGb7vhPYDqhOKeZQErbRAV5Ft0wjuXzcNCE9USVGpjysWwf02rMlqyYqdY7aVfKTAHkLhnqaO SY1Fz1AV84zsnfwLqpPcGTCNn3DTJYOQ2BFUkaX3enPTMiuiFmw12HPT4f/B8leHjSOyRiekGU5e sw5nfvfx9vuHzz++fcL17usXkmehUb2FAvPXeuPGCOzGBdXHxnXhH/WQY4Capc/mOSWnkk5ns/k8 z4dGi6MnHBOm+TTLF5jAMSN7nsbr5DeOdeBfCNORsCmpkjq0gRXs8BI81sbUXynhWJtrqVQcpdKk HyBxwpyhPxv0BW47ixpB7yhhaofG595FSDBK1uHxAARut10rRw4s2CVdz6pFII7l/kgLtSsG7ZAH J6iMH/OUDjgiOg+5hsDsvXA3bd2Trdq7Nwx5zFL8UVLLoA5fiiFAW+bxBq+c8e+lb6MDgk//wS4+ Fs6Zsi0buDxdBKyR8iAm0j9ziNEFvSQMdRhj2G1NfYrTjefouZg/vh/B1Jcx7i+/CaufUEsDBAoA AAAAAIdO4kAAAAAAAAAAAAAAAAAGAAAAX3JlbHMvUEsDBBQAAAAIAIdO4kCKFGY80QAAAJQBAAAL AAAAX3JlbHMvLnJlbHOlkMFqwzAMhu+DvYPRfXGawxijTi+j0GvpHsDYimMaW0Yy2fr28w6DZfS2 o36h7xP//vCZFrUiS6RsYNf1oDA78jEHA++X49MLKKk2e7tQRgM3FDiMjw/7My62tiOZYxHVKFkM zLWWV63FzZisdFQwt81EnGxtIwddrLvagHro+2fNvxkwbpjq5A3wyQ+gLrfSzH/YKTomoal2jpKm aYruHlUHtmWO7sg24Ru5RrMcsBrwLBoHalnXfgR9X7/7p97TRz7jutV+h4zrj1dvuhy/AFBLAwQU AAAACACHTuJAfublIPcAAADhAQAAEwAAAFtDb250ZW50X1R5cGVzXS54bWyVkUFOwzAQRfdI3MHy FiVOu0AIJemCtEtAqBxgZE8Si2RseUxob4+TthtEkVjaM/+/J7vcHMZBTBjYOqrkKi+kQNLOWOoq +b7fZQ9ScAQyMDjCSh6R5aa+vSn3R48sUpq4kn2M/lEp1j2OwLnzSGnSujBCTMfQKQ/6AzpU66K4 V9pRRIpZnDtkXTbYwucQxfaQrk8mAQeW4um0OLMqCd4PVkNMpmoi84OSnQl5Si473FvPd0lDql8J 8+Q64Jx7SU8TrEHxCiE+w5g0lAmsjPuigFP+d8lsOXLm2tZqzJvATYq94XSxutaOa9c4/d/y7ZK6 dKvlg+pvUEsBAhQAFAAAAAgAh07iQH7m5SD3AAAA4QEAABMAAAAAAAAAAQAgAAAAqAQAAFtDb250 ZW50X1R5cGVzXS54bWxQSwECFAAKAAAAAACHTuJAAAAAAAAAAAAAAAAABgAAAAAAAAAAABAAAACK AwAAX3JlbHMvUEsBAhQAFAAAAAgAh07iQIoUZjzRAAAAlAEAAAsAAAAAAAAAAQAgAAAArgMAAF9y ZWxzLy5yZWxzUEsBAhQACgAAAAAAh07iQAAAAAAAAAAAAAAAAAQAAAAAAAAAAAAQAAAAAAAAAGRy cy9QSwECFAAUAAAACACHTuJAqmkVt9cAAAAIAQAADwAAAAAAAAABACAAAAAiAAAAZHJzL2Rvd25y ZXYueG1sUEsBAhQAFAAAAAgAh07iQGJrNoM4AgAAWwQAAA4AAAAAAAAAAQAgAAAAJgEAAGRycy9l Mm9Eb2MueG1sUEsFBgAAAAAGAAYAWQEAANAFAAAAAA== ">
                <v:fill on="f" focussize="0,0"/>
                <v:stroke weight="1.5pt" color="#00C4D8" joinstyle="round" dashstyle="1 1"/>
                <v:imagedata o:title=""/>
                <o:lock v:ext="edit" aspectratio="f"/>
                <v:shadow on="t" color="#000000" opacity="24903f" offset="0pt,1.5748031496063pt" origin="0f,32768f" matrix="65536f,0f,0f,65536f"/>
              </v:line>
            </w:pict>
          </mc:Fallback>
        </mc:AlternateContent>
      </w:r>
      <w:r>
        <w:rPr>
          <w:rFonts w:ascii="微软雅黑" w:hAnsi="微软雅黑"/>
          <w:b/>
          <w:color w:val="00C4D8"/>
          <w:sz w:val="32"/>
          <w:szCs w:val="32"/>
        </w:rPr>
        <mc:AlternateContent>
          <mc:Choice Requires="wps">
            <w:drawing>
              <wp:anchor distT="0" distB="0" distL="114300" distR="114300" simplePos="0" relativeHeight="251668480" behindDoc="1" locked="0" layoutInCell="1" allowOverlap="1">
                <wp:simplePos x="0" y="0"/>
                <wp:positionH relativeFrom="column">
                  <wp:posOffset>2727960</wp:posOffset>
                </wp:positionH>
                <wp:positionV relativeFrom="paragraph">
                  <wp:posOffset>391795</wp:posOffset>
                </wp:positionV>
                <wp:extent cx="2538095" cy="1270"/>
                <wp:effectExtent l="33655" t="23495" r="38100" b="70485"/>
                <wp:wrapNone/>
                <wp:docPr id="1019" name="直接连接符 54"/>
                <wp:cNvGraphicFramePr/>
                <a:graphic xmlns:a="http://schemas.openxmlformats.org/drawingml/2006/main">
                  <a:graphicData uri="http://schemas.microsoft.com/office/word/2010/wordprocessingShape">
                    <wps:wsp>
                      <wps:cNvCnPr/>
                      <wps:spPr>
                        <a:xfrm>
                          <a:off x="0" y="0"/>
                          <a:ext cx="2538095" cy="1270"/>
                        </a:xfrm>
                        <a:prstGeom prst="line">
                          <a:avLst/>
                        </a:prstGeom>
                        <a:noFill/>
                        <a:ln w="19050" cap="flat" cmpd="sng" algn="ctr">
                          <a:solidFill>
                            <a:srgbClr val="00C4D8"/>
                          </a:solidFill>
                          <a:prstDash val="sysDot"/>
                        </a:ln>
                        <a:effectLst>
                          <a:outerShdw blurRad="40000" dist="20000" dir="5400000" rotWithShape="0">
                            <a:srgbClr val="000000">
                              <a:alpha val="38000"/>
                            </a:srgbClr>
                          </a:outerShdw>
                        </a:effectLst>
                      </wps:spPr>
                      <wps:bodyPr/>
                    </wps:wsp>
                  </a:graphicData>
                </a:graphic>
              </wp:anchor>
            </w:drawing>
          </mc:Choice>
          <mc:Fallback>
            <w:pict>
              <v:line id="直接连接符 54" o:spid="_x0000_s1026" o:spt="20" style="position:absolute;left:0pt;margin-left:214.8pt;margin-top:30.85pt;height:0.1pt;width:199.85pt;z-index:-251648000;mso-width-relative:page;mso-height-relative:page;" filled="f" stroked="t" coordsize="21600,21600" o:gfxdata="UEsDBAoAAAAAAIdO4kAAAAAAAAAAAAAAAAAEAAAAZHJzL1BLAwQUAAAACACHTuJANdBMZtkAAAAJ AQAADwAAAGRycy9kb3ducmV2LnhtbE2Py07DMBBF90j8gzVIbBB1EiBNQpwKIXWJEIEuunPjyUPE 49R2mvL3uCtYzszRnXPLzVmP7ITWDYYExKsIGFJj1ECdgK/P7X0GzHlJSo6GUMAPOthU11elLJRZ 6ANPte9YCCFXSAG991PBuWt61NKtzIQUbq2xWvow2o4rK5cQrkeeRFHKtRwofOjlhK89Nt/1rAUc p/36OA/+3Wbbu/Zl1/rlqX4T4vYmjp6BeTz7Pxgu+kEdquB0MDMpx0YBj0meBlRAGq+BBSBL8gdg h8siB16V/H+D6hdQSwMEFAAAAAgAh07iQP6y/JEvAgAATwQAAA4AAABkcnMvZTJvRG9jLnhtbK1U zY7TMBC+I/EOlu80aWmhjZruodFyQVCxIM6u4zSW/CeP27QvwQsgcYMTx73zNiyPwdgJpSwc9kAO jmc8/ub7ZiZZXh21IgfhQVpT0vEop0QYbmtpdiV99/b6yZwSCMzUTFkjSnoSQK9Wjx8tO1eIiW2t qoUnCGKg6FxJ2xBckWXAW6EZjKwTBg8b6zULaPpdVnvWIbpW2STPn2Wd9bXzlgsA9Fb9IR0Q/UMA bdNILirL91qY0KN6oVhASdBKB3SV2DaN4OF104AIRJUUlYa0YhLcb+OarZas2HnmWskHCuwhFO5p 0kwaTHqGqlhgZO/lX1Bacm/BNmHErc56IakiqGKc36vNTcucSFqw1ODORYf/B8tfHTaeyBonIR8v KDFMY8/vPt5+//D5x7dPuN59/UJm01iozkGB8Wuz8YMFbuOj6mPjdXyjHnJMxT2diyuOgXB0TmZP 5/liRgnHs/Hkeap99vuu8xBeCKtJ3JRUSROls4IdXkLAfBj6KyS6jb2WSqX2KUM6hFzkM+wqZziT Dc4CbrVDXWB2lDC1w2HnwSdIsErW8XoEAr/brpUnBxZHJF9Pq3kUi+n+CIu5KwZtHwcnqGwY4pSJ OCJNG3KNht0H4W/auiNbtfdvGPKY5vhQUsuoDj+E3sBRnKUTPPI2vJehTV2P5fsHu3Qt+plyLeu5 YFkRa6Dci0n0zxySdUEvi43sWxd3W1ufUkeTH+csxQ/fRBzkSxv3l/+B1U9QSwMECgAAAAAAh07i QAAAAAAAAAAAAAAAAAYAAABfcmVscy9QSwMEFAAAAAgAh07iQIoUZjzRAAAAlAEAAAsAAABfcmVs cy8ucmVsc6WQwWrDMAyG74O9g9F9cZrDGKNOL6PQa+kewNiKYxpbRjLZ+vbzDoNl9LajfqHvE//+ 8JkWtSJLpGxg1/WgMDvyMQcD75fj0wsoqTZ7u1BGAzcUOIyPD/szLra2I5ljEdUoWQzMtZZXrcXN mKx0VDC3zUScbG0jB12su9qAeuj7Z82/GTBumOrkDfDJD6Aut9LMf9gpOiahqXaOkqZpiu4eVQe2 ZY7uyDbhG7lGsxywGvAsGgdqWdd+BH1fv/un3tNHPuO61X6HjOuPV2+6HL8AUEsDBBQAAAAIAIdO 4kB+5uUg9wAAAOEBAAATAAAAW0NvbnRlbnRfVHlwZXNdLnhtbJWRQU7DMBBF90jcwfIWJU67QAgl 6YK0S0CoHGBkTxKLZGx5TGhvj5O2G0SRWNoz/78nu9wcxkFMGNg6quQqL6RA0s5Y6ir5vt9lD1Jw BDIwOMJKHpHlpr69KfdHjyxSmriSfYz+USnWPY7AufNIadK6MEJMx9ApD/oDOlTrorhX2lFEilmc O2RdNtjC5xDF9pCuTyYBB5bi6bQ4syoJ3g9WQ0ymaiLzg5KdCXlKLjvcW893SUOqXwnz5DrgnHtJ TxOsQfEKIT7DmDSUCayM+6KAU/53yWw5cuba1mrMm8BNir3hdLG61o5r1zj93/Ltkrp0q+WD6m9Q SwECFAAUAAAACACHTuJAfublIPcAAADhAQAAEwAAAAAAAAABACAAAAChBAAAW0NvbnRlbnRfVHlw ZXNdLnhtbFBLAQIUAAoAAAAAAIdO4kAAAAAAAAAAAAAAAAAGAAAAAAAAAAAAEAAAAIMDAABfcmVs cy9QSwECFAAUAAAACACHTuJAihRmPNEAAACUAQAACwAAAAAAAAABACAAAACnAwAAX3JlbHMvLnJl bHNQSwECFAAKAAAAAACHTuJAAAAAAAAAAAAAAAAABAAAAAAAAAAAABAAAAAAAAAAZHJzL1BLAQIU ABQAAAAIAIdO4kA10Exm2QAAAAkBAAAPAAAAAAAAAAEAIAAAACIAAABkcnMvZG93bnJldi54bWxQ SwECFAAUAAAACACHTuJA/rL8kS8CAABPBAAADgAAAAAAAAABACAAAAAoAQAAZHJzL2Uyb0RvYy54 bWxQSwUGAAAAAAYABgBZAQAAyQUAAAAA ">
                <v:fill on="f" focussize="0,0"/>
                <v:stroke weight="1.5pt" color="#00C4D8" joinstyle="round" dashstyle="1 1"/>
                <v:imagedata o:title=""/>
                <o:lock v:ext="edit" aspectratio="f"/>
                <v:shadow on="t" color="#000000" opacity="24903f" offset="0pt,1.5748031496063pt" origin="0f,32768f" matrix="65536f,0f,0f,65536f"/>
              </v:line>
            </w:pict>
          </mc:Fallback>
        </mc:AlternateContent>
      </w:r>
      <w:r>
        <w:rPr>
          <w:rFonts w:hint="eastAsia" w:ascii="微软雅黑" w:hAnsi="微软雅黑"/>
          <w:b/>
          <w:color w:val="00C4D8"/>
          <w:sz w:val="32"/>
          <w:szCs w:val="32"/>
        </w:rPr>
        <w:t>患者信息</w:t>
      </w:r>
      <w:bookmarkEnd w:id="41"/>
    </w:p>
    <w:tbl>
      <w:tblPr>
        <w:tblStyle w:val="16"/>
        <w:tblW w:w="8654" w:type="dxa"/>
        <w:tblInd w:w="0" w:type="dxa"/>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shd w:val="clear" w:color="auto" w:fill="DBEEF3" w:themeFill="accent5" w:themeFillTint="32"/>
        <w:tblLayout w:type="fixed"/>
        <w:tblCellMar>
          <w:top w:w="0" w:type="dxa"/>
          <w:left w:w="108" w:type="dxa"/>
          <w:bottom w:w="0" w:type="dxa"/>
          <w:right w:w="108" w:type="dxa"/>
        </w:tblCellMar>
      </w:tblPr>
      <w:tblGrid>
        <w:gridCol w:w="1557"/>
        <w:gridCol w:w="2629"/>
        <w:gridCol w:w="240"/>
        <w:gridCol w:w="1907"/>
        <w:gridCol w:w="2321"/>
      </w:tblGrid>
      <w:tr w14:paraId="01A15D79">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cantSplit/>
          <w:trHeight w:val="578" w:hRule="atLeast"/>
        </w:trPr>
        <w:tc>
          <w:tcPr>
            <w:tcW w:w="1557" w:type="dxa"/>
            <w:tcBorders>
              <w:tl2br w:val="nil"/>
              <w:tr2bl w:val="nil"/>
            </w:tcBorders>
            <w:shd w:val="clear" w:color="auto" w:fill="DBEEF3" w:themeFill="accent5" w:themeFillTint="32"/>
            <w:vAlign w:val="center"/>
          </w:tcPr>
          <w:p w14:paraId="3D922DAF">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b/>
                <w:kern w:val="2"/>
                <w:sz w:val="24"/>
                <w:szCs w:val="24"/>
              </w:rPr>
            </w:pPr>
            <w:bookmarkStart w:id="42" w:name="OLE_LINK60" w:colFirst="0" w:colLast="4"/>
            <w:r>
              <w:rPr>
                <w:rFonts w:hint="eastAsia" w:ascii="微软雅黑" w:hAnsi="微软雅黑"/>
                <w:b/>
                <w:kern w:val="2"/>
                <w:sz w:val="24"/>
                <w:szCs w:val="24"/>
              </w:rPr>
              <w:t>姓名：</w:t>
            </w:r>
          </w:p>
        </w:tc>
        <w:tc>
          <w:tcPr>
            <w:tcW w:w="2629" w:type="dxa"/>
            <w:tcBorders>
              <w:tl2br w:val="nil"/>
              <w:tr2bl w:val="nil"/>
            </w:tcBorders>
            <w:shd w:val="clear" w:color="auto" w:fill="DBEEF3" w:themeFill="accent5" w:themeFillTint="32"/>
            <w:vAlign w:val="center"/>
          </w:tcPr>
          <w:p w14:paraId="6B9A69E1">
            <w:pPr>
              <w:pStyle w:val="29"/>
              <w:keepNext w:val="0"/>
              <w:keepLines w:val="0"/>
              <w:widowControl/>
              <w:numPr>
                <w:ilvl w:val="255"/>
                <w:numId w:val="0"/>
              </w:numPr>
              <w:suppressLineNumbers w:val="0"/>
              <w:spacing w:before="0" w:beforeAutospacing="0" w:after="0" w:afterAutospacing="0"/>
              <w:ind w:left="0" w:right="0"/>
              <w:rPr>
                <w:rFonts w:hint="eastAsia" w:ascii="微软雅黑" w:hAnsi="微软雅黑" w:eastAsia="微软雅黑"/>
                <w:bCs/>
                <w:kern w:val="2"/>
                <w:sz w:val="24"/>
                <w:szCs w:val="24"/>
                <w:lang w:eastAsia="zh-CN"/>
              </w:rPr>
            </w:pPr>
            <w:r>
              <w:rPr>
                <w:rFonts w:hint="eastAsia" w:ascii="微软雅黑" w:hAnsi="微软雅黑"/>
                <w:bCs/>
                <w:kern w:val="2"/>
                <w:sz w:val="24"/>
                <w:szCs w:val="24"/>
                <w:lang w:eastAsia="zh-CN"/>
              </w:rPr>
              <w:t>{{ patient_name }}</w:t>
            </w:r>
          </w:p>
        </w:tc>
        <w:tc>
          <w:tcPr>
            <w:tcW w:w="240" w:type="dxa"/>
            <w:tcBorders>
              <w:tl2br w:val="nil"/>
              <w:tr2bl w:val="nil"/>
            </w:tcBorders>
            <w:shd w:val="clear" w:color="auto" w:fill="FFFFFF" w:themeFill="background1" w:themeFillTint="32"/>
            <w:vAlign w:val="center"/>
          </w:tcPr>
          <w:p w14:paraId="5E695D9E">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cs="微软雅黑"/>
                <w:bCs/>
                <w:kern w:val="2"/>
                <w:sz w:val="24"/>
                <w:szCs w:val="24"/>
              </w:rPr>
            </w:pPr>
          </w:p>
        </w:tc>
        <w:tc>
          <w:tcPr>
            <w:tcW w:w="1907" w:type="dxa"/>
            <w:tcBorders>
              <w:tl2br w:val="nil"/>
              <w:tr2bl w:val="nil"/>
            </w:tcBorders>
            <w:shd w:val="clear" w:color="auto" w:fill="DBEEF3" w:themeFill="accent5" w:themeFillTint="32"/>
            <w:vAlign w:val="center"/>
          </w:tcPr>
          <w:p w14:paraId="7D996789">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cs="微软雅黑"/>
                <w:bCs/>
                <w:kern w:val="2"/>
                <w:sz w:val="24"/>
                <w:szCs w:val="24"/>
              </w:rPr>
            </w:pPr>
            <w:r>
              <w:rPr>
                <w:rFonts w:hint="eastAsia" w:ascii="微软雅黑" w:hAnsi="微软雅黑"/>
                <w:b/>
                <w:kern w:val="2"/>
                <w:sz w:val="24"/>
                <w:szCs w:val="24"/>
              </w:rPr>
              <w:t>样本类型：</w:t>
            </w:r>
          </w:p>
        </w:tc>
        <w:tc>
          <w:tcPr>
            <w:tcW w:w="2321" w:type="dxa"/>
            <w:tcBorders>
              <w:tl2br w:val="nil"/>
              <w:tr2bl w:val="nil"/>
            </w:tcBorders>
            <w:shd w:val="clear" w:color="auto" w:fill="DBEEF3" w:themeFill="accent5" w:themeFillTint="32"/>
            <w:vAlign w:val="center"/>
          </w:tcPr>
          <w:p w14:paraId="71C77A2B">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cs="微软雅黑"/>
                <w:bCs/>
                <w:kern w:val="2"/>
                <w:sz w:val="24"/>
                <w:szCs w:val="24"/>
              </w:rPr>
            </w:pPr>
            <w:r>
              <w:rPr>
                <w:rFonts w:hint="eastAsia" w:ascii="微软雅黑" w:hAnsi="微软雅黑" w:cs="微软雅黑"/>
                <w:bCs/>
                <w:kern w:val="2"/>
                <w:sz w:val="24"/>
                <w:szCs w:val="24"/>
              </w:rPr>
              <w:t>{{ sample_type }}</w:t>
            </w:r>
            <w:r>
              <w:commentReference w:id="1"/>
            </w:r>
          </w:p>
        </w:tc>
      </w:tr>
      <w:tr w14:paraId="3110C11A">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cantSplit/>
          <w:trHeight w:val="578" w:hRule="atLeast"/>
        </w:trPr>
        <w:tc>
          <w:tcPr>
            <w:tcW w:w="1557" w:type="dxa"/>
            <w:tcBorders>
              <w:tl2br w:val="nil"/>
              <w:tr2bl w:val="nil"/>
            </w:tcBorders>
            <w:shd w:val="clear" w:color="auto" w:fill="DBEEF3" w:themeFill="accent5" w:themeFillTint="32"/>
            <w:vAlign w:val="center"/>
          </w:tcPr>
          <w:p w14:paraId="6A7EB1CD">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b/>
                <w:kern w:val="2"/>
                <w:sz w:val="24"/>
                <w:szCs w:val="24"/>
              </w:rPr>
            </w:pPr>
            <w:r>
              <w:rPr>
                <w:rFonts w:hint="eastAsia" w:ascii="微软雅黑" w:hAnsi="微软雅黑"/>
                <w:b/>
                <w:kern w:val="2"/>
                <w:sz w:val="24"/>
                <w:szCs w:val="24"/>
              </w:rPr>
              <w:t>性别：</w:t>
            </w:r>
          </w:p>
        </w:tc>
        <w:tc>
          <w:tcPr>
            <w:tcW w:w="2629" w:type="dxa"/>
            <w:tcBorders>
              <w:tl2br w:val="nil"/>
              <w:tr2bl w:val="nil"/>
            </w:tcBorders>
            <w:shd w:val="clear" w:color="auto" w:fill="DBEEF3" w:themeFill="accent5" w:themeFillTint="32"/>
            <w:vAlign w:val="center"/>
          </w:tcPr>
          <w:p w14:paraId="1A808895">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eastAsia="微软雅黑"/>
                <w:bCs/>
                <w:kern w:val="2"/>
                <w:sz w:val="24"/>
                <w:szCs w:val="24"/>
                <w:lang w:val="en-US" w:eastAsia="zh-CN"/>
              </w:rPr>
            </w:pPr>
            <w:r>
              <w:rPr>
                <w:rFonts w:hint="eastAsia" w:ascii="微软雅黑" w:hAnsi="微软雅黑"/>
                <w:bCs/>
                <w:kern w:val="2"/>
                <w:sz w:val="24"/>
                <w:szCs w:val="24"/>
                <w:lang w:val="en-US" w:eastAsia="zh-CN"/>
              </w:rPr>
              <w:t>{{ gender }}</w:t>
            </w:r>
          </w:p>
        </w:tc>
        <w:tc>
          <w:tcPr>
            <w:tcW w:w="240" w:type="dxa"/>
            <w:tcBorders>
              <w:tl2br w:val="nil"/>
              <w:tr2bl w:val="nil"/>
            </w:tcBorders>
            <w:shd w:val="clear" w:color="auto" w:fill="FFFFFF" w:themeFill="background1" w:themeFillTint="32"/>
            <w:vAlign w:val="center"/>
          </w:tcPr>
          <w:p w14:paraId="3ED49DBC">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bCs/>
                <w:kern w:val="2"/>
                <w:sz w:val="24"/>
                <w:szCs w:val="24"/>
              </w:rPr>
            </w:pPr>
          </w:p>
        </w:tc>
        <w:tc>
          <w:tcPr>
            <w:tcW w:w="1907" w:type="dxa"/>
            <w:tcBorders>
              <w:tl2br w:val="nil"/>
              <w:tr2bl w:val="nil"/>
            </w:tcBorders>
            <w:shd w:val="clear" w:color="auto" w:fill="DBEEF3" w:themeFill="accent5" w:themeFillTint="32"/>
            <w:vAlign w:val="center"/>
          </w:tcPr>
          <w:p w14:paraId="6615350A">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bCs/>
                <w:kern w:val="2"/>
                <w:sz w:val="24"/>
                <w:szCs w:val="24"/>
              </w:rPr>
            </w:pPr>
            <w:r>
              <w:rPr>
                <w:rFonts w:hint="eastAsia" w:ascii="微软雅黑" w:hAnsi="微软雅黑"/>
                <w:b/>
                <w:kern w:val="2"/>
                <w:sz w:val="24"/>
                <w:szCs w:val="24"/>
              </w:rPr>
              <w:t>取材手段：</w:t>
            </w:r>
          </w:p>
        </w:tc>
        <w:tc>
          <w:tcPr>
            <w:tcW w:w="2321" w:type="dxa"/>
            <w:tcBorders>
              <w:tl2br w:val="nil"/>
              <w:tr2bl w:val="nil"/>
            </w:tcBorders>
            <w:shd w:val="clear" w:color="auto" w:fill="DBEEF3" w:themeFill="accent5" w:themeFillTint="32"/>
            <w:vAlign w:val="center"/>
          </w:tcPr>
          <w:p w14:paraId="047695C8">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bCs/>
                <w:kern w:val="2"/>
                <w:sz w:val="24"/>
                <w:szCs w:val="24"/>
              </w:rPr>
            </w:pPr>
            <w:r>
              <w:rPr>
                <w:rFonts w:hint="eastAsia" w:ascii="微软雅黑" w:hAnsi="微软雅黑"/>
                <w:bCs/>
                <w:kern w:val="2"/>
                <w:sz w:val="24"/>
                <w:szCs w:val="24"/>
              </w:rPr>
              <w:t>-</w:t>
            </w:r>
          </w:p>
        </w:tc>
      </w:tr>
      <w:tr w14:paraId="5FCB214E">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shd w:val="clear" w:color="auto" w:fill="DBEEF3" w:themeFill="accent5" w:themeFillTint="32"/>
          <w:tblCellMar>
            <w:top w:w="0" w:type="dxa"/>
            <w:left w:w="108" w:type="dxa"/>
            <w:bottom w:w="0" w:type="dxa"/>
            <w:right w:w="108" w:type="dxa"/>
          </w:tblCellMar>
        </w:tblPrEx>
        <w:trPr>
          <w:cantSplit/>
          <w:trHeight w:val="578" w:hRule="atLeast"/>
        </w:trPr>
        <w:tc>
          <w:tcPr>
            <w:tcW w:w="1557" w:type="dxa"/>
            <w:tcBorders>
              <w:tl2br w:val="nil"/>
              <w:tr2bl w:val="nil"/>
            </w:tcBorders>
            <w:shd w:val="clear" w:color="auto" w:fill="DBEEF3" w:themeFill="accent5" w:themeFillTint="32"/>
            <w:vAlign w:val="center"/>
          </w:tcPr>
          <w:p w14:paraId="6546D31B">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b/>
                <w:kern w:val="2"/>
                <w:sz w:val="24"/>
                <w:szCs w:val="24"/>
              </w:rPr>
            </w:pPr>
            <w:r>
              <w:rPr>
                <w:rFonts w:hint="eastAsia" w:ascii="微软雅黑" w:hAnsi="微软雅黑"/>
                <w:b/>
                <w:kern w:val="2"/>
                <w:sz w:val="24"/>
                <w:szCs w:val="24"/>
              </w:rPr>
              <w:t>年龄：</w:t>
            </w:r>
          </w:p>
        </w:tc>
        <w:tc>
          <w:tcPr>
            <w:tcW w:w="2629" w:type="dxa"/>
            <w:tcBorders>
              <w:tl2br w:val="nil"/>
              <w:tr2bl w:val="nil"/>
            </w:tcBorders>
            <w:shd w:val="clear" w:color="auto" w:fill="DBEEF3" w:themeFill="accent5" w:themeFillTint="32"/>
            <w:vAlign w:val="center"/>
          </w:tcPr>
          <w:p w14:paraId="39D7E3D9">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eastAsia="微软雅黑"/>
                <w:bCs/>
                <w:kern w:val="2"/>
                <w:sz w:val="24"/>
                <w:szCs w:val="24"/>
                <w:lang w:val="en-US" w:eastAsia="zh-CN"/>
              </w:rPr>
            </w:pPr>
            <w:r>
              <w:rPr>
                <w:rFonts w:hint="eastAsia" w:ascii="微软雅黑" w:hAnsi="微软雅黑"/>
                <w:bCs/>
                <w:kern w:val="2"/>
                <w:sz w:val="24"/>
                <w:szCs w:val="24"/>
                <w:lang w:val="en-US" w:eastAsia="zh-CN"/>
              </w:rPr>
              <w:t>{{ age }}</w:t>
            </w:r>
          </w:p>
        </w:tc>
        <w:tc>
          <w:tcPr>
            <w:tcW w:w="240" w:type="dxa"/>
            <w:tcBorders>
              <w:tl2br w:val="nil"/>
              <w:tr2bl w:val="nil"/>
            </w:tcBorders>
            <w:shd w:val="clear" w:color="auto" w:fill="FFFFFF" w:themeFill="background1" w:themeFillTint="32"/>
            <w:vAlign w:val="center"/>
          </w:tcPr>
          <w:p w14:paraId="2ACA21FE">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bCs/>
                <w:kern w:val="2"/>
                <w:sz w:val="24"/>
                <w:szCs w:val="24"/>
              </w:rPr>
            </w:pPr>
          </w:p>
        </w:tc>
        <w:tc>
          <w:tcPr>
            <w:tcW w:w="1907" w:type="dxa"/>
            <w:tcBorders>
              <w:tl2br w:val="nil"/>
              <w:tr2bl w:val="nil"/>
            </w:tcBorders>
            <w:shd w:val="clear" w:color="auto" w:fill="DBEEF3" w:themeFill="accent5" w:themeFillTint="32"/>
            <w:vAlign w:val="center"/>
          </w:tcPr>
          <w:p w14:paraId="0CDC6A70">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bCs/>
                <w:kern w:val="2"/>
                <w:sz w:val="24"/>
                <w:szCs w:val="24"/>
              </w:rPr>
            </w:pPr>
            <w:r>
              <w:rPr>
                <w:rFonts w:hint="eastAsia" w:ascii="微软雅黑" w:hAnsi="微软雅黑"/>
                <w:b/>
                <w:kern w:val="2"/>
                <w:sz w:val="24"/>
                <w:szCs w:val="24"/>
              </w:rPr>
              <w:t>取材部位：</w:t>
            </w:r>
          </w:p>
        </w:tc>
        <w:tc>
          <w:tcPr>
            <w:tcW w:w="2321" w:type="dxa"/>
            <w:tcBorders>
              <w:tl2br w:val="nil"/>
              <w:tr2bl w:val="nil"/>
            </w:tcBorders>
            <w:shd w:val="clear" w:color="auto" w:fill="DBEEF3" w:themeFill="accent5" w:themeFillTint="32"/>
            <w:vAlign w:val="center"/>
          </w:tcPr>
          <w:p w14:paraId="7EC4F6C6">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bCs/>
                <w:kern w:val="2"/>
                <w:sz w:val="24"/>
                <w:szCs w:val="24"/>
              </w:rPr>
            </w:pPr>
            <w:r>
              <w:rPr>
                <w:rFonts w:hint="eastAsia" w:ascii="微软雅黑" w:hAnsi="微软雅黑"/>
                <w:bCs/>
                <w:kern w:val="2"/>
                <w:sz w:val="24"/>
                <w:szCs w:val="24"/>
              </w:rPr>
              <w:t>-</w:t>
            </w:r>
          </w:p>
        </w:tc>
      </w:tr>
      <w:tr w14:paraId="691C18D3">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shd w:val="clear" w:color="auto" w:fill="DBEEF3" w:themeFill="accent5" w:themeFillTint="32"/>
          <w:tblCellMar>
            <w:top w:w="0" w:type="dxa"/>
            <w:left w:w="108" w:type="dxa"/>
            <w:bottom w:w="0" w:type="dxa"/>
            <w:right w:w="108" w:type="dxa"/>
          </w:tblCellMar>
        </w:tblPrEx>
        <w:trPr>
          <w:cantSplit/>
          <w:trHeight w:val="578" w:hRule="atLeast"/>
        </w:trPr>
        <w:tc>
          <w:tcPr>
            <w:tcW w:w="1557" w:type="dxa"/>
            <w:tcBorders>
              <w:tl2br w:val="nil"/>
              <w:tr2bl w:val="nil"/>
            </w:tcBorders>
            <w:shd w:val="clear" w:color="auto" w:fill="DBEEF3" w:themeFill="accent5" w:themeFillTint="32"/>
            <w:vAlign w:val="center"/>
          </w:tcPr>
          <w:p w14:paraId="5FED2548">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b/>
                <w:kern w:val="2"/>
                <w:sz w:val="24"/>
                <w:szCs w:val="24"/>
              </w:rPr>
            </w:pPr>
            <w:r>
              <w:rPr>
                <w:rFonts w:hint="eastAsia" w:ascii="微软雅黑" w:hAnsi="微软雅黑"/>
                <w:b/>
                <w:kern w:val="2"/>
                <w:sz w:val="24"/>
                <w:szCs w:val="24"/>
              </w:rPr>
              <w:t>临床诊断：</w:t>
            </w:r>
          </w:p>
        </w:tc>
        <w:tc>
          <w:tcPr>
            <w:tcW w:w="2629" w:type="dxa"/>
            <w:tcBorders>
              <w:tl2br w:val="nil"/>
              <w:tr2bl w:val="nil"/>
            </w:tcBorders>
            <w:shd w:val="clear" w:color="auto" w:fill="DBEEF3" w:themeFill="accent5" w:themeFillTint="32"/>
            <w:vAlign w:val="center"/>
          </w:tcPr>
          <w:p w14:paraId="38816B10">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eastAsia="微软雅黑"/>
                <w:bCs/>
                <w:kern w:val="2"/>
                <w:sz w:val="24"/>
                <w:szCs w:val="24"/>
                <w:lang w:val="en-US" w:eastAsia="zh-CN"/>
              </w:rPr>
            </w:pPr>
            <w:r>
              <w:rPr>
                <w:rFonts w:hint="eastAsia" w:ascii="微软雅黑" w:hAnsi="微软雅黑"/>
                <w:bCs/>
                <w:kern w:val="2"/>
                <w:sz w:val="24"/>
                <w:szCs w:val="24"/>
                <w:lang w:val="en-US" w:eastAsia="zh-CN"/>
              </w:rPr>
              <w:t>{{ cancer_type }}</w:t>
            </w:r>
          </w:p>
        </w:tc>
        <w:tc>
          <w:tcPr>
            <w:tcW w:w="240" w:type="dxa"/>
            <w:tcBorders>
              <w:tl2br w:val="nil"/>
              <w:tr2bl w:val="nil"/>
            </w:tcBorders>
            <w:shd w:val="clear" w:color="auto" w:fill="FFFFFF" w:themeFill="background1" w:themeFillTint="32"/>
            <w:vAlign w:val="center"/>
          </w:tcPr>
          <w:p w14:paraId="69DE7E9C">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bCs/>
                <w:kern w:val="2"/>
                <w:sz w:val="24"/>
                <w:szCs w:val="24"/>
              </w:rPr>
            </w:pPr>
          </w:p>
        </w:tc>
        <w:tc>
          <w:tcPr>
            <w:tcW w:w="1907" w:type="dxa"/>
            <w:tcBorders>
              <w:tl2br w:val="nil"/>
              <w:tr2bl w:val="nil"/>
            </w:tcBorders>
            <w:shd w:val="clear" w:color="auto" w:fill="DBEEF3" w:themeFill="accent5" w:themeFillTint="32"/>
            <w:vAlign w:val="center"/>
          </w:tcPr>
          <w:p w14:paraId="2CF53269">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bCs/>
                <w:kern w:val="2"/>
                <w:sz w:val="24"/>
                <w:szCs w:val="24"/>
              </w:rPr>
            </w:pPr>
            <w:r>
              <w:rPr>
                <w:rFonts w:hint="eastAsia" w:ascii="微软雅黑" w:hAnsi="微软雅黑"/>
                <w:b/>
                <w:kern w:val="2"/>
                <w:sz w:val="24"/>
                <w:szCs w:val="24"/>
              </w:rPr>
              <w:t>项目编码：</w:t>
            </w:r>
          </w:p>
        </w:tc>
        <w:tc>
          <w:tcPr>
            <w:tcW w:w="2321" w:type="dxa"/>
            <w:tcBorders>
              <w:tl2br w:val="nil"/>
              <w:tr2bl w:val="nil"/>
            </w:tcBorders>
            <w:shd w:val="clear" w:color="auto" w:fill="DBEEF3" w:themeFill="accent5" w:themeFillTint="32"/>
            <w:vAlign w:val="center"/>
          </w:tcPr>
          <w:p w14:paraId="521B9166">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eastAsia="微软雅黑"/>
                <w:bCs/>
                <w:kern w:val="2"/>
                <w:sz w:val="24"/>
                <w:szCs w:val="24"/>
                <w:lang w:val="en-US" w:eastAsia="zh-CN"/>
              </w:rPr>
            </w:pPr>
            <w:r>
              <w:rPr>
                <w:rFonts w:hint="eastAsia" w:ascii="微软雅黑" w:hAnsi="微软雅黑"/>
                <w:bCs/>
                <w:kern w:val="2"/>
                <w:sz w:val="24"/>
                <w:szCs w:val="24"/>
                <w:lang w:eastAsia="zh-CN"/>
              </w:rPr>
              <w:t>{{ pathology_id }}</w:t>
            </w:r>
            <w:r>
              <w:rPr>
                <w:rFonts w:hint="eastAsia" w:ascii="微软雅黑" w:hAnsi="微软雅黑"/>
                <w:bCs/>
                <w:kern w:val="2"/>
                <w:sz w:val="24"/>
                <w:szCs w:val="24"/>
                <w:lang w:val="en-US" w:eastAsia="zh-CN"/>
              </w:rPr>
              <w:t/>
            </w:r>
            <w:r>
              <w:commentReference w:id="2"/>
            </w:r>
          </w:p>
        </w:tc>
      </w:tr>
      <w:bookmarkEnd w:id="42"/>
    </w:tbl>
    <w:p w14:paraId="2D23A9C5">
      <w:pPr>
        <w:tabs>
          <w:tab w:val="left" w:pos="6274"/>
        </w:tabs>
        <w:adjustRightInd/>
        <w:snapToGrid/>
        <w:spacing w:before="100" w:after="100" w:line="220" w:lineRule="atLeast"/>
        <w:jc w:val="both"/>
        <w:rPr>
          <w:rFonts w:ascii="微软雅黑" w:hAnsi="微软雅黑"/>
          <w:b/>
          <w:color w:val="0D0D0D" w:themeColor="text1" w:themeTint="F2"/>
          <w:sz w:val="18"/>
          <w:szCs w:val="18"/>
          <w14:textFill>
            <w14:solidFill>
              <w14:schemeClr w14:val="tx1">
                <w14:lumMod w14:val="95000"/>
                <w14:lumOff w14:val="5000"/>
              </w14:schemeClr>
            </w14:solidFill>
          </w14:textFill>
        </w:rPr>
      </w:pPr>
      <w:bookmarkStart w:id="43" w:name="_Toc14589"/>
      <w:bookmarkStart w:id="44" w:name="_Toc22529"/>
      <w:bookmarkStart w:id="45" w:name="_Toc3347"/>
      <w:bookmarkStart w:id="46" w:name="_Toc1619"/>
      <w:bookmarkStart w:id="47" w:name="_Toc31667"/>
      <w:bookmarkStart w:id="48" w:name="_Toc18728"/>
      <w:bookmarkStart w:id="49" w:name="_Toc16727"/>
      <w:bookmarkStart w:id="50" w:name="_Toc30103"/>
      <w:bookmarkStart w:id="51" w:name="_Toc5570"/>
      <w:bookmarkStart w:id="52" w:name="_Toc31893"/>
      <w:bookmarkStart w:id="53" w:name="_Toc5129"/>
      <w:r>
        <w:rPr>
          <w:rFonts w:hint="eastAsia" w:ascii="微软雅黑" w:hAnsi="微软雅黑"/>
          <w:b/>
          <w:color w:val="0D0D0D" w:themeColor="text1" w:themeTint="F2"/>
          <w:sz w:val="18"/>
          <w:szCs w:val="18"/>
          <w14:textFill>
            <w14:solidFill>
              <w14:schemeClr w14:val="tx1">
                <w14:lumMod w14:val="95000"/>
                <w14:lumOff w14:val="5000"/>
              </w14:schemeClr>
            </w14:solidFill>
          </w14:textFill>
        </w:rPr>
        <w:t>附注：以上受检者信息和样本信息均来自受检者送检时提供的信息，而非来自检测结果。本检测报告不对以上信息的准确性负责。</w:t>
      </w:r>
    </w:p>
    <w:p w14:paraId="4CC8F785">
      <w:pPr>
        <w:tabs>
          <w:tab w:val="left" w:pos="6274"/>
        </w:tabs>
        <w:adjustRightInd/>
        <w:snapToGrid/>
        <w:spacing w:before="400" w:line="220" w:lineRule="atLeast"/>
        <w:outlineLvl w:val="0"/>
        <w:rPr>
          <w:rFonts w:ascii="微软雅黑" w:hAnsi="微软雅黑"/>
          <w:b/>
          <w:sz w:val="32"/>
          <w:szCs w:val="32"/>
        </w:rPr>
      </w:pPr>
      <w:bookmarkStart w:id="54" w:name="_Toc17258"/>
      <w:bookmarkStart w:id="55" w:name="_Toc2382"/>
      <w:r>
        <w:rPr>
          <w:rFonts w:hint="eastAsia" w:ascii="微软雅黑" w:hAnsi="微软雅黑"/>
          <w:b/>
          <w:color w:val="00C4D8"/>
          <w:sz w:val="32"/>
          <w:szCs w:val="32"/>
        </w:rPr>
        <w:t>检测内容</w:t>
      </w:r>
      <w:bookmarkEnd w:id="43"/>
      <w:bookmarkEnd w:id="44"/>
      <w:bookmarkEnd w:id="45"/>
      <w:bookmarkEnd w:id="46"/>
      <w:bookmarkEnd w:id="47"/>
      <w:bookmarkEnd w:id="48"/>
      <w:bookmarkEnd w:id="49"/>
      <w:bookmarkEnd w:id="50"/>
      <w:bookmarkEnd w:id="51"/>
      <w:bookmarkEnd w:id="52"/>
      <w:bookmarkEnd w:id="53"/>
      <w:bookmarkEnd w:id="54"/>
      <w:bookmarkEnd w:id="55"/>
      <w:r>
        <w:rPr>
          <w:rFonts w:ascii="微软雅黑" w:hAnsi="微软雅黑"/>
          <w:b/>
          <w:sz w:val="32"/>
          <w:szCs w:val="32"/>
        </w:rPr>
        <w:tab/>
      </w:r>
    </w:p>
    <w:p w14:paraId="1652F277">
      <w:pPr>
        <w:spacing w:line="312" w:lineRule="auto"/>
        <w:ind w:firstLine="480" w:firstLineChars="200"/>
        <w:jc w:val="both"/>
        <w:rPr>
          <w:rFonts w:ascii="微软雅黑" w:hAnsi="微软雅黑" w:cs="LPJNJT+Arial Unicode MS"/>
          <w:sz w:val="24"/>
          <w:szCs w:val="24"/>
        </w:rPr>
      </w:pPr>
      <w:r>
        <w:rPr>
          <w:rFonts w:ascii="微软雅黑" w:hAnsi="微软雅黑" w:cs="LPJNJT+Arial Unicode MS"/>
          <w:sz w:val="24"/>
          <w:szCs w:val="24"/>
        </w:rPr>
        <w:t>对委托人</w:t>
      </w:r>
      <w:r>
        <w:rPr>
          <w:rFonts w:hint="eastAsia" w:ascii="微软雅黑" w:hAnsi="微软雅黑" w:cs="LPJNJT+Arial Unicode MS"/>
          <w:sz w:val="24"/>
          <w:szCs w:val="24"/>
          <w:u w:val="single"/>
        </w:rPr>
        <w:t xml:space="preserve">    组织    </w:t>
      </w:r>
      <w:r>
        <w:rPr>
          <w:rFonts w:ascii="微软雅黑" w:hAnsi="微软雅黑" w:cs="LPJNJT+Arial Unicode MS"/>
          <w:sz w:val="24"/>
          <w:szCs w:val="24"/>
        </w:rPr>
        <w:t xml:space="preserve">的 </w:t>
      </w:r>
      <w:r>
        <w:rPr>
          <w:rFonts w:ascii="微软雅黑" w:hAnsi="微软雅黑"/>
          <w:sz w:val="24"/>
          <w:szCs w:val="24"/>
        </w:rPr>
        <w:t xml:space="preserve">DNA </w:t>
      </w:r>
      <w:r>
        <w:rPr>
          <w:rFonts w:ascii="微软雅黑" w:hAnsi="微软雅黑" w:cs="LPJNJT+Arial Unicode MS"/>
          <w:sz w:val="24"/>
          <w:szCs w:val="24"/>
        </w:rPr>
        <w:t>样本</w:t>
      </w:r>
      <w:r>
        <w:rPr>
          <w:rFonts w:hint="eastAsia" w:ascii="微软雅黑" w:hAnsi="微软雅黑" w:cs="LPJNJT+Arial Unicode MS"/>
          <w:sz w:val="24"/>
          <w:szCs w:val="24"/>
        </w:rPr>
        <w:t>微卫星不稳定性（MSI）以及</w:t>
      </w:r>
      <w:r>
        <w:rPr>
          <w:rFonts w:ascii="微软雅黑" w:hAnsi="微软雅黑" w:cs="LPJNJT+Arial Unicode MS"/>
          <w:sz w:val="24"/>
          <w:szCs w:val="24"/>
        </w:rPr>
        <w:t>与肿瘤密切相关的</w:t>
      </w:r>
      <w:r>
        <w:rPr>
          <w:rFonts w:hint="eastAsia" w:ascii="微软雅黑" w:hAnsi="微软雅黑" w:cs="LPJNJT+Arial Unicode MS"/>
          <w:sz w:val="24"/>
          <w:szCs w:val="24"/>
          <w:lang w:eastAsia="zh-CN"/>
        </w:rPr>
        <w:t>358</w:t>
      </w:r>
      <w:r>
        <w:rPr>
          <w:rFonts w:ascii="微软雅黑" w:hAnsi="微软雅黑" w:cs="LPJNJT+Arial Unicode MS"/>
          <w:sz w:val="24"/>
          <w:szCs w:val="24"/>
        </w:rPr>
        <w:t>个基因进行</w:t>
      </w:r>
      <w:r>
        <w:rPr>
          <w:rFonts w:hint="eastAsia" w:ascii="微软雅黑" w:hAnsi="微软雅黑" w:cs="LPJNJT+Arial Unicode MS"/>
          <w:sz w:val="24"/>
          <w:szCs w:val="24"/>
        </w:rPr>
        <w:t>检测</w:t>
      </w:r>
      <w:r>
        <w:rPr>
          <w:rFonts w:ascii="微软雅黑" w:hAnsi="微软雅黑" w:cs="LPJNJT+Arial Unicode MS"/>
          <w:sz w:val="24"/>
          <w:szCs w:val="24"/>
        </w:rPr>
        <w:t>：</w:t>
      </w:r>
    </w:p>
    <w:p w14:paraId="415FEE6D">
      <w:pPr>
        <w:numPr>
          <w:ilvl w:val="0"/>
          <w:numId w:val="1"/>
        </w:numPr>
        <w:spacing w:after="0" w:line="312" w:lineRule="auto"/>
        <w:jc w:val="both"/>
        <w:rPr>
          <w:rFonts w:ascii="微软雅黑" w:hAnsi="微软雅黑" w:cs="LPJNJT+Arial Unicode MS"/>
          <w:sz w:val="24"/>
          <w:szCs w:val="24"/>
        </w:rPr>
      </w:pPr>
      <w:bookmarkStart w:id="56" w:name="OLE_LINK28"/>
      <w:r>
        <w:rPr>
          <w:rFonts w:hint="eastAsia" w:ascii="微软雅黑" w:hAnsi="微软雅黑" w:cs="LPJNJT+Arial Unicode MS"/>
          <w:sz w:val="24"/>
          <w:szCs w:val="24"/>
        </w:rPr>
        <w:t>分析样本微卫星不稳定性，给予用药提示。</w:t>
      </w:r>
    </w:p>
    <w:p w14:paraId="6909263C">
      <w:pPr>
        <w:spacing w:after="0" w:line="312" w:lineRule="auto"/>
        <w:jc w:val="both"/>
        <w:rPr>
          <w:rFonts w:ascii="微软雅黑" w:hAnsi="微软雅黑" w:cs="LPJNJT+Arial Unicode MS"/>
          <w:sz w:val="24"/>
          <w:szCs w:val="24"/>
        </w:rPr>
      </w:pPr>
      <w:r>
        <w:rPr>
          <w:rFonts w:hint="eastAsia" w:ascii="微软雅黑" w:hAnsi="微软雅黑" w:cs="LPJNJT+Arial Unicode MS"/>
          <w:sz w:val="24"/>
          <w:szCs w:val="24"/>
        </w:rPr>
        <w:t>2</w:t>
      </w:r>
      <w:r>
        <w:rPr>
          <w:rFonts w:ascii="微软雅黑" w:hAnsi="微软雅黑" w:cs="LPJNJT+Arial Unicode MS"/>
          <w:sz w:val="24"/>
          <w:szCs w:val="24"/>
        </w:rPr>
        <w:t xml:space="preserve">. </w:t>
      </w:r>
      <w:r>
        <w:rPr>
          <w:rFonts w:hint="eastAsia" w:ascii="微软雅黑" w:hAnsi="微软雅黑" w:cs="LPJNJT+Arial Unicode MS"/>
          <w:sz w:val="24"/>
          <w:szCs w:val="24"/>
        </w:rPr>
        <w:t>分析样本存在的基因变异情况，寻找与靶向/免疫药物相关的变异，给予用药提示与理论支持。</w:t>
      </w:r>
    </w:p>
    <w:bookmarkEnd w:id="56"/>
    <w:p w14:paraId="489EAF85">
      <w:pPr>
        <w:pStyle w:val="28"/>
        <w:widowControl w:val="0"/>
        <w:autoSpaceDE w:val="0"/>
        <w:autoSpaceDN w:val="0"/>
        <w:adjustRightInd w:val="0"/>
        <w:spacing w:before="0" w:after="0" w:line="312" w:lineRule="auto"/>
        <w:rPr>
          <w:rFonts w:ascii="微软雅黑" w:hAnsi="微软雅黑" w:eastAsia="微软雅黑" w:cs="LPJNJT+Arial Unicode MS"/>
          <w:sz w:val="24"/>
          <w:szCs w:val="24"/>
          <w:lang w:eastAsia="zh-CN"/>
        </w:rPr>
      </w:pPr>
    </w:p>
    <w:p w14:paraId="63B0A0F6">
      <w:pPr>
        <w:pStyle w:val="28"/>
        <w:widowControl w:val="0"/>
        <w:autoSpaceDE w:val="0"/>
        <w:autoSpaceDN w:val="0"/>
        <w:adjustRightInd w:val="0"/>
        <w:spacing w:line="312" w:lineRule="auto"/>
        <w:rPr>
          <w:rFonts w:ascii="微软雅黑" w:hAnsi="微软雅黑" w:eastAsia="微软雅黑" w:cs="OSTASS+åæä¸­å®"/>
          <w:color w:val="000000"/>
          <w:sz w:val="24"/>
          <w:szCs w:val="24"/>
          <w:lang w:eastAsia="zh-CN"/>
        </w:rPr>
      </w:pPr>
      <w:r>
        <w:rPr>
          <w:rFonts w:ascii="微软雅黑" w:hAnsi="微软雅黑" w:eastAsia="微软雅黑" w:cs="OSTASS+åæä¸­å®"/>
          <w:b/>
          <w:color w:val="000000"/>
          <w:sz w:val="24"/>
          <w:szCs w:val="24"/>
          <w:lang w:eastAsia="zh-CN"/>
        </w:rPr>
        <w:t>*</w:t>
      </w:r>
      <w:r>
        <w:rPr>
          <w:rFonts w:ascii="微软雅黑" w:hAnsi="微软雅黑" w:eastAsia="微软雅黑" w:cs="OSTASS+åæä¸­å®"/>
          <w:color w:val="000000"/>
          <w:sz w:val="24"/>
          <w:szCs w:val="24"/>
          <w:lang w:eastAsia="zh-CN"/>
        </w:rPr>
        <w:t>本检测只针对</w:t>
      </w:r>
      <w:r>
        <w:rPr>
          <w:rFonts w:ascii="微软雅黑" w:hAnsi="微软雅黑" w:eastAsia="微软雅黑"/>
          <w:color w:val="000000"/>
          <w:sz w:val="24"/>
          <w:szCs w:val="24"/>
          <w:lang w:eastAsia="zh-CN"/>
        </w:rPr>
        <w:t>DNA</w:t>
      </w:r>
      <w:r>
        <w:rPr>
          <w:rFonts w:ascii="微软雅黑" w:hAnsi="微软雅黑" w:eastAsia="微软雅黑" w:cs="OSTASS+åæä¸­å®"/>
          <w:color w:val="000000"/>
          <w:sz w:val="24"/>
          <w:szCs w:val="24"/>
          <w:lang w:eastAsia="zh-CN"/>
        </w:rPr>
        <w:t>水平（包括点突变</w:t>
      </w:r>
      <w:r>
        <w:rPr>
          <w:rFonts w:hint="eastAsia" w:ascii="微软雅黑" w:hAnsi="微软雅黑" w:eastAsia="微软雅黑" w:cs="OSTASS+åæä¸­å®"/>
          <w:color w:val="000000"/>
          <w:sz w:val="24"/>
          <w:szCs w:val="24"/>
          <w:lang w:eastAsia="zh-CN"/>
        </w:rPr>
        <w:t>、</w:t>
      </w:r>
      <w:r>
        <w:rPr>
          <w:rFonts w:ascii="微软雅黑" w:hAnsi="微软雅黑" w:eastAsia="微软雅黑" w:cs="OSTASS+åæä¸­å®"/>
          <w:color w:val="000000"/>
          <w:sz w:val="24"/>
          <w:szCs w:val="24"/>
          <w:lang w:eastAsia="zh-CN"/>
        </w:rPr>
        <w:t>小的缺失和插入</w:t>
      </w:r>
      <w:r>
        <w:rPr>
          <w:rFonts w:hint="eastAsia" w:ascii="微软雅黑" w:hAnsi="微软雅黑" w:eastAsia="微软雅黑" w:cs="OSTASS+åæä¸­å®"/>
          <w:color w:val="000000"/>
          <w:sz w:val="24"/>
          <w:szCs w:val="24"/>
          <w:lang w:eastAsia="zh-CN"/>
        </w:rPr>
        <w:t>、</w:t>
      </w:r>
      <w:r>
        <w:rPr>
          <w:rFonts w:ascii="微软雅黑" w:hAnsi="微软雅黑" w:eastAsia="微软雅黑" w:cs="OSTASS+åæä¸­å®"/>
          <w:color w:val="000000"/>
          <w:sz w:val="24"/>
          <w:szCs w:val="24"/>
          <w:lang w:eastAsia="zh-CN"/>
        </w:rPr>
        <w:t>拷贝数</w:t>
      </w:r>
      <w:r>
        <w:rPr>
          <w:rFonts w:hint="eastAsia" w:ascii="微软雅黑" w:hAnsi="微软雅黑" w:eastAsia="微软雅黑" w:cs="OSTASS+åæä¸­å®"/>
          <w:color w:val="000000"/>
          <w:sz w:val="24"/>
          <w:szCs w:val="24"/>
          <w:lang w:eastAsia="zh-CN"/>
        </w:rPr>
        <w:t>变异</w:t>
      </w:r>
      <w:r>
        <w:rPr>
          <w:rFonts w:ascii="微软雅黑" w:hAnsi="微软雅黑" w:eastAsia="微软雅黑" w:cs="OSTASS+åæä¸­å®"/>
          <w:color w:val="000000"/>
          <w:sz w:val="24"/>
          <w:szCs w:val="24"/>
          <w:lang w:eastAsia="zh-CN"/>
        </w:rPr>
        <w:t>和目前已知的融合基因），不涉及蛋白、</w:t>
      </w:r>
      <w:r>
        <w:rPr>
          <w:rFonts w:ascii="微软雅黑" w:hAnsi="微软雅黑" w:eastAsia="微软雅黑"/>
          <w:color w:val="000000"/>
          <w:sz w:val="24"/>
          <w:szCs w:val="24"/>
          <w:lang w:eastAsia="zh-CN"/>
        </w:rPr>
        <w:t>RNA</w:t>
      </w:r>
      <w:r>
        <w:rPr>
          <w:rFonts w:ascii="微软雅黑" w:hAnsi="微软雅黑" w:eastAsia="微软雅黑" w:cs="OSTASS+åæä¸­å®"/>
          <w:color w:val="000000"/>
          <w:sz w:val="24"/>
          <w:szCs w:val="24"/>
          <w:lang w:eastAsia="zh-CN"/>
        </w:rPr>
        <w:t>水平。</w:t>
      </w:r>
      <w:bookmarkStart w:id="57" w:name="_Toc3810"/>
      <w:bookmarkEnd w:id="57"/>
      <w:bookmarkStart w:id="58" w:name="_Toc8199"/>
      <w:bookmarkEnd w:id="58"/>
      <w:bookmarkStart w:id="59" w:name="_Toc5769"/>
      <w:bookmarkEnd w:id="59"/>
      <w:bookmarkStart w:id="60" w:name="_Toc20306"/>
      <w:bookmarkEnd w:id="60"/>
      <w:bookmarkStart w:id="61" w:name="_Toc30794"/>
      <w:bookmarkEnd w:id="61"/>
      <w:bookmarkStart w:id="62" w:name="_Toc7901"/>
      <w:bookmarkEnd w:id="62"/>
      <w:bookmarkStart w:id="63" w:name="_Toc23594"/>
      <w:bookmarkStart w:id="64" w:name="_Toc4168"/>
      <w:bookmarkStart w:id="65" w:name="_Toc26709"/>
      <w:bookmarkStart w:id="66" w:name="_Toc6361"/>
      <w:bookmarkStart w:id="67" w:name="_Toc28223"/>
      <w:bookmarkStart w:id="68" w:name="_Toc21519"/>
      <w:bookmarkStart w:id="69" w:name="_Toc26768"/>
      <w:bookmarkStart w:id="70" w:name="_Toc30443"/>
      <w:bookmarkStart w:id="71" w:name="_Toc12358"/>
      <w:bookmarkStart w:id="72" w:name="_Toc1330"/>
      <w:bookmarkStart w:id="73" w:name="_Toc30145"/>
      <w:bookmarkStart w:id="74" w:name="_Toc25481"/>
      <w:bookmarkStart w:id="75" w:name="_Toc10524"/>
    </w:p>
    <w:p w14:paraId="289E6EDC">
      <w:pPr>
        <w:rPr>
          <w:rFonts w:ascii="微软雅黑" w:hAnsi="微软雅黑" w:eastAsia="微软雅黑" w:cs="OSTASS+åæä¸­å®"/>
          <w:color w:val="000000"/>
          <w:sz w:val="24"/>
          <w:szCs w:val="24"/>
          <w:lang w:eastAsia="zh-CN"/>
        </w:rPr>
      </w:pPr>
      <w:r>
        <w:rPr>
          <w:rFonts w:ascii="微软雅黑" w:hAnsi="微软雅黑" w:eastAsia="微软雅黑" w:cs="OSTASS+åæä¸­å®"/>
          <w:color w:val="000000"/>
          <w:sz w:val="24"/>
          <w:szCs w:val="24"/>
          <w:lang w:eastAsia="zh-CN"/>
        </w:rPr>
        <w:br w:type="page"/>
      </w:r>
    </w:p>
    <w:p w14:paraId="3EA8B616">
      <w:pPr>
        <w:pStyle w:val="28"/>
        <w:widowControl w:val="0"/>
        <w:autoSpaceDE w:val="0"/>
        <w:autoSpaceDN w:val="0"/>
        <w:adjustRightInd w:val="0"/>
        <w:spacing w:line="312" w:lineRule="auto"/>
        <w:rPr>
          <w:rFonts w:ascii="微软雅黑" w:hAnsi="微软雅黑"/>
          <w:b/>
          <w:sz w:val="30"/>
          <w:szCs w:val="30"/>
        </w:rPr>
      </w:pPr>
      <w:r>
        <w:rPr>
          <w:rFonts w:hint="eastAsia" w:ascii="微软雅黑" w:hAnsi="微软雅黑"/>
          <w:b/>
          <w:sz w:val="30"/>
          <w:szCs w:val="30"/>
        </w:rPr>
        <w:tab/>
      </w:r>
    </w:p>
    <w:p w14:paraId="501053BD">
      <w:pPr>
        <w:pStyle w:val="29"/>
        <w:numPr>
          <w:ilvl w:val="255"/>
          <w:numId w:val="0"/>
        </w:numPr>
        <w:adjustRightInd/>
        <w:snapToGrid/>
        <w:spacing w:before="200" w:after="100" w:line="220" w:lineRule="atLeast"/>
        <w:jc w:val="center"/>
        <w:outlineLvl w:val="0"/>
        <w:rPr>
          <w:rFonts w:ascii="微软雅黑" w:hAnsi="微软雅黑"/>
          <w:b/>
          <w:color w:val="00C4D8"/>
          <w:sz w:val="32"/>
          <w:szCs w:val="32"/>
        </w:rPr>
      </w:pPr>
      <w:r>
        <w:rPr>
          <w:rFonts w:hint="eastAsia" w:ascii="微软雅黑" w:hAnsi="微软雅黑"/>
          <w:b/>
          <w:color w:val="00C4D8"/>
          <w:sz w:val="36"/>
          <w:szCs w:val="36"/>
        </w:rPr>
        <w:t>第二部分：检测结果</w:t>
      </w:r>
      <w:bookmarkEnd w:id="63"/>
      <w:bookmarkEnd w:id="64"/>
    </w:p>
    <w:p w14:paraId="5473502D">
      <w:pPr>
        <w:adjustRightInd/>
        <w:snapToGrid/>
        <w:spacing w:after="0" w:line="220" w:lineRule="atLeast"/>
        <w:outlineLvl w:val="0"/>
        <w:rPr>
          <w:rFonts w:ascii="微软雅黑" w:hAnsi="微软雅黑"/>
          <w:b/>
          <w:color w:val="00C4D8"/>
          <w:sz w:val="32"/>
          <w:szCs w:val="32"/>
        </w:rPr>
      </w:pPr>
      <w:bookmarkStart w:id="76" w:name="_Toc14194"/>
      <w:bookmarkStart w:id="77" w:name="_Toc27165"/>
      <w:r>
        <w:rPr>
          <w:rFonts w:ascii="微软雅黑" w:hAnsi="微软雅黑"/>
          <w:b/>
          <w:color w:val="00C4D8"/>
          <w:sz w:val="32"/>
          <w:szCs w:val="32"/>
        </w:rPr>
        <w:t>1.</w:t>
      </w:r>
      <w:r>
        <w:rPr>
          <w:rFonts w:hint="eastAsia" w:ascii="微软雅黑" w:hAnsi="微软雅黑"/>
          <w:b/>
          <w:color w:val="00C4D8"/>
          <w:sz w:val="32"/>
          <w:szCs w:val="32"/>
        </w:rPr>
        <w:t>检测结果小结</w:t>
      </w:r>
      <w:bookmarkEnd w:id="65"/>
      <w:bookmarkEnd w:id="66"/>
      <w:bookmarkEnd w:id="67"/>
      <w:bookmarkEnd w:id="68"/>
      <w:bookmarkEnd w:id="69"/>
      <w:bookmarkEnd w:id="70"/>
      <w:bookmarkEnd w:id="71"/>
      <w:bookmarkEnd w:id="72"/>
      <w:bookmarkEnd w:id="73"/>
      <w:bookmarkEnd w:id="74"/>
      <w:bookmarkEnd w:id="75"/>
      <w:bookmarkEnd w:id="76"/>
      <w:bookmarkEnd w:id="77"/>
    </w:p>
    <w:p w14:paraId="01671F87">
      <w:pPr>
        <w:pStyle w:val="29"/>
        <w:numPr>
          <w:ilvl w:val="0"/>
          <w:numId w:val="2"/>
        </w:numPr>
        <w:adjustRightInd/>
        <w:snapToGrid/>
        <w:spacing w:before="200" w:line="320" w:lineRule="exact"/>
        <w:ind w:firstLineChars="0"/>
        <w:rPr>
          <w:rFonts w:ascii="微软雅黑" w:hAnsi="微软雅黑"/>
          <w:b/>
          <w:color w:val="00C4D8"/>
          <w:sz w:val="28"/>
          <w:szCs w:val="28"/>
        </w:rPr>
      </w:pPr>
      <w:r>
        <w:rPr>
          <w:rFonts w:hint="eastAsia" w:ascii="微软雅黑" w:hAnsi="微软雅黑"/>
          <w:b/>
          <w:color w:val="00C4D8"/>
          <w:sz w:val="28"/>
          <w:szCs w:val="28"/>
        </w:rPr>
        <w:t>靶向药物相关体细胞变异用药提示</w:t>
      </w:r>
    </w:p>
    <w:tbl>
      <w:tblPr>
        <w:tblStyle w:val="16"/>
        <w:tblW w:w="82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70"/>
        <w:gridCol w:w="1758"/>
        <w:gridCol w:w="3530"/>
        <w:gridCol w:w="1837"/>
      </w:tblGrid>
      <w:tr w14:paraId="488B6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170" w:type="dxa"/>
            <w:shd w:val="clear" w:color="auto" w:fill="00C4D8"/>
            <w:vAlign w:val="center"/>
          </w:tcPr>
          <w:p w14:paraId="0AEF1315">
            <w:pPr>
              <w:keepNext w:val="0"/>
              <w:keepLines w:val="0"/>
              <w:widowControl/>
              <w:suppressLineNumbers w:val="0"/>
              <w:adjustRightInd/>
              <w:snapToGrid/>
              <w:spacing w:before="0" w:beforeAutospacing="0" w:after="0" w:afterAutospacing="0" w:line="320" w:lineRule="exact"/>
              <w:ind w:left="0" w:right="0"/>
              <w:jc w:val="center"/>
              <w:rPr>
                <w:rFonts w:hint="default" w:ascii="微软雅黑" w:hAnsi="微软雅黑" w:cs="微软雅黑"/>
                <w:b/>
                <w:bCs/>
                <w:color w:val="FFFFFF" w:themeColor="background1"/>
                <w:kern w:val="2"/>
                <w:sz w:val="18"/>
                <w:szCs w:val="18"/>
                <w14:textFill>
                  <w14:solidFill>
                    <w14:schemeClr w14:val="bg1"/>
                  </w14:solidFill>
                </w14:textFill>
              </w:rPr>
            </w:pPr>
            <w:bookmarkStart w:id="78" w:name="OLE_LINK9"/>
            <w:r>
              <w:rPr>
                <w:rFonts w:hint="eastAsia" w:ascii="微软雅黑" w:hAnsi="微软雅黑" w:cs="微软雅黑"/>
                <w:b/>
                <w:bCs/>
                <w:color w:val="FFFFFF" w:themeColor="background1"/>
                <w:kern w:val="2"/>
                <w:sz w:val="18"/>
                <w:szCs w:val="18"/>
                <w14:textFill>
                  <w14:solidFill>
                    <w14:schemeClr w14:val="bg1"/>
                  </w14:solidFill>
                </w14:textFill>
              </w:rPr>
              <w:t>基因</w:t>
            </w:r>
            <w:r>
              <w:commentReference w:id="3"/>
            </w:r>
          </w:p>
        </w:tc>
        <w:tc>
          <w:tcPr>
            <w:tcW w:w="1758" w:type="dxa"/>
            <w:shd w:val="clear" w:color="auto" w:fill="00C4D8"/>
            <w:vAlign w:val="center"/>
          </w:tcPr>
          <w:p w14:paraId="336B05FD">
            <w:pPr>
              <w:keepNext w:val="0"/>
              <w:keepLines w:val="0"/>
              <w:widowControl/>
              <w:suppressLineNumbers w:val="0"/>
              <w:adjustRightInd/>
              <w:snapToGrid/>
              <w:spacing w:before="0" w:beforeAutospacing="0" w:after="0" w:afterAutospacing="0" w:line="320" w:lineRule="exact"/>
              <w:ind w:left="0" w:right="0"/>
              <w:jc w:val="center"/>
              <w:rPr>
                <w:rFonts w:hint="default"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突变位点</w:t>
            </w:r>
            <w:r>
              <w:commentReference w:id="4"/>
            </w:r>
          </w:p>
        </w:tc>
        <w:tc>
          <w:tcPr>
            <w:tcW w:w="3530" w:type="dxa"/>
            <w:shd w:val="clear" w:color="auto" w:fill="00C4D8"/>
            <w:vAlign w:val="center"/>
          </w:tcPr>
          <w:p w14:paraId="221172AA">
            <w:pPr>
              <w:keepNext w:val="0"/>
              <w:keepLines w:val="0"/>
              <w:widowControl/>
              <w:suppressLineNumbers w:val="0"/>
              <w:adjustRightInd/>
              <w:snapToGrid/>
              <w:spacing w:before="0" w:beforeAutospacing="0" w:after="0" w:afterAutospacing="0" w:line="320" w:lineRule="exact"/>
              <w:ind w:left="0" w:right="0"/>
              <w:jc w:val="center"/>
              <w:rPr>
                <w:rFonts w:hint="default"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潜在获益靶向药物</w:t>
            </w:r>
            <w:r>
              <w:commentReference w:id="5"/>
            </w:r>
          </w:p>
          <w:p w14:paraId="32D95D25">
            <w:pPr>
              <w:keepNext w:val="0"/>
              <w:keepLines w:val="0"/>
              <w:widowControl/>
              <w:suppressLineNumbers w:val="0"/>
              <w:adjustRightInd/>
              <w:snapToGrid/>
              <w:spacing w:before="0" w:beforeAutospacing="0" w:after="0" w:afterAutospacing="0" w:line="320" w:lineRule="exact"/>
              <w:ind w:left="0" w:right="0"/>
              <w:jc w:val="center"/>
              <w:rPr>
                <w:rFonts w:hint="default"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（证据等级）</w:t>
            </w:r>
          </w:p>
        </w:tc>
        <w:tc>
          <w:tcPr>
            <w:tcW w:w="1837" w:type="dxa"/>
            <w:shd w:val="clear" w:color="auto" w:fill="00C4D8"/>
            <w:vAlign w:val="center"/>
          </w:tcPr>
          <w:p w14:paraId="2774FB64">
            <w:pPr>
              <w:keepNext w:val="0"/>
              <w:keepLines w:val="0"/>
              <w:widowControl/>
              <w:suppressLineNumbers w:val="0"/>
              <w:adjustRightInd/>
              <w:snapToGrid/>
              <w:spacing w:before="0" w:beforeAutospacing="0" w:after="0" w:afterAutospacing="0" w:line="320" w:lineRule="exact"/>
              <w:ind w:left="0" w:right="0"/>
              <w:jc w:val="center"/>
              <w:rPr>
                <w:rFonts w:hint="default"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可能耐药或慎重药物</w:t>
            </w:r>
          </w:p>
          <w:p w14:paraId="24316C50">
            <w:pPr>
              <w:keepNext w:val="0"/>
              <w:keepLines w:val="0"/>
              <w:widowControl/>
              <w:suppressLineNumbers w:val="0"/>
              <w:adjustRightInd/>
              <w:snapToGrid/>
              <w:spacing w:before="0" w:beforeAutospacing="0" w:after="0" w:afterAutospacing="0" w:line="320" w:lineRule="exact"/>
              <w:ind w:left="0" w:right="0"/>
              <w:jc w:val="center"/>
              <w:rPr>
                <w:rFonts w:hint="default" w:ascii="微软雅黑" w:hAnsi="微软雅黑" w:cs="微软雅黑"/>
                <w:b/>
                <w:color w:val="00C4D8"/>
                <w:kern w:val="2"/>
                <w:sz w:val="18"/>
                <w:szCs w:val="18"/>
              </w:rPr>
            </w:pPr>
            <w:r>
              <w:rPr>
                <w:rFonts w:hint="eastAsia" w:ascii="微软雅黑" w:hAnsi="微软雅黑" w:cs="微软雅黑"/>
                <w:b/>
                <w:bCs/>
                <w:color w:val="FFFFFF" w:themeColor="background1"/>
                <w:kern w:val="2"/>
                <w:sz w:val="18"/>
                <w:szCs w:val="18"/>
                <w14:textFill>
                  <w14:solidFill>
                    <w14:schemeClr w14:val="bg1"/>
                  </w14:solidFill>
                </w14:textFill>
              </w:rPr>
              <w:t>（证据等级）</w:t>
            </w:r>
          </w:p>
        </w:tc>
      </w:tr>
      <w:tr>
        <w:trPr>
          <w:trHeight w:val="0" w:hRule="auto"/>
        </w:trPr>
        <w:tc>
          <w:tcPr>
            <w:tcW w:w="0" w:type="auto"/>
          </w:tcPr>
          <w:p>
            <w:r>
              <w:t>{%tr for row in variants %}</w:t>
            </w:r>
          </w:p>
        </w:tc>
      </w:tr>
      <w:tr w14:paraId="4DB29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2" w:hRule="atLeast"/>
          <w:jc w:val="center"/>
        </w:trPr>
        <w:tc>
          <w:tcPr>
            <w:tcW w:w="1170" w:type="dxa"/>
            <w:shd w:val="clear" w:color="auto" w:fill="auto"/>
            <w:vAlign w:val="center"/>
          </w:tcPr>
          <w:p w14:paraId="55710990">
            <w:pPr>
              <w:keepNext w:val="0"/>
              <w:keepLines w:val="0"/>
              <w:widowControl/>
              <w:suppressLineNumbers w:val="0"/>
              <w:adjustRightInd/>
              <w:snapToGrid/>
              <w:spacing w:before="0" w:beforeAutospacing="0" w:after="0" w:afterAutospacing="0" w:line="220" w:lineRule="atLeast"/>
              <w:ind w:left="0" w:right="0"/>
              <w:jc w:val="center"/>
              <w:rPr>
                <w:rFonts w:hint="eastAsia" w:ascii="微软雅黑" w:hAnsi="微软雅黑" w:eastAsia="微软雅黑" w:cs="微软雅黑"/>
                <w:color w:val="0000FF"/>
                <w:kern w:val="2"/>
                <w:sz w:val="18"/>
                <w:szCs w:val="18"/>
                <w:u w:val="single"/>
                <w:lang w:val="en-US" w:eastAsia="zh-CN" w:bidi="ar-SA"/>
              </w:rPr>
            </w:pPr>
            <w:r>
              <w:rPr>
                <w:rFonts w:hint="eastAsia" w:ascii="微软雅黑" w:hAnsi="微软雅黑" w:cs="微软雅黑"/>
                <w:bCs/>
                <w:color w:val="0000FF"/>
                <w:kern w:val="2"/>
                <w:sz w:val="18"/>
                <w:szCs w:val="18"/>
                <w:u w:val="single"/>
              </w:rPr>
              <w:t>{{ row.gene }}</w:t>
            </w:r>
          </w:p>
        </w:tc>
        <w:tc>
          <w:tcPr>
            <w:tcW w:w="1758" w:type="dxa"/>
            <w:shd w:val="clear" w:color="auto" w:fill="auto"/>
            <w:vAlign w:val="center"/>
          </w:tcPr>
          <w:p w14:paraId="58C4FDB7">
            <w:pPr>
              <w:keepNext w:val="0"/>
              <w:keepLines w:val="0"/>
              <w:widowControl/>
              <w:suppressLineNumbers w:val="0"/>
              <w:spacing w:before="0" w:beforeAutospacing="0" w:after="0" w:afterAutospacing="0" w:line="220" w:lineRule="atLeast"/>
              <w:ind w:left="0" w:right="0"/>
              <w:jc w:val="center"/>
              <w:rPr>
                <w:rFonts w:hint="default" w:ascii="微软雅黑" w:hAnsi="微软雅黑" w:cs="微软雅黑"/>
                <w:bCs/>
                <w:kern w:val="2"/>
                <w:sz w:val="18"/>
                <w:szCs w:val="18"/>
              </w:rPr>
            </w:pPr>
            <w:r>
              <w:rPr>
                <w:rFonts w:hint="eastAsia" w:ascii="微软雅黑" w:hAnsi="微软雅黑" w:cs="微软雅黑"/>
                <w:bCs/>
                <w:kern w:val="2"/>
                <w:sz w:val="18"/>
                <w:szCs w:val="18"/>
              </w:rPr>
              <w:t>{{ row.cHGVS }},</w:t>
            </w:r>
          </w:p>
          <w:p w14:paraId="5981CA6E">
            <w:pPr>
              <w:keepNext w:val="0"/>
              <w:keepLines w:val="0"/>
              <w:widowControl/>
              <w:suppressLineNumbers w:val="0"/>
              <w:spacing w:before="0" w:beforeAutospacing="0" w:after="0" w:afterAutospacing="0" w:line="220" w:lineRule="atLeast"/>
              <w:ind w:left="0" w:right="0"/>
              <w:jc w:val="center"/>
              <w:rPr>
                <w:rFonts w:hint="eastAsia" w:ascii="微软雅黑" w:hAnsi="微软雅黑" w:eastAsia="微软雅黑" w:cs="微软雅黑"/>
                <w:bCs/>
                <w:kern w:val="2"/>
                <w:sz w:val="18"/>
                <w:szCs w:val="18"/>
                <w:lang w:val="en-US" w:eastAsia="zh-CN" w:bidi="ar"/>
              </w:rPr>
            </w:pPr>
            <w:r>
              <w:rPr>
                <w:rFonts w:hint="eastAsia" w:ascii="微软雅黑" w:hAnsi="微软雅黑" w:cs="微软雅黑"/>
                <w:bCs/>
                <w:kern w:val="2"/>
                <w:sz w:val="18"/>
                <w:szCs w:val="18"/>
              </w:rPr>
              <w:t>{{ row.pHGVS }}</w:t>
            </w:r>
          </w:p>
        </w:tc>
        <w:tc>
          <w:tcPr>
            <w:tcW w:w="3530" w:type="dxa"/>
            <w:shd w:val="clear" w:color="auto" w:fill="auto"/>
            <w:vAlign w:val="center"/>
          </w:tcPr>
          <w:p w14:paraId="29974C93">
            <w:pPr>
              <w:keepNext w:val="0"/>
              <w:keepLines w:val="0"/>
              <w:widowControl/>
              <w:suppressLineNumbers w:val="0"/>
              <w:adjustRightInd/>
              <w:snapToGrid/>
              <w:spacing w:before="0" w:beforeAutospacing="0" w:after="0" w:afterAutospacing="0" w:line="220" w:lineRule="atLeast"/>
              <w:ind w:left="0" w:right="0"/>
              <w:jc w:val="center"/>
              <w:rPr>
                <w:rFonts w:hint="eastAsia" w:ascii="微软雅黑" w:hAnsi="微软雅黑" w:eastAsia="微软雅黑" w:cs="微软雅黑"/>
                <w:bCs/>
                <w:color w:val="0000FF"/>
                <w:kern w:val="2"/>
                <w:sz w:val="18"/>
                <w:szCs w:val="18"/>
                <w:u w:val="single"/>
                <w:lang w:val="en-US" w:eastAsia="zh-CN"/>
              </w:rPr>
            </w:pPr>
            <w:r>
              <w:rPr>
                <w:rFonts w:hint="eastAsia" w:ascii="微软雅黑" w:hAnsi="微软雅黑" w:eastAsia="微软雅黑" w:cs="微软雅黑"/>
                <w:bCs/>
                <w:color w:val="0000FF"/>
                <w:kern w:val="2"/>
                <w:sz w:val="18"/>
                <w:szCs w:val="18"/>
                <w:u w:val="single"/>
                <w:lang w:val="en-US" w:eastAsia="zh-CN"/>
              </w:rPr>
              <w:t>{{ row.benefit_drugs }}</w:t>
            </w:r>
          </w:p>
        </w:tc>
        <w:tc>
          <w:tcPr>
            <w:tcW w:w="1837" w:type="dxa"/>
            <w:shd w:val="clear" w:color="auto" w:fill="auto"/>
            <w:vAlign w:val="center"/>
          </w:tcPr>
          <w:p w14:paraId="6E083D7D">
            <w:pPr>
              <w:keepNext w:val="0"/>
              <w:keepLines w:val="0"/>
              <w:widowControl/>
              <w:suppressLineNumbers w:val="0"/>
              <w:adjustRightInd/>
              <w:snapToGrid/>
              <w:spacing w:before="0" w:beforeAutospacing="0" w:after="0" w:afterAutospacing="0" w:line="220" w:lineRule="atLeast"/>
              <w:ind w:left="0" w:leftChars="0" w:right="0" w:rightChars="0"/>
              <w:jc w:val="center"/>
              <w:rPr>
                <w:rFonts w:hint="eastAsia" w:ascii="微软雅黑" w:hAnsi="微软雅黑" w:eastAsia="微软雅黑" w:cs="微软雅黑"/>
                <w:bCs/>
                <w:color w:val="0000FF"/>
                <w:kern w:val="2"/>
                <w:sz w:val="18"/>
                <w:szCs w:val="18"/>
                <w:u w:val="single"/>
                <w:lang w:val="en-US" w:eastAsia="zh-CN" w:bidi="ar-SA"/>
              </w:rPr>
            </w:pPr>
            <w:r>
              <w:rPr>
                <w:rFonts w:hint="eastAsia" w:ascii="微软雅黑" w:hAnsi="微软雅黑" w:eastAsia="微软雅黑" w:cs="微软雅黑"/>
                <w:bCs/>
                <w:kern w:val="2"/>
                <w:sz w:val="18"/>
                <w:szCs w:val="18"/>
              </w:rPr>
              <w:t>{{ row.caution_drugs }}</w:t>
            </w:r>
          </w:p>
        </w:tc>
      </w:tr>
      <w:tr>
        <w:trPr>
          <w:trHeight w:val="0" w:hRule="auto"/>
        </w:trPr>
        <w:tc>
          <w:tcPr>
            <w:tcW w:w="0" w:type="auto"/>
          </w:tcPr>
          <w:p>
            <w:r>
              <w:t>{%tr endfor %}</w:t>
            </w:r>
          </w:p>
        </w:tc>
      </w:tr>
      <w:bookmarkEnd w:id="78"/>
    </w:tbl>
    <w:p w14:paraId="7B1239DF">
      <w:pPr>
        <w:adjustRightInd/>
        <w:snapToGrid/>
        <w:spacing w:after="260"/>
        <w:jc w:val="both"/>
        <w:rPr>
          <w:rFonts w:hint="eastAsia" w:ascii="微软雅黑" w:hAnsi="微软雅黑" w:eastAsia="微软雅黑" w:cs="微软雅黑"/>
          <w:kern w:val="2"/>
          <w:sz w:val="18"/>
          <w:szCs w:val="18"/>
        </w:rPr>
      </w:pPr>
      <w:r>
        <w:rPr>
          <w:rFonts w:hint="eastAsia" w:ascii="微软雅黑" w:hAnsi="微软雅黑" w:eastAsia="微软雅黑" w:cs="微软雅黑"/>
          <w:kern w:val="2"/>
          <w:sz w:val="18"/>
          <w:szCs w:val="18"/>
        </w:rPr>
        <w:t>*本次共检出体细胞变异：</w:t>
      </w:r>
      <w:r>
        <w:rPr>
          <w:rFonts w:hint="eastAsia" w:ascii="微软雅黑" w:hAnsi="微软雅黑" w:cs="微软雅黑"/>
          <w:kern w:val="2"/>
          <w:sz w:val="18"/>
          <w:szCs w:val="18"/>
          <w:lang w:val="en-US" w:eastAsia="zh-CN"/>
        </w:rPr>
        <w:t>{{ total_variants_count }}</w:t>
      </w:r>
      <w:r>
        <w:rPr>
          <w:rFonts w:hint="eastAsia" w:ascii="微软雅黑" w:hAnsi="微软雅黑" w:eastAsia="微软雅黑" w:cs="微软雅黑"/>
          <w:kern w:val="2"/>
          <w:sz w:val="18"/>
          <w:szCs w:val="18"/>
        </w:rPr>
        <w:t>个，其中与靶向药物用药相关的变异有：</w:t>
      </w:r>
      <w:r>
        <w:rPr>
          <w:rFonts w:hint="eastAsia" w:ascii="微软雅黑" w:hAnsi="微软雅黑" w:cs="微软雅黑"/>
          <w:kern w:val="2"/>
          <w:sz w:val="18"/>
          <w:szCs w:val="18"/>
          <w:lang w:val="en-US" w:eastAsia="zh-CN"/>
        </w:rPr>
        <w:t>{{ drug_related_count }}</w:t>
      </w:r>
      <w:r>
        <w:rPr>
          <w:rFonts w:hint="eastAsia" w:ascii="微软雅黑" w:hAnsi="微软雅黑" w:eastAsia="微软雅黑" w:cs="微软雅黑"/>
          <w:kern w:val="2"/>
          <w:sz w:val="18"/>
          <w:szCs w:val="18"/>
        </w:rPr>
        <w:t>个。</w:t>
      </w:r>
    </w:p>
    <w:p w14:paraId="23ABDA43">
      <w:pPr>
        <w:adjustRightInd/>
        <w:snapToGrid/>
        <w:spacing w:after="0"/>
        <w:jc w:val="both"/>
        <w:rPr>
          <w:rFonts w:ascii="微软雅黑" w:hAnsi="微软雅黑"/>
          <w:sz w:val="16"/>
          <w:szCs w:val="21"/>
        </w:rPr>
      </w:pPr>
      <w:commentRangeStart w:id="6"/>
      <w:r>
        <w:rPr>
          <w:rFonts w:hint="eastAsia" w:ascii="微软雅黑" w:hAnsi="微软雅黑"/>
          <w:sz w:val="16"/>
          <w:szCs w:val="21"/>
        </w:rPr>
        <w:t>备注：1. 变异与药物敏感性证据等级依据AMP/ASCO/CAP相关指南，将证据等级分为四个等级：</w:t>
      </w:r>
    </w:p>
    <w:p w14:paraId="17068449">
      <w:pPr>
        <w:adjustRightInd/>
        <w:snapToGrid/>
        <w:spacing w:after="0"/>
        <w:jc w:val="both"/>
        <w:rPr>
          <w:rFonts w:ascii="微软雅黑" w:hAnsi="微软雅黑"/>
          <w:sz w:val="16"/>
          <w:szCs w:val="21"/>
        </w:rPr>
      </w:pPr>
      <w:r>
        <w:rPr>
          <w:rFonts w:hint="eastAsia" w:ascii="微软雅黑" w:hAnsi="微软雅黑"/>
          <w:sz w:val="16"/>
          <w:szCs w:val="21"/>
        </w:rPr>
        <w:t>Level A：FDA/NMPA或专业指南批准/推荐在本癌种中针对该靶点治疗有响应或耐药的药物；</w:t>
      </w:r>
    </w:p>
    <w:p w14:paraId="44C26DB5">
      <w:pPr>
        <w:adjustRightInd/>
        <w:snapToGrid/>
        <w:spacing w:after="0"/>
        <w:jc w:val="both"/>
        <w:rPr>
          <w:rFonts w:ascii="微软雅黑" w:hAnsi="微软雅黑"/>
          <w:sz w:val="16"/>
          <w:szCs w:val="21"/>
        </w:rPr>
      </w:pPr>
      <w:r>
        <w:rPr>
          <w:rFonts w:hint="eastAsia" w:ascii="微软雅黑" w:hAnsi="微软雅黑"/>
          <w:sz w:val="16"/>
          <w:szCs w:val="21"/>
        </w:rPr>
        <w:t>Level B：专家共识明确在本癌种中针对该靶点治疗有响应或耐药的药物；</w:t>
      </w:r>
    </w:p>
    <w:p w14:paraId="2B7D0532">
      <w:pPr>
        <w:adjustRightInd/>
        <w:snapToGrid/>
        <w:spacing w:after="0"/>
        <w:jc w:val="both"/>
        <w:rPr>
          <w:rFonts w:ascii="微软雅黑" w:hAnsi="微软雅黑"/>
          <w:sz w:val="16"/>
          <w:szCs w:val="21"/>
        </w:rPr>
      </w:pPr>
      <w:r>
        <w:rPr>
          <w:rFonts w:hint="eastAsia" w:ascii="微软雅黑" w:hAnsi="微软雅黑"/>
          <w:sz w:val="16"/>
          <w:szCs w:val="21"/>
        </w:rPr>
        <w:t>Level C：FDA/NMPA或专业指南批准/推荐在其他癌种中针对该靶点治疗有响应或耐药的药物，或已作为临床试验的筛选入组标准；</w:t>
      </w:r>
    </w:p>
    <w:p w14:paraId="4CB6B777">
      <w:pPr>
        <w:adjustRightInd/>
        <w:snapToGrid/>
        <w:spacing w:after="0"/>
        <w:jc w:val="both"/>
        <w:rPr>
          <w:rFonts w:ascii="微软雅黑" w:hAnsi="微软雅黑"/>
          <w:sz w:val="16"/>
          <w:szCs w:val="21"/>
        </w:rPr>
      </w:pPr>
      <w:r>
        <w:rPr>
          <w:rFonts w:hint="eastAsia" w:ascii="微软雅黑" w:hAnsi="微软雅黑"/>
          <w:sz w:val="16"/>
          <w:szCs w:val="21"/>
        </w:rPr>
        <w:t>Level D：临床前研究/案例报道显示针对该靶点可能对治疗有响应或耐药的药物。</w:t>
      </w:r>
    </w:p>
    <w:p w14:paraId="04F289F2">
      <w:pPr>
        <w:adjustRightInd/>
        <w:snapToGrid/>
        <w:spacing w:after="0"/>
        <w:jc w:val="both"/>
        <w:rPr>
          <w:rFonts w:ascii="微软雅黑" w:hAnsi="微软雅黑"/>
          <w:sz w:val="16"/>
          <w:szCs w:val="21"/>
          <w:highlight w:val="yellow"/>
        </w:rPr>
      </w:pPr>
      <w:r>
        <w:rPr>
          <w:rFonts w:hint="eastAsia" w:ascii="微软雅黑" w:hAnsi="微软雅黑"/>
          <w:sz w:val="16"/>
          <w:szCs w:val="21"/>
        </w:rPr>
        <w:t>随临床证据更新药物推荐结果及分级可能产生变化。</w:t>
      </w:r>
      <w:commentRangeEnd w:id="6"/>
      <w:r>
        <w:commentReference w:id="6"/>
      </w:r>
    </w:p>
    <w:p w14:paraId="77FB5E70">
      <w:pPr>
        <w:jc w:val="both"/>
        <w:rPr>
          <w:rFonts w:hint="eastAsia" w:ascii="微软雅黑" w:hAnsi="微软雅黑"/>
          <w:b/>
          <w:bCs/>
          <w:sz w:val="16"/>
          <w:szCs w:val="21"/>
        </w:rPr>
      </w:pPr>
      <w:r>
        <w:rPr>
          <w:rFonts w:ascii="微软雅黑" w:hAnsi="微软雅黑"/>
          <w:sz w:val="16"/>
          <w:szCs w:val="21"/>
        </w:rPr>
        <w:t>2.</w:t>
      </w:r>
      <w:r>
        <w:rPr>
          <w:rFonts w:hint="eastAsia" w:ascii="微软雅黑" w:hAnsi="微软雅黑"/>
          <w:sz w:val="16"/>
          <w:szCs w:val="21"/>
        </w:rPr>
        <w:t>上表涉及的已上市的药物名称及对应的商品名称：</w:t>
      </w:r>
      <w:commentRangeStart w:id="7"/>
      <w:r>
        <w:rPr>
          <w:rFonts w:hint="eastAsia" w:ascii="微软雅黑" w:hAnsi="微软雅黑"/>
          <w:b/>
          <w:bCs/>
          <w:sz w:val="16"/>
          <w:szCs w:val="21"/>
        </w:rPr>
        <w:t>Avutometinib[AVMAPKI]、Defactinib[FAKZYNJA]、阿替利珠单抗[泰圣奇]、阿维鲁单抗[巴文西亚]、奥拉帕利[利普卓]、贝美替尼[MEKTOVI]、度伐利尤单抗[英飞凡]、福巴替尼[LYTGOBI]、芦卡帕利[RUBRACA]、奈拉替尼[贺俪安]、尼拉帕利[则乐]、帕博利珠单抗[可瑞达]、帕米帕利[百汇泽]、帕尼单抗[维克替比]、哌柏西利[爱博新]、曲美替尼[迈吉宁]、司美替尼[科赛优]、他拉唑帕利[泰泽纳]、替雷利珠单抗[百泽安]、西妥昔单抗[爱必妥]、盐酸可泮利塞[奥罗巴]、依维莫司[飞尼妥]。</w:t>
      </w:r>
      <w:commentRangeEnd w:id="7"/>
      <w:r>
        <w:commentReference w:id="7"/>
      </w:r>
    </w:p>
    <w:p w14:paraId="1F1ED41D">
      <w:pPr>
        <w:rPr>
          <w:rFonts w:ascii="微软雅黑" w:hAnsi="微软雅黑"/>
          <w:b/>
          <w:color w:val="00C4D8"/>
          <w:sz w:val="28"/>
          <w:szCs w:val="28"/>
        </w:rPr>
      </w:pPr>
    </w:p>
    <w:p w14:paraId="43583AD7">
      <w:pPr>
        <w:pStyle w:val="29"/>
        <w:numPr>
          <w:ilvl w:val="0"/>
          <w:numId w:val="2"/>
        </w:numPr>
        <w:adjustRightInd/>
        <w:snapToGrid/>
        <w:spacing w:after="100"/>
        <w:ind w:firstLineChars="0"/>
        <w:rPr>
          <w:rFonts w:ascii="微软雅黑" w:hAnsi="微软雅黑"/>
          <w:b/>
          <w:color w:val="00C4D8"/>
          <w:sz w:val="28"/>
          <w:szCs w:val="28"/>
        </w:rPr>
      </w:pPr>
      <w:r>
        <w:rPr>
          <w:rFonts w:hint="eastAsia" w:ascii="微软雅黑" w:hAnsi="微软雅黑"/>
          <w:b/>
          <w:color w:val="00C4D8"/>
          <w:sz w:val="28"/>
          <w:szCs w:val="28"/>
        </w:rPr>
        <w:t>免疫</w:t>
      </w:r>
      <w:r>
        <w:rPr>
          <w:rFonts w:ascii="微软雅黑" w:hAnsi="微软雅黑"/>
          <w:b/>
          <w:color w:val="00C4D8"/>
          <w:sz w:val="28"/>
          <w:szCs w:val="28"/>
        </w:rPr>
        <w:t>治疗</w:t>
      </w:r>
      <w:r>
        <w:rPr>
          <w:rFonts w:hint="eastAsia" w:ascii="微软雅黑" w:hAnsi="微软雅黑"/>
          <w:b/>
          <w:color w:val="00C4D8"/>
          <w:sz w:val="28"/>
          <w:szCs w:val="28"/>
        </w:rPr>
        <w:t>检测结果及用药提示</w:t>
      </w:r>
    </w:p>
    <w:tbl>
      <w:tblPr>
        <w:tblStyle w:val="16"/>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89"/>
        <w:gridCol w:w="3211"/>
        <w:gridCol w:w="3971"/>
      </w:tblGrid>
      <w:tr w14:paraId="147F2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3" w:hRule="atLeast"/>
          <w:jc w:val="center"/>
        </w:trPr>
        <w:tc>
          <w:tcPr>
            <w:tcW w:w="5100" w:type="dxa"/>
            <w:gridSpan w:val="2"/>
            <w:shd w:val="clear" w:color="auto" w:fill="00C4D8"/>
            <w:vAlign w:val="center"/>
          </w:tcPr>
          <w:p w14:paraId="55B97E5B">
            <w:pPr>
              <w:pStyle w:val="53"/>
              <w:keepNext w:val="0"/>
              <w:keepLines w:val="0"/>
              <w:widowControl/>
              <w:numPr>
                <w:ilvl w:val="255"/>
                <w:numId w:val="0"/>
              </w:numPr>
              <w:suppressLineNumbers w:val="0"/>
              <w:spacing w:before="0" w:beforeAutospacing="0" w:after="0" w:afterAutospacing="0"/>
              <w:ind w:left="0" w:right="0"/>
              <w:jc w:val="center"/>
              <w:rPr>
                <w:rFonts w:hint="default" w:ascii="微软雅黑" w:hAnsi="微软雅黑" w:cs="微软雅黑"/>
                <w:b/>
                <w:bCs/>
                <w:color w:val="F9FBFA"/>
                <w:kern w:val="2"/>
                <w:sz w:val="20"/>
                <w:szCs w:val="20"/>
              </w:rPr>
            </w:pPr>
            <w:r>
              <w:rPr>
                <w:rFonts w:hint="eastAsia" w:ascii="微软雅黑" w:hAnsi="微软雅黑" w:cs="微软雅黑"/>
                <w:b/>
                <w:bCs/>
                <w:color w:val="F9FBFA"/>
                <w:kern w:val="2"/>
                <w:sz w:val="20"/>
                <w:szCs w:val="20"/>
              </w:rPr>
              <w:t>TMB/MSI/其它生物标志物检测结果</w:t>
            </w:r>
          </w:p>
        </w:tc>
        <w:tc>
          <w:tcPr>
            <w:tcW w:w="3971" w:type="dxa"/>
            <w:shd w:val="clear" w:color="auto" w:fill="00C4D8"/>
            <w:vAlign w:val="center"/>
          </w:tcPr>
          <w:p w14:paraId="4350D2B0">
            <w:pPr>
              <w:pStyle w:val="53"/>
              <w:keepNext w:val="0"/>
              <w:keepLines w:val="0"/>
              <w:widowControl/>
              <w:numPr>
                <w:ilvl w:val="255"/>
                <w:numId w:val="0"/>
              </w:numPr>
              <w:suppressLineNumbers w:val="0"/>
              <w:spacing w:before="0" w:beforeAutospacing="0" w:after="0" w:afterAutospacing="0"/>
              <w:ind w:left="0" w:right="0"/>
              <w:jc w:val="center"/>
              <w:rPr>
                <w:rFonts w:hint="default" w:ascii="微软雅黑" w:hAnsi="微软雅黑" w:cs="微软雅黑"/>
                <w:b/>
                <w:bCs/>
                <w:color w:val="F9FBFA"/>
                <w:kern w:val="2"/>
                <w:sz w:val="20"/>
                <w:szCs w:val="20"/>
              </w:rPr>
            </w:pPr>
            <w:r>
              <w:rPr>
                <w:rFonts w:hint="eastAsia" w:ascii="微软雅黑" w:hAnsi="微软雅黑" w:cs="微软雅黑"/>
                <w:b/>
                <w:bCs/>
                <w:color w:val="F9FBFA"/>
                <w:kern w:val="2"/>
                <w:sz w:val="20"/>
                <w:szCs w:val="20"/>
              </w:rPr>
              <w:t>用药提示</w:t>
            </w:r>
          </w:p>
        </w:tc>
      </w:tr>
      <w:tr w14:paraId="4D3D0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889" w:type="dxa"/>
            <w:vAlign w:val="center"/>
          </w:tcPr>
          <w:p w14:paraId="2678CD2B">
            <w:pPr>
              <w:pStyle w:val="53"/>
              <w:keepNext w:val="0"/>
              <w:keepLines w:val="0"/>
              <w:widowControl/>
              <w:suppressLineNumbers w:val="0"/>
              <w:spacing w:before="0" w:beforeAutospacing="0" w:after="0" w:afterAutospacing="0"/>
              <w:ind w:left="0" w:right="0" w:firstLine="0" w:firstLineChars="0"/>
              <w:jc w:val="center"/>
              <w:rPr>
                <w:rFonts w:hint="default" w:ascii="微软雅黑" w:hAnsi="微软雅黑" w:cs="微软雅黑"/>
                <w:kern w:val="2"/>
                <w:sz w:val="18"/>
                <w:szCs w:val="18"/>
              </w:rPr>
            </w:pPr>
            <w:r>
              <w:rPr>
                <w:rFonts w:hint="eastAsia" w:ascii="微软雅黑" w:hAnsi="微软雅黑" w:cs="微软雅黑"/>
                <w:kern w:val="2"/>
                <w:sz w:val="18"/>
                <w:szCs w:val="18"/>
              </w:rPr>
              <w:t>肿瘤突变负荷（TMB）</w:t>
            </w:r>
          </w:p>
        </w:tc>
        <w:tc>
          <w:tcPr>
            <w:tcW w:w="3211" w:type="dxa"/>
            <w:vAlign w:val="center"/>
          </w:tcPr>
          <w:p w14:paraId="7B228BC8">
            <w:pPr>
              <w:pStyle w:val="55"/>
              <w:keepNext w:val="0"/>
              <w:keepLines w:val="0"/>
              <w:widowControl/>
              <w:suppressLineNumbers w:val="0"/>
              <w:spacing w:before="0" w:beforeAutospacing="0" w:after="0" w:afterAutospacing="0"/>
              <w:ind w:left="0" w:right="0" w:firstLine="0" w:firstLineChars="0"/>
              <w:jc w:val="center"/>
              <w:rPr>
                <w:rFonts w:hint="eastAsia" w:ascii="微软雅黑" w:hAnsi="微软雅黑" w:eastAsia="微软雅黑" w:cs="微软雅黑"/>
                <w:kern w:val="2"/>
                <w:sz w:val="18"/>
                <w:szCs w:val="18"/>
                <w:lang w:val="en-US" w:eastAsia="zh-CN"/>
              </w:rPr>
            </w:pPr>
            <w:r>
              <w:rPr>
                <w:rFonts w:hint="eastAsia" w:ascii="微软雅黑" w:hAnsi="微软雅黑" w:cs="微软雅黑"/>
                <w:kern w:val="2"/>
                <w:sz w:val="18"/>
                <w:szCs w:val="18"/>
                <w:lang w:val="en-US" w:eastAsia="zh-CN"/>
              </w:rPr>
              <w:t>{{ tmb_value }}</w:t>
            </w:r>
            <w:r>
              <w:rPr>
                <w:rFonts w:hint="eastAsia" w:ascii="微软雅黑" w:hAnsi="微软雅黑" w:cs="微软雅黑"/>
                <w:kern w:val="2"/>
                <w:sz w:val="18"/>
                <w:szCs w:val="18"/>
              </w:rPr>
              <w:t>mutations/Mb，TMB-</w:t>
            </w:r>
            <w:r>
              <w:rPr>
                <w:rFonts w:hint="eastAsia" w:ascii="微软雅黑" w:hAnsi="微软雅黑" w:cs="微软雅黑"/>
                <w:kern w:val="2"/>
                <w:sz w:val="18"/>
                <w:szCs w:val="18"/>
                <w:lang w:val="en-US" w:eastAsia="zh-CN"/>
              </w:rPr>
              <w:t>{{ tmb_status }}</w:t>
            </w:r>
            <w:r>
              <w:commentReference w:id="8"/>
            </w:r>
          </w:p>
          <w:p w14:paraId="022ECF79">
            <w:pPr>
              <w:pStyle w:val="55"/>
              <w:keepNext w:val="0"/>
              <w:keepLines w:val="0"/>
              <w:widowControl/>
              <w:suppressLineNumbers w:val="0"/>
              <w:spacing w:before="0" w:beforeAutospacing="0" w:after="0" w:afterAutospacing="0"/>
              <w:ind w:left="0" w:right="0" w:firstLine="0" w:firstLineChars="0"/>
              <w:jc w:val="center"/>
              <w:rPr>
                <w:rFonts w:hint="default" w:ascii="微软雅黑" w:hAnsi="微软雅黑" w:cs="微软雅黑"/>
                <w:kern w:val="2"/>
                <w:sz w:val="18"/>
                <w:szCs w:val="18"/>
              </w:rPr>
            </w:pPr>
            <w:commentRangeStart w:id="9"/>
            <w:r>
              <w:rPr>
                <w:rFonts w:hint="eastAsia" w:ascii="微软雅黑" w:hAnsi="微软雅黑" w:cs="微软雅黑"/>
                <w:kern w:val="2"/>
                <w:sz w:val="18"/>
                <w:szCs w:val="18"/>
              </w:rPr>
              <w:t>(本次检测结果</w:t>
            </w:r>
            <w:r>
              <w:rPr>
                <w:rFonts w:hint="eastAsia" w:ascii="微软雅黑" w:hAnsi="微软雅黑" w:cs="微软雅黑"/>
                <w:kern w:val="2"/>
                <w:sz w:val="18"/>
                <w:szCs w:val="18"/>
                <w:lang w:val="en-US" w:eastAsia="zh-CN"/>
              </w:rPr>
              <w:t>低</w:t>
            </w:r>
            <w:r>
              <w:rPr>
                <w:rFonts w:hint="eastAsia" w:ascii="微软雅黑" w:hAnsi="微软雅黑" w:cs="微软雅黑"/>
                <w:kern w:val="2"/>
                <w:sz w:val="18"/>
                <w:szCs w:val="18"/>
              </w:rPr>
              <w:t>于参考值</w:t>
            </w:r>
          </w:p>
          <w:p w14:paraId="63687046">
            <w:pPr>
              <w:pStyle w:val="55"/>
              <w:keepNext w:val="0"/>
              <w:keepLines w:val="0"/>
              <w:widowControl/>
              <w:suppressLineNumbers w:val="0"/>
              <w:spacing w:before="0" w:beforeAutospacing="0" w:after="0" w:afterAutospacing="0"/>
              <w:ind w:left="0" w:right="0" w:firstLine="0" w:firstLineChars="0"/>
              <w:jc w:val="center"/>
              <w:rPr>
                <w:rFonts w:hint="default" w:ascii="微软雅黑" w:hAnsi="微软雅黑" w:cs="微软雅黑"/>
                <w:kern w:val="2"/>
                <w:sz w:val="18"/>
                <w:szCs w:val="18"/>
              </w:rPr>
            </w:pPr>
            <w:r>
              <w:rPr>
                <w:rFonts w:hint="eastAsia" w:ascii="微软雅黑" w:hAnsi="微软雅黑" w:cs="微软雅黑"/>
                <w:kern w:val="2"/>
                <w:sz w:val="18"/>
                <w:szCs w:val="18"/>
              </w:rPr>
              <w:t>{{ tmb_reference }} mutations/Mb)</w:t>
            </w:r>
            <w:commentRangeEnd w:id="9"/>
            <w:r>
              <w:commentReference w:id="9"/>
            </w:r>
          </w:p>
        </w:tc>
        <w:tc>
          <w:tcPr>
            <w:tcW w:w="3971" w:type="dxa"/>
            <w:vAlign w:val="center"/>
          </w:tcPr>
          <w:p w14:paraId="3913828D">
            <w:pPr>
              <w:pStyle w:val="55"/>
              <w:keepNext w:val="0"/>
              <w:keepLines w:val="0"/>
              <w:widowControl/>
              <w:suppressLineNumbers w:val="0"/>
              <w:spacing w:before="0" w:beforeAutospacing="0" w:after="0" w:afterAutospacing="0"/>
              <w:ind w:left="0" w:right="0" w:firstLine="0" w:firstLineChars="0"/>
              <w:jc w:val="center"/>
              <w:rPr>
                <w:rFonts w:hint="default" w:ascii="微软雅黑" w:hAnsi="微软雅黑"/>
                <w:kern w:val="2"/>
                <w:sz w:val="18"/>
                <w:szCs w:val="18"/>
              </w:rPr>
            </w:pPr>
            <w:commentRangeStart w:id="10"/>
            <w:r>
              <w:rPr>
                <w:rFonts w:hint="eastAsia" w:ascii="微软雅黑" w:hAnsi="微软雅黑"/>
                <w:kern w:val="2"/>
                <w:sz w:val="18"/>
                <w:szCs w:val="18"/>
              </w:rPr>
              <w:t>多项临床研究表明，TMB-H的肿瘤对免疫检查点抑制剂有更强的免疫应答效果</w:t>
            </w:r>
          </w:p>
          <w:p w14:paraId="05925EC1">
            <w:pPr>
              <w:pStyle w:val="55"/>
              <w:keepNext w:val="0"/>
              <w:keepLines w:val="0"/>
              <w:widowControl/>
              <w:suppressLineNumbers w:val="0"/>
              <w:spacing w:before="0" w:beforeAutospacing="0" w:after="0" w:afterAutospacing="0"/>
              <w:ind w:left="0" w:right="0" w:firstLine="0" w:firstLineChars="0"/>
              <w:jc w:val="center"/>
              <w:rPr>
                <w:rStyle w:val="23"/>
                <w:rFonts w:hint="default" w:ascii="微软雅黑" w:hAnsi="微软雅黑" w:cs="微软雅黑"/>
                <w:bCs/>
                <w:color w:val="0000FF"/>
                <w:kern w:val="2"/>
                <w:sz w:val="18"/>
                <w:szCs w:val="18"/>
              </w:rPr>
            </w:pPr>
            <w:r>
              <w:rPr>
                <w:rFonts w:hint="eastAsia" w:ascii="微软雅黑" w:hAnsi="微软雅黑"/>
                <w:kern w:val="2"/>
                <w:sz w:val="18"/>
                <w:szCs w:val="18"/>
              </w:rPr>
              <w:t>常用免疫抑制剂有：#帕博利珠单抗、#纳武利尤单抗、#纳武利尤单抗+伊匹木单抗、阿替利珠单抗、度伐利尤单抗、特瑞普利单抗、信迪利单抗、卡瑞利珠单抗、</w:t>
            </w:r>
            <w:r>
              <w:rPr>
                <w:rFonts w:hint="eastAsia" w:ascii="微软雅黑" w:hAnsi="微软雅黑"/>
                <w:kern w:val="2"/>
                <w:sz w:val="18"/>
                <w:szCs w:val="18"/>
                <w:lang w:val="en-US" w:eastAsia="zh-CN"/>
              </w:rPr>
              <w:t>#</w:t>
            </w:r>
            <w:r>
              <w:rPr>
                <w:rFonts w:hint="eastAsia" w:ascii="微软雅黑" w:hAnsi="微软雅黑"/>
                <w:kern w:val="2"/>
                <w:sz w:val="18"/>
                <w:szCs w:val="18"/>
              </w:rPr>
              <w:t>替雷利珠单抗、#恩沃利单抗、#多塔利单抗</w:t>
            </w:r>
            <w:r>
              <w:rPr>
                <w:rFonts w:hint="eastAsia" w:ascii="微软雅黑" w:hAnsi="微软雅黑"/>
                <w:kern w:val="2"/>
                <w:sz w:val="18"/>
                <w:szCs w:val="18"/>
                <w:highlight w:val="none"/>
                <w:lang w:eastAsia="zh-CN"/>
              </w:rPr>
              <w:t>、#斯鲁利单抗</w:t>
            </w:r>
            <w:r>
              <w:rPr>
                <w:rFonts w:hint="eastAsia" w:ascii="微软雅黑" w:hAnsi="微软雅黑"/>
                <w:kern w:val="2"/>
                <w:sz w:val="18"/>
                <w:szCs w:val="18"/>
                <w:lang w:eastAsia="zh-CN"/>
              </w:rPr>
              <w:t>、</w:t>
            </w:r>
            <w:r>
              <w:rPr>
                <w:rFonts w:hint="eastAsia" w:ascii="微软雅黑" w:hAnsi="微软雅黑"/>
                <w:kern w:val="2"/>
                <w:sz w:val="18"/>
                <w:szCs w:val="18"/>
              </w:rPr>
              <w:t>#</w:t>
            </w:r>
            <w:r>
              <w:rPr>
                <w:rFonts w:hint="eastAsia" w:ascii="微软雅黑" w:hAnsi="微软雅黑"/>
                <w:kern w:val="2"/>
                <w:sz w:val="18"/>
                <w:szCs w:val="18"/>
                <w:lang w:eastAsia="zh-CN"/>
              </w:rPr>
              <w:t>普特利单抗</w:t>
            </w:r>
            <w:r>
              <w:rPr>
                <w:rFonts w:hint="eastAsia" w:ascii="微软雅黑" w:hAnsi="微软雅黑"/>
                <w:kern w:val="2"/>
                <w:sz w:val="18"/>
                <w:szCs w:val="18"/>
              </w:rPr>
              <w:t>、派安普利单抗、赛帕利单抗等</w:t>
            </w:r>
            <w:commentRangeEnd w:id="10"/>
            <w:r>
              <w:commentReference w:id="10"/>
            </w:r>
          </w:p>
        </w:tc>
      </w:tr>
      <w:tr w14:paraId="03C21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889" w:type="dxa"/>
            <w:vAlign w:val="center"/>
          </w:tcPr>
          <w:p w14:paraId="7AB85D5F">
            <w:pPr>
              <w:pStyle w:val="53"/>
              <w:keepNext w:val="0"/>
              <w:keepLines w:val="0"/>
              <w:widowControl/>
              <w:suppressLineNumbers w:val="0"/>
              <w:spacing w:before="0" w:beforeAutospacing="0" w:after="0" w:afterAutospacing="0"/>
              <w:ind w:left="0" w:right="0" w:firstLine="0" w:firstLineChars="0"/>
              <w:jc w:val="center"/>
              <w:rPr>
                <w:rFonts w:hint="default" w:ascii="微软雅黑" w:hAnsi="微软雅黑" w:cs="微软雅黑"/>
                <w:kern w:val="2"/>
                <w:sz w:val="18"/>
                <w:szCs w:val="18"/>
              </w:rPr>
            </w:pPr>
            <w:r>
              <w:rPr>
                <w:rFonts w:hint="eastAsia" w:ascii="微软雅黑" w:hAnsi="微软雅黑" w:cs="微软雅黑"/>
                <w:kern w:val="2"/>
                <w:sz w:val="18"/>
                <w:szCs w:val="18"/>
              </w:rPr>
              <w:t>微卫星不稳定性（MSI）</w:t>
            </w:r>
          </w:p>
        </w:tc>
        <w:tc>
          <w:tcPr>
            <w:tcW w:w="3211" w:type="dxa"/>
            <w:vAlign w:val="center"/>
          </w:tcPr>
          <w:p w14:paraId="7DAB5B87">
            <w:pPr>
              <w:pStyle w:val="55"/>
              <w:keepNext w:val="0"/>
              <w:keepLines w:val="0"/>
              <w:widowControl/>
              <w:suppressLineNumbers w:val="0"/>
              <w:spacing w:before="0" w:beforeAutospacing="0" w:after="0" w:afterAutospacing="0"/>
              <w:ind w:left="0" w:right="0" w:firstLine="0" w:firstLineChars="0"/>
              <w:jc w:val="center"/>
              <w:rPr>
                <w:rFonts w:hint="default" w:ascii="微软雅黑" w:hAnsi="微软雅黑" w:cs="微软雅黑"/>
                <w:kern w:val="2"/>
                <w:sz w:val="18"/>
                <w:szCs w:val="18"/>
                <w:highlight w:val="yellow"/>
              </w:rPr>
            </w:pPr>
            <w:r>
              <w:rPr>
                <w:rFonts w:hint="eastAsia" w:ascii="微软雅黑" w:hAnsi="微软雅黑" w:cs="微软雅黑"/>
                <w:kern w:val="2"/>
                <w:sz w:val="18"/>
                <w:szCs w:val="18"/>
              </w:rPr>
              <w:t>{{ msi_status_cn }}</w:t>
            </w:r>
            <w:r>
              <w:commentReference w:id="11"/>
            </w:r>
          </w:p>
        </w:tc>
        <w:tc>
          <w:tcPr>
            <w:tcW w:w="3971" w:type="dxa"/>
            <w:vAlign w:val="center"/>
          </w:tcPr>
          <w:p w14:paraId="53E0273A">
            <w:pPr>
              <w:pStyle w:val="55"/>
              <w:keepNext w:val="0"/>
              <w:keepLines w:val="0"/>
              <w:widowControl/>
              <w:suppressLineNumbers w:val="0"/>
              <w:spacing w:before="0" w:beforeAutospacing="0" w:after="0" w:afterAutospacing="0"/>
              <w:ind w:left="0" w:right="0" w:firstLine="0" w:firstLineChars="0"/>
              <w:jc w:val="center"/>
              <w:rPr>
                <w:rFonts w:hint="default" w:ascii="微软雅黑" w:hAnsi="微软雅黑" w:cs="微软雅黑"/>
                <w:kern w:val="2"/>
                <w:sz w:val="18"/>
                <w:szCs w:val="18"/>
                <w:highlight w:val="yellow"/>
                <w:u w:val="single"/>
              </w:rPr>
            </w:pPr>
            <w:r>
              <w:rPr>
                <w:rFonts w:hint="eastAsia" w:ascii="微软雅黑" w:hAnsi="微软雅黑"/>
                <w:kern w:val="2"/>
                <w:sz w:val="18"/>
                <w:szCs w:val="18"/>
              </w:rPr>
              <w:t>研究表明，</w:t>
            </w:r>
            <w:r>
              <w:rPr>
                <w:rFonts w:hint="default" w:ascii="微软雅黑" w:hAnsi="微软雅黑"/>
                <w:kern w:val="2"/>
                <w:sz w:val="18"/>
                <w:szCs w:val="18"/>
              </w:rPr>
              <w:t>MSI-H的实体瘤通常具有免疫原性和广泛的T细胞浸润性，从而对免疫检查点抑制剂的治疗响应较高</w:t>
            </w:r>
          </w:p>
        </w:tc>
      </w:tr>
      <w:tr w14:paraId="36143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889" w:type="dxa"/>
            <w:vAlign w:val="center"/>
          </w:tcPr>
          <w:p w14:paraId="794C1E45">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lang w:bidi="ar"/>
              </w:rPr>
            </w:pPr>
            <w:r>
              <w:rPr>
                <w:rStyle w:val="23"/>
                <w:rFonts w:hint="eastAsia" w:ascii="微软雅黑" w:hAnsi="微软雅黑" w:cs="微软雅黑"/>
                <w:bCs/>
                <w:color w:val="auto"/>
                <w:kern w:val="2"/>
                <w:sz w:val="18"/>
                <w:szCs w:val="18"/>
                <w:u w:val="none"/>
                <w:lang w:bidi="ar"/>
              </w:rPr>
              <w:t>免疫正相关基因</w:t>
            </w:r>
            <w:r>
              <w:commentReference w:id="12"/>
            </w:r>
          </w:p>
        </w:tc>
        <w:tc>
          <w:tcPr>
            <w:tcW w:w="3211" w:type="dxa"/>
            <w:vAlign w:val="center"/>
          </w:tcPr>
          <w:p w14:paraId="64A84E5E">
            <w:pPr>
              <w:keepNext w:val="0"/>
              <w:keepLines w:val="0"/>
              <w:widowControl/>
              <w:suppressLineNumbers w:val="0"/>
              <w:adjustRightInd/>
              <w:snapToGrid/>
              <w:spacing w:before="0" w:beforeAutospacing="0" w:after="0" w:afterAutospacing="0" w:line="220" w:lineRule="atLeast"/>
              <w:ind w:left="0" w:right="0"/>
              <w:jc w:val="center"/>
              <w:rPr>
                <w:rStyle w:val="23"/>
                <w:rFonts w:hint="default" w:ascii="微软雅黑" w:hAnsi="微软雅黑" w:cs="微软雅黑"/>
                <w:bCs/>
                <w:color w:val="auto"/>
                <w:kern w:val="2"/>
                <w:sz w:val="18"/>
                <w:szCs w:val="18"/>
                <w:u w:val="none"/>
                <w:lang w:bidi="ar"/>
              </w:rPr>
            </w:pPr>
            <w:r>
              <w:rPr>
                <w:rStyle w:val="23"/>
                <w:rFonts w:hint="eastAsia" w:ascii="微软雅黑" w:hAnsi="微软雅黑" w:cs="微软雅黑"/>
                <w:bCs/>
                <w:color w:val="auto"/>
                <w:kern w:val="2"/>
                <w:sz w:val="18"/>
                <w:szCs w:val="18"/>
                <w:u w:val="none"/>
                <w:lang w:bidi="ar"/>
              </w:rPr>
              <w:t>检出（</w:t>
            </w:r>
            <w:r>
              <w:rPr>
                <w:rStyle w:val="23"/>
                <w:rFonts w:hint="eastAsia" w:ascii="微软雅黑" w:hAnsi="微软雅黑" w:cs="微软雅黑"/>
                <w:bCs/>
                <w:color w:val="auto"/>
                <w:kern w:val="2"/>
                <w:sz w:val="18"/>
                <w:szCs w:val="18"/>
                <w:u w:val="none"/>
                <w:lang w:val="en-US" w:eastAsia="zh-CN" w:bidi="ar"/>
              </w:rPr>
              <w:t>{{ immune_positive_count }}</w:t>
            </w:r>
            <w:r>
              <w:rPr>
                <w:rStyle w:val="23"/>
                <w:rFonts w:hint="eastAsia" w:ascii="微软雅黑" w:hAnsi="微软雅黑" w:cs="微软雅黑"/>
                <w:bCs/>
                <w:color w:val="auto"/>
                <w:kern w:val="2"/>
                <w:sz w:val="18"/>
                <w:szCs w:val="18"/>
                <w:u w:val="none"/>
                <w:lang w:bidi="ar"/>
              </w:rPr>
              <w:t>个）</w:t>
            </w:r>
          </w:p>
          <w:p w14:paraId="45DBEDC3">
            <w:pPr>
              <w:keepNext w:val="0"/>
              <w:keepLines w:val="0"/>
              <w:widowControl/>
              <w:suppressLineNumbers w:val="0"/>
              <w:spacing w:before="0" w:beforeAutospacing="0" w:after="0" w:afterAutospacing="0" w:line="220" w:lineRule="atLeast"/>
              <w:ind w:left="0" w:right="0"/>
              <w:jc w:val="center"/>
              <w:rPr>
                <w:rFonts w:hint="eastAsia" w:ascii="微软雅黑" w:hAnsi="微软雅黑" w:eastAsia="微软雅黑" w:cs="微软雅黑"/>
                <w:bCs/>
                <w:kern w:val="2"/>
                <w:sz w:val="18"/>
                <w:szCs w:val="18"/>
                <w:lang w:eastAsia="zh-CN" w:bidi="ar"/>
              </w:rPr>
            </w:pPr>
            <w:r>
              <w:rPr>
                <w:rFonts w:hint="eastAsia" w:ascii="微软雅黑" w:hAnsi="微软雅黑" w:eastAsia="微软雅黑" w:cs="微软雅黑"/>
                <w:bCs/>
                <w:kern w:val="2"/>
                <w:sz w:val="18"/>
                <w:szCs w:val="18"/>
                <w:lang w:eastAsia="zh-CN" w:bidi="ar"/>
              </w:rPr>
              <w:t>{{ immune_positive_genes }}</w:t>
            </w:r>
          </w:p>
        </w:tc>
        <w:tc>
          <w:tcPr>
            <w:tcW w:w="3971" w:type="dxa"/>
            <w:vAlign w:val="center"/>
          </w:tcPr>
          <w:p w14:paraId="505ED8BE">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color w:val="0000FF"/>
                <w:kern w:val="2"/>
                <w:sz w:val="18"/>
                <w:szCs w:val="18"/>
                <w:u w:val="single"/>
              </w:rPr>
            </w:pPr>
            <w:r>
              <w:rPr>
                <w:rFonts w:hint="eastAsia" w:ascii="微软雅黑" w:hAnsi="微软雅黑" w:cs="微软雅黑"/>
                <w:color w:val="000000" w:themeColor="text1"/>
                <w:kern w:val="0"/>
                <w:sz w:val="18"/>
                <w:szCs w:val="18"/>
                <w:lang w:bidi="ar"/>
                <w14:textFill>
                  <w14:solidFill>
                    <w14:schemeClr w14:val="tx1"/>
                  </w14:solidFill>
                </w14:textFill>
              </w:rPr>
              <w:t>检出有害变异时可能疗效较好</w:t>
            </w:r>
          </w:p>
        </w:tc>
      </w:tr>
      <w:tr w14:paraId="019F5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889" w:type="dxa"/>
            <w:vAlign w:val="center"/>
          </w:tcPr>
          <w:p w14:paraId="54B4A072">
            <w:pPr>
              <w:keepNext w:val="0"/>
              <w:keepLines w:val="0"/>
              <w:widowControl/>
              <w:suppressLineNumbers w:val="0"/>
              <w:adjustRightInd/>
              <w:snapToGrid/>
              <w:spacing w:before="0" w:beforeAutospacing="0" w:after="0" w:afterAutospacing="0" w:line="220" w:lineRule="atLeast"/>
              <w:ind w:left="0" w:right="0"/>
              <w:jc w:val="center"/>
              <w:rPr>
                <w:rStyle w:val="23"/>
                <w:rFonts w:hint="default" w:ascii="微软雅黑" w:hAnsi="微软雅黑" w:cs="微软雅黑"/>
                <w:bCs/>
                <w:color w:val="auto"/>
                <w:kern w:val="2"/>
                <w:sz w:val="18"/>
                <w:szCs w:val="18"/>
                <w:u w:val="none"/>
                <w:lang w:bidi="ar"/>
              </w:rPr>
            </w:pPr>
            <w:r>
              <w:rPr>
                <w:rStyle w:val="23"/>
                <w:rFonts w:hint="eastAsia" w:ascii="微软雅黑" w:hAnsi="微软雅黑" w:cs="微软雅黑"/>
                <w:bCs/>
                <w:color w:val="auto"/>
                <w:kern w:val="2"/>
                <w:sz w:val="18"/>
                <w:szCs w:val="18"/>
                <w:u w:val="none"/>
                <w:lang w:bidi="ar"/>
              </w:rPr>
              <w:t>免疫负相关基因</w:t>
            </w:r>
          </w:p>
        </w:tc>
        <w:tc>
          <w:tcPr>
            <w:tcW w:w="3211" w:type="dxa"/>
            <w:vAlign w:val="center"/>
          </w:tcPr>
          <w:p w14:paraId="3D096273">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18"/>
                <w:szCs w:val="18"/>
                <w:lang w:val="en-US" w:eastAsia="zh-CN"/>
              </w:rPr>
            </w:pPr>
            <w:r>
              <w:rPr>
                <w:rFonts w:hint="eastAsia" w:ascii="微软雅黑" w:hAnsi="微软雅黑" w:cs="微软雅黑"/>
                <w:kern w:val="2"/>
                <w:sz w:val="18"/>
                <w:szCs w:val="18"/>
              </w:rPr>
              <w:t>{{ immune_negative_result }}</w:t>
            </w:r>
          </w:p>
        </w:tc>
        <w:tc>
          <w:tcPr>
            <w:tcW w:w="3971" w:type="dxa"/>
            <w:vAlign w:val="center"/>
          </w:tcPr>
          <w:p w14:paraId="56B42F58">
            <w:pPr>
              <w:keepNext w:val="0"/>
              <w:keepLines w:val="0"/>
              <w:widowControl/>
              <w:suppressLineNumbers w:val="0"/>
              <w:adjustRightInd/>
              <w:snapToGrid/>
              <w:spacing w:before="0" w:beforeAutospacing="0" w:after="0" w:afterAutospacing="0" w:line="220" w:lineRule="atLeast"/>
              <w:ind w:left="0" w:right="0"/>
              <w:jc w:val="center"/>
              <w:rPr>
                <w:rStyle w:val="23"/>
                <w:rFonts w:hint="default" w:ascii="微软雅黑" w:hAnsi="微软雅黑" w:cs="微软雅黑"/>
                <w:bCs/>
                <w:color w:val="0000FF"/>
                <w:kern w:val="2"/>
                <w:sz w:val="18"/>
                <w:szCs w:val="18"/>
              </w:rPr>
            </w:pPr>
            <w:r>
              <w:rPr>
                <w:rFonts w:hint="eastAsia" w:ascii="微软雅黑" w:hAnsi="微软雅黑" w:cs="微软雅黑"/>
                <w:kern w:val="0"/>
                <w:sz w:val="18"/>
                <w:szCs w:val="18"/>
                <w:lang w:bidi="ar"/>
              </w:rPr>
              <w:t>检出有害变异时可能耐药/疗效不佳</w:t>
            </w:r>
          </w:p>
        </w:tc>
      </w:tr>
      <w:tr w14:paraId="18A47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5" w:hRule="atLeast"/>
          <w:jc w:val="center"/>
        </w:trPr>
        <w:tc>
          <w:tcPr>
            <w:tcW w:w="1889" w:type="dxa"/>
            <w:vAlign w:val="center"/>
          </w:tcPr>
          <w:p w14:paraId="7CC925F0">
            <w:pPr>
              <w:keepNext w:val="0"/>
              <w:keepLines w:val="0"/>
              <w:widowControl/>
              <w:suppressLineNumbers w:val="0"/>
              <w:adjustRightInd/>
              <w:snapToGrid/>
              <w:spacing w:before="0" w:beforeAutospacing="0" w:after="0" w:afterAutospacing="0" w:line="220" w:lineRule="atLeast"/>
              <w:ind w:left="0" w:right="0"/>
              <w:jc w:val="center"/>
              <w:rPr>
                <w:rStyle w:val="23"/>
                <w:rFonts w:hint="default" w:ascii="微软雅黑" w:hAnsi="微软雅黑" w:cs="微软雅黑"/>
                <w:bCs/>
                <w:color w:val="auto"/>
                <w:kern w:val="2"/>
                <w:sz w:val="18"/>
                <w:szCs w:val="18"/>
                <w:u w:val="none"/>
                <w:lang w:bidi="ar"/>
              </w:rPr>
            </w:pPr>
            <w:r>
              <w:rPr>
                <w:rStyle w:val="23"/>
                <w:rFonts w:hint="eastAsia" w:ascii="微软雅黑" w:hAnsi="微软雅黑" w:cs="微软雅黑"/>
                <w:bCs/>
                <w:color w:val="auto"/>
                <w:kern w:val="2"/>
                <w:sz w:val="18"/>
                <w:szCs w:val="18"/>
                <w:u w:val="none"/>
                <w:lang w:bidi="ar"/>
              </w:rPr>
              <w:t>免疫超进展相关基因</w:t>
            </w:r>
          </w:p>
        </w:tc>
        <w:tc>
          <w:tcPr>
            <w:tcW w:w="3211" w:type="dxa"/>
            <w:vAlign w:val="center"/>
          </w:tcPr>
          <w:p w14:paraId="31AEB7C5">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18"/>
                <w:szCs w:val="18"/>
              </w:rPr>
            </w:pPr>
            <w:r>
              <w:rPr>
                <w:rFonts w:hint="eastAsia" w:ascii="微软雅黑" w:hAnsi="微软雅黑" w:cs="微软雅黑"/>
                <w:kern w:val="2"/>
                <w:sz w:val="18"/>
                <w:szCs w:val="18"/>
              </w:rPr>
              <w:t>{{ immune_hyperprogression_result }}</w:t>
            </w:r>
          </w:p>
        </w:tc>
        <w:tc>
          <w:tcPr>
            <w:tcW w:w="3971" w:type="dxa"/>
            <w:vAlign w:val="center"/>
          </w:tcPr>
          <w:p w14:paraId="6041BB87">
            <w:pPr>
              <w:keepNext w:val="0"/>
              <w:keepLines w:val="0"/>
              <w:widowControl/>
              <w:suppressLineNumbers w:val="0"/>
              <w:adjustRightInd/>
              <w:snapToGrid/>
              <w:spacing w:before="0" w:beforeAutospacing="0" w:after="0" w:afterAutospacing="0" w:line="220" w:lineRule="atLeast"/>
              <w:ind w:left="0" w:right="0"/>
              <w:jc w:val="center"/>
              <w:rPr>
                <w:rStyle w:val="23"/>
                <w:rFonts w:hint="default" w:ascii="微软雅黑" w:hAnsi="微软雅黑" w:cs="微软雅黑"/>
                <w:bCs/>
                <w:color w:val="0000FF"/>
                <w:kern w:val="2"/>
                <w:sz w:val="18"/>
                <w:szCs w:val="18"/>
              </w:rPr>
            </w:pPr>
            <w:r>
              <w:rPr>
                <w:rFonts w:hint="eastAsia" w:ascii="微软雅黑" w:hAnsi="微软雅黑" w:cs="微软雅黑"/>
                <w:color w:val="000000" w:themeColor="text1"/>
                <w:kern w:val="0"/>
                <w:sz w:val="18"/>
                <w:szCs w:val="18"/>
                <w:lang w:bidi="ar"/>
                <w14:textFill>
                  <w14:solidFill>
                    <w14:schemeClr w14:val="tx1"/>
                  </w14:solidFill>
                </w14:textFill>
              </w:rPr>
              <w:t>检出有害变异时可能与超进展相关</w:t>
            </w:r>
          </w:p>
        </w:tc>
      </w:tr>
    </w:tbl>
    <w:p w14:paraId="2F9DA7A8">
      <w:pPr>
        <w:numPr>
          <w:ilvl w:val="255"/>
          <w:numId w:val="0"/>
        </w:numPr>
        <w:spacing w:after="0"/>
        <w:jc w:val="both"/>
        <w:rPr>
          <w:rFonts w:ascii="微软雅黑" w:hAnsi="微软雅黑"/>
          <w:sz w:val="18"/>
        </w:rPr>
      </w:pPr>
      <w:commentRangeStart w:id="13"/>
      <w:r>
        <w:rPr>
          <w:rFonts w:hint="eastAsia" w:ascii="微软雅黑" w:hAnsi="微软雅黑"/>
          <w:sz w:val="18"/>
        </w:rPr>
        <w:t>备注：1. FoundationOne CDx (324 个基因) TMB 研究表明，对于组织样本，TMB≥10 mut/Mb 为高突变负荷 (仅供参考) 。而对于血液样本，POPLAR 和 OAK 研究表明，bTMB（血液肿瘤突变负荷）≥16 或可成为阿替利珠单抗治疗晚期非小细胞肺癌的生物标记物（仅供参考）。</w:t>
      </w:r>
    </w:p>
    <w:p w14:paraId="6C157ADC">
      <w:pPr>
        <w:numPr>
          <w:ilvl w:val="0"/>
          <w:numId w:val="1"/>
        </w:numPr>
        <w:spacing w:after="0"/>
        <w:jc w:val="both"/>
        <w:rPr>
          <w:rFonts w:ascii="微软雅黑" w:hAnsi="微软雅黑"/>
          <w:kern w:val="2"/>
          <w:sz w:val="18"/>
        </w:rPr>
      </w:pPr>
      <w:r>
        <w:rPr>
          <w:rFonts w:hint="eastAsia" w:ascii="微软雅黑" w:hAnsi="微软雅黑"/>
          <w:kern w:val="2"/>
          <w:sz w:val="18"/>
        </w:rPr>
        <w:t>#帕博利珠单抗、#纳武利尤单抗、#纳武利尤单抗+伊匹木单抗均已获FDA和/或NMPA批准用于治疗结直肠癌。</w:t>
      </w:r>
      <w:r>
        <w:rPr>
          <w:rFonts w:hint="eastAsia" w:ascii="微软雅黑" w:hAnsi="微软雅黑"/>
          <w:b w:val="0"/>
          <w:bCs w:val="0"/>
          <w:kern w:val="2"/>
          <w:sz w:val="18"/>
          <w:szCs w:val="22"/>
          <w:lang w:val="en-US" w:eastAsia="zh-CN"/>
        </w:rPr>
        <w:t>#普特利单抗、#替雷利珠单抗、#多塔利单抗、#斯鲁利单抗、#恩沃利单抗已获FDA或NMPA批准用于治疗MSI-H或dMMR实体瘤患者。</w:t>
      </w:r>
    </w:p>
    <w:p w14:paraId="40316303">
      <w:pPr>
        <w:spacing w:after="0"/>
        <w:jc w:val="both"/>
        <w:rPr>
          <w:rFonts w:ascii="微软雅黑" w:hAnsi="微软雅黑"/>
          <w:b/>
          <w:color w:val="00C4D8"/>
          <w:sz w:val="32"/>
          <w:szCs w:val="32"/>
        </w:rPr>
      </w:pPr>
      <w:r>
        <w:rPr>
          <w:rFonts w:hint="eastAsia" w:ascii="微软雅黑" w:hAnsi="微软雅黑"/>
          <w:kern w:val="2"/>
          <w:sz w:val="18"/>
          <w:lang w:val="en-US" w:eastAsia="zh-CN"/>
        </w:rPr>
        <w:t xml:space="preserve">3. </w:t>
      </w:r>
      <w:r>
        <w:rPr>
          <w:rFonts w:hint="eastAsia" w:ascii="微软雅黑" w:hAnsi="微软雅黑"/>
          <w:kern w:val="2"/>
          <w:sz w:val="18"/>
        </w:rPr>
        <w:t>上表涉及的已上市的药物名称及对应的商品名称</w:t>
      </w:r>
      <w:r>
        <w:rPr>
          <w:rFonts w:hint="eastAsia" w:ascii="微软雅黑" w:hAnsi="微软雅黑"/>
          <w:sz w:val="18"/>
        </w:rPr>
        <w:t>：</w:t>
      </w:r>
      <w:r>
        <w:rPr>
          <w:rFonts w:hint="eastAsia" w:ascii="微软雅黑" w:hAnsi="微软雅黑"/>
          <w:b/>
          <w:bCs/>
          <w:sz w:val="18"/>
        </w:rPr>
        <w:t>帕博利珠单抗[可瑞达]、纳武利尤单抗[欧狄沃]、阿替利珠单抗[泰圣奇]、度伐利尤单抗[英飞凡]、特瑞普利单抗[拓益]、信迪利单抗[达伯舒]、卡瑞利珠单抗[艾立妥]、替雷利珠单抗[百</w:t>
      </w:r>
      <w:r>
        <w:rPr>
          <w:rFonts w:hint="eastAsia" w:ascii="微软雅黑" w:hAnsi="微软雅黑"/>
          <w:b/>
          <w:bCs/>
          <w:sz w:val="18"/>
          <w:lang w:val="en-US" w:eastAsia="zh-CN"/>
        </w:rPr>
        <w:t>泽</w:t>
      </w:r>
      <w:r>
        <w:rPr>
          <w:rFonts w:hint="eastAsia" w:ascii="微软雅黑" w:hAnsi="微软雅黑"/>
          <w:b/>
          <w:bCs/>
          <w:sz w:val="18"/>
        </w:rPr>
        <w:t>安]、伊匹木单抗[逸沃]、恩沃利单抗[恩维达]、多塔利单抗[JEMPERLI]、派安普利单抗[安尼可]、赛帕利单抗[誉妥]</w:t>
      </w:r>
      <w:r>
        <w:rPr>
          <w:rFonts w:hint="eastAsia" w:ascii="微软雅黑" w:hAnsi="微软雅黑"/>
          <w:b/>
          <w:bCs/>
          <w:sz w:val="18"/>
          <w:highlight w:val="none"/>
          <w:lang w:val="en-US" w:eastAsia="zh-CN"/>
        </w:rPr>
        <w:t>、斯鲁利单抗[汉斯状]</w:t>
      </w:r>
      <w:r>
        <w:rPr>
          <w:rFonts w:hint="eastAsia" w:ascii="微软雅黑" w:hAnsi="微软雅黑"/>
          <w:b/>
          <w:bCs/>
          <w:sz w:val="18"/>
          <w:lang w:val="en-US" w:eastAsia="zh-CN"/>
        </w:rPr>
        <w:t>、</w:t>
      </w:r>
      <w:r>
        <w:rPr>
          <w:rFonts w:hint="eastAsia" w:ascii="微软雅黑" w:hAnsi="微软雅黑"/>
          <w:b/>
          <w:bCs/>
          <w:sz w:val="18"/>
          <w:highlight w:val="none"/>
          <w:lang w:val="en-US" w:eastAsia="zh-CN"/>
        </w:rPr>
        <w:t>普特利单抗[普佑恒]</w:t>
      </w:r>
      <w:r>
        <w:rPr>
          <w:rFonts w:hint="eastAsia" w:ascii="微软雅黑" w:hAnsi="微软雅黑"/>
          <w:b/>
          <w:bCs/>
          <w:sz w:val="18"/>
        </w:rPr>
        <w:t>。</w:t>
      </w:r>
      <w:commentRangeEnd w:id="13"/>
      <w:bookmarkStart w:id="79" w:name="_Toc2090"/>
      <w:bookmarkStart w:id="80" w:name="_Toc137"/>
      <w:r>
        <w:commentReference w:id="13"/>
      </w:r>
    </w:p>
    <w:p w14:paraId="60293507">
      <w:pPr>
        <w:adjustRightInd/>
        <w:snapToGrid/>
        <w:spacing w:after="0" w:line="240" w:lineRule="auto"/>
        <w:outlineLvl w:val="9"/>
        <w:rPr>
          <w:rFonts w:hint="eastAsia" w:ascii="微软雅黑" w:hAnsi="微软雅黑"/>
          <w:b/>
          <w:color w:val="00C4D8"/>
          <w:sz w:val="32"/>
          <w:szCs w:val="32"/>
        </w:rPr>
      </w:pPr>
      <w:bookmarkStart w:id="81" w:name="_Toc24469"/>
      <w:r>
        <w:rPr>
          <w:rFonts w:hint="eastAsia" w:ascii="微软雅黑" w:hAnsi="微软雅黑"/>
          <w:b/>
          <w:color w:val="00C4D8"/>
          <w:sz w:val="32"/>
          <w:szCs w:val="32"/>
        </w:rPr>
        <w:br w:type="page"/>
      </w:r>
    </w:p>
    <w:p w14:paraId="48AF7AEC">
      <w:pPr>
        <w:adjustRightInd/>
        <w:snapToGrid/>
        <w:spacing w:after="0" w:line="220" w:lineRule="atLeast"/>
        <w:outlineLvl w:val="0"/>
        <w:rPr>
          <w:rFonts w:ascii="微软雅黑" w:hAnsi="微软雅黑"/>
          <w:b/>
          <w:color w:val="00C4D8"/>
          <w:sz w:val="32"/>
          <w:szCs w:val="32"/>
        </w:rPr>
      </w:pPr>
      <w:r>
        <w:rPr>
          <w:rFonts w:hint="eastAsia" w:ascii="微软雅黑" w:hAnsi="微软雅黑"/>
          <w:b/>
          <w:color w:val="00C4D8"/>
          <w:sz w:val="32"/>
          <w:szCs w:val="32"/>
        </w:rPr>
        <w:t>2. 靶向药物相关检测结果</w:t>
      </w:r>
      <w:bookmarkEnd w:id="81"/>
    </w:p>
    <w:p w14:paraId="68EE026B">
      <w:pPr>
        <w:adjustRightInd/>
        <w:snapToGrid/>
        <w:spacing w:before="100" w:after="100" w:line="220" w:lineRule="atLeast"/>
        <w:rPr>
          <w:rFonts w:ascii="微软雅黑" w:hAnsi="微软雅黑"/>
          <w:b/>
          <w:color w:val="00C4D8"/>
          <w:sz w:val="28"/>
          <w:szCs w:val="28"/>
        </w:rPr>
      </w:pPr>
      <w:r>
        <w:rPr>
          <w:rFonts w:hint="eastAsia" w:ascii="微软雅黑" w:hAnsi="微软雅黑"/>
          <w:b/>
          <w:color w:val="00C4D8"/>
          <w:sz w:val="28"/>
          <w:szCs w:val="28"/>
        </w:rPr>
        <w:t>2</w:t>
      </w:r>
      <w:r>
        <w:rPr>
          <w:rFonts w:ascii="微软雅黑" w:hAnsi="微软雅黑"/>
          <w:b/>
          <w:color w:val="00C4D8"/>
          <w:sz w:val="28"/>
          <w:szCs w:val="28"/>
        </w:rPr>
        <w:t>.1</w:t>
      </w:r>
      <w:r>
        <w:rPr>
          <w:rFonts w:hint="eastAsia" w:ascii="微软雅黑" w:hAnsi="微软雅黑"/>
          <w:b/>
          <w:color w:val="00C4D8"/>
          <w:sz w:val="28"/>
          <w:szCs w:val="28"/>
        </w:rPr>
        <w:t xml:space="preserve"> </w:t>
      </w:r>
      <w:bookmarkStart w:id="82" w:name="基因变异检测结果及相关靶向药物信息"/>
      <w:r>
        <w:rPr>
          <w:rFonts w:ascii="微软雅黑" w:hAnsi="微软雅黑"/>
          <w:b/>
          <w:color w:val="00C4D8"/>
          <w:sz w:val="28"/>
          <w:szCs w:val="28"/>
        </w:rPr>
        <w:t>基因变异</w:t>
      </w:r>
      <w:r>
        <w:rPr>
          <w:rFonts w:hint="eastAsia" w:ascii="微软雅黑" w:hAnsi="微软雅黑"/>
          <w:b/>
          <w:color w:val="00C4D8"/>
          <w:sz w:val="28"/>
          <w:szCs w:val="28"/>
        </w:rPr>
        <w:t>检测结果</w:t>
      </w:r>
      <w:r>
        <w:rPr>
          <w:rFonts w:ascii="微软雅黑" w:hAnsi="微软雅黑"/>
          <w:b/>
          <w:color w:val="00C4D8"/>
          <w:sz w:val="28"/>
          <w:szCs w:val="28"/>
        </w:rPr>
        <w:t>及</w:t>
      </w:r>
      <w:r>
        <w:rPr>
          <w:rFonts w:hint="eastAsia" w:ascii="微软雅黑" w:hAnsi="微软雅黑"/>
          <w:b/>
          <w:color w:val="00C4D8"/>
          <w:sz w:val="28"/>
          <w:szCs w:val="28"/>
        </w:rPr>
        <w:t>相关</w:t>
      </w:r>
      <w:r>
        <w:rPr>
          <w:rFonts w:ascii="微软雅黑" w:hAnsi="微软雅黑"/>
          <w:b/>
          <w:color w:val="00C4D8"/>
          <w:sz w:val="28"/>
          <w:szCs w:val="28"/>
        </w:rPr>
        <w:t>靶向药物信息</w:t>
      </w:r>
      <w:bookmarkEnd w:id="82"/>
    </w:p>
    <w:tbl>
      <w:tblPr>
        <w:tblStyle w:val="16"/>
        <w:tblW w:w="9545" w:type="dxa"/>
        <w:jc w:val="center"/>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Layout w:type="fixed"/>
        <w:tblCellMar>
          <w:top w:w="0" w:type="dxa"/>
          <w:left w:w="108" w:type="dxa"/>
          <w:bottom w:w="0" w:type="dxa"/>
          <w:right w:w="108" w:type="dxa"/>
        </w:tblCellMar>
      </w:tblPr>
      <w:tblGrid>
        <w:gridCol w:w="1143"/>
        <w:gridCol w:w="870"/>
        <w:gridCol w:w="495"/>
        <w:gridCol w:w="450"/>
        <w:gridCol w:w="1294"/>
        <w:gridCol w:w="686"/>
        <w:gridCol w:w="696"/>
        <w:gridCol w:w="2469"/>
        <w:gridCol w:w="1442"/>
      </w:tblGrid>
      <w:tr w14:paraId="66E82AB2">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23" w:hRule="atLeast"/>
          <w:jc w:val="center"/>
        </w:trPr>
        <w:tc>
          <w:tcPr>
            <w:tcW w:w="1143" w:type="dxa"/>
            <w:vMerge w:val="restart"/>
            <w:tcBorders>
              <w:tl2br w:val="nil"/>
              <w:tr2bl w:val="nil"/>
            </w:tcBorders>
            <w:shd w:val="clear" w:color="auto" w:fill="00C4D8"/>
            <w:vAlign w:val="center"/>
          </w:tcPr>
          <w:p w14:paraId="48201ADE">
            <w:pPr>
              <w:keepNext w:val="0"/>
              <w:keepLines w:val="0"/>
              <w:widowControl/>
              <w:suppressLineNumbers w:val="0"/>
              <w:spacing w:before="0" w:beforeAutospacing="0" w:after="0" w:afterAutospacing="0"/>
              <w:ind w:left="0" w:right="0"/>
              <w:jc w:val="center"/>
              <w:rPr>
                <w:rFonts w:hint="default"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基因名称</w:t>
            </w:r>
          </w:p>
        </w:tc>
        <w:tc>
          <w:tcPr>
            <w:tcW w:w="4491" w:type="dxa"/>
            <w:gridSpan w:val="6"/>
            <w:tcBorders>
              <w:tl2br w:val="nil"/>
              <w:tr2bl w:val="nil"/>
            </w:tcBorders>
            <w:shd w:val="clear" w:color="auto" w:fill="00C4D8"/>
            <w:vAlign w:val="center"/>
          </w:tcPr>
          <w:p w14:paraId="16935D61">
            <w:pPr>
              <w:keepNext w:val="0"/>
              <w:keepLines w:val="0"/>
              <w:widowControl/>
              <w:suppressLineNumbers w:val="0"/>
              <w:spacing w:before="0" w:beforeAutospacing="0" w:after="0" w:afterAutospacing="0"/>
              <w:ind w:left="0" w:right="0"/>
              <w:jc w:val="center"/>
              <w:rPr>
                <w:rFonts w:hint="default"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基因突变信息</w:t>
            </w:r>
          </w:p>
        </w:tc>
        <w:tc>
          <w:tcPr>
            <w:tcW w:w="3911" w:type="dxa"/>
            <w:gridSpan w:val="2"/>
            <w:tcBorders>
              <w:tl2br w:val="nil"/>
              <w:tr2bl w:val="nil"/>
            </w:tcBorders>
            <w:shd w:val="clear" w:color="auto" w:fill="00C4D8"/>
            <w:vAlign w:val="center"/>
          </w:tcPr>
          <w:p w14:paraId="7BD00B99">
            <w:pPr>
              <w:keepNext w:val="0"/>
              <w:keepLines w:val="0"/>
              <w:widowControl/>
              <w:suppressLineNumbers w:val="0"/>
              <w:spacing w:before="0" w:beforeAutospacing="0" w:after="0" w:afterAutospacing="0"/>
              <w:ind w:left="0" w:right="0"/>
              <w:jc w:val="center"/>
              <w:rPr>
                <w:rFonts w:hint="default"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靶向药物信息</w:t>
            </w:r>
          </w:p>
        </w:tc>
      </w:tr>
      <w:tr w14:paraId="7C688B75">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23" w:hRule="atLeast"/>
          <w:jc w:val="center"/>
        </w:trPr>
        <w:tc>
          <w:tcPr>
            <w:tcW w:w="1143" w:type="dxa"/>
            <w:vMerge w:val="continue"/>
            <w:tcBorders>
              <w:tl2br w:val="nil"/>
              <w:tr2bl w:val="nil"/>
            </w:tcBorders>
            <w:shd w:val="clear" w:color="auto" w:fill="00C4D8"/>
            <w:vAlign w:val="center"/>
          </w:tcPr>
          <w:p w14:paraId="73CBF2BF">
            <w:pPr>
              <w:keepNext w:val="0"/>
              <w:keepLines w:val="0"/>
              <w:widowControl/>
              <w:suppressLineNumbers w:val="0"/>
              <w:spacing w:before="0" w:beforeAutospacing="0" w:after="0" w:afterAutospacing="0"/>
              <w:ind w:left="0" w:right="0"/>
              <w:jc w:val="center"/>
              <w:rPr>
                <w:rFonts w:hint="default" w:ascii="微软雅黑" w:hAnsi="微软雅黑" w:cs="微软雅黑"/>
                <w:b/>
                <w:bCs/>
                <w:color w:val="F9FBFA"/>
                <w:kern w:val="2"/>
                <w:sz w:val="18"/>
                <w:szCs w:val="18"/>
              </w:rPr>
            </w:pPr>
          </w:p>
        </w:tc>
        <w:tc>
          <w:tcPr>
            <w:tcW w:w="870" w:type="dxa"/>
            <w:tcBorders>
              <w:tl2br w:val="nil"/>
              <w:tr2bl w:val="nil"/>
            </w:tcBorders>
            <w:shd w:val="clear" w:color="auto" w:fill="00C4D8"/>
            <w:vAlign w:val="center"/>
          </w:tcPr>
          <w:p w14:paraId="531D0807">
            <w:pPr>
              <w:keepNext w:val="0"/>
              <w:keepLines w:val="0"/>
              <w:widowControl/>
              <w:suppressLineNumbers w:val="0"/>
              <w:spacing w:before="0" w:beforeAutospacing="0" w:after="0" w:afterAutospacing="0"/>
              <w:ind w:left="0" w:right="0"/>
              <w:jc w:val="center"/>
              <w:rPr>
                <w:rFonts w:hint="default" w:ascii="微软雅黑" w:hAnsi="微软雅黑" w:cs="微软雅黑"/>
                <w:b/>
                <w:bCs/>
                <w:color w:val="F9FBFA"/>
                <w:kern w:val="2"/>
                <w:sz w:val="18"/>
                <w:szCs w:val="18"/>
                <w:highlight w:val="yellow"/>
              </w:rPr>
            </w:pPr>
            <w:r>
              <w:rPr>
                <w:rFonts w:hint="eastAsia" w:ascii="微软雅黑" w:hAnsi="微软雅黑" w:cs="微软雅黑"/>
                <w:b/>
                <w:bCs/>
                <w:color w:val="F9FBFA"/>
                <w:kern w:val="2"/>
                <w:sz w:val="18"/>
                <w:szCs w:val="18"/>
              </w:rPr>
              <w:t>转录本号</w:t>
            </w:r>
          </w:p>
        </w:tc>
        <w:tc>
          <w:tcPr>
            <w:tcW w:w="495" w:type="dxa"/>
            <w:tcBorders>
              <w:tl2br w:val="nil"/>
              <w:tr2bl w:val="nil"/>
            </w:tcBorders>
            <w:shd w:val="clear" w:color="auto" w:fill="00C4D8"/>
            <w:vAlign w:val="center"/>
          </w:tcPr>
          <w:p w14:paraId="7BDE936A">
            <w:pPr>
              <w:keepNext w:val="0"/>
              <w:keepLines w:val="0"/>
              <w:widowControl/>
              <w:suppressLineNumbers w:val="0"/>
              <w:spacing w:before="0" w:beforeAutospacing="0" w:after="0" w:afterAutospacing="0"/>
              <w:ind w:left="0" w:right="0"/>
              <w:jc w:val="center"/>
              <w:rPr>
                <w:rFonts w:hint="default"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染色体</w:t>
            </w:r>
          </w:p>
        </w:tc>
        <w:tc>
          <w:tcPr>
            <w:tcW w:w="450" w:type="dxa"/>
            <w:tcBorders>
              <w:tl2br w:val="nil"/>
              <w:tr2bl w:val="nil"/>
            </w:tcBorders>
            <w:shd w:val="clear" w:color="auto" w:fill="00C4D8"/>
            <w:vAlign w:val="center"/>
          </w:tcPr>
          <w:p w14:paraId="21C68594">
            <w:pPr>
              <w:keepNext w:val="0"/>
              <w:keepLines w:val="0"/>
              <w:widowControl/>
              <w:suppressLineNumbers w:val="0"/>
              <w:spacing w:before="0" w:beforeAutospacing="0" w:after="0" w:afterAutospacing="0"/>
              <w:ind w:left="0" w:right="0"/>
              <w:jc w:val="center"/>
              <w:rPr>
                <w:rFonts w:hint="default"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外显子</w:t>
            </w:r>
          </w:p>
        </w:tc>
        <w:tc>
          <w:tcPr>
            <w:tcW w:w="1294" w:type="dxa"/>
            <w:tcBorders>
              <w:tl2br w:val="nil"/>
              <w:tr2bl w:val="nil"/>
            </w:tcBorders>
            <w:shd w:val="clear" w:color="auto" w:fill="00C4D8"/>
            <w:vAlign w:val="center"/>
          </w:tcPr>
          <w:p w14:paraId="46D0635F">
            <w:pPr>
              <w:keepNext w:val="0"/>
              <w:keepLines w:val="0"/>
              <w:widowControl/>
              <w:suppressLineNumbers w:val="0"/>
              <w:spacing w:before="0" w:beforeAutospacing="0" w:after="0" w:afterAutospacing="0"/>
              <w:ind w:left="0" w:right="0"/>
              <w:jc w:val="center"/>
              <w:rPr>
                <w:rFonts w:hint="default"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位点</w:t>
            </w:r>
          </w:p>
        </w:tc>
        <w:tc>
          <w:tcPr>
            <w:tcW w:w="686" w:type="dxa"/>
            <w:tcBorders>
              <w:tl2br w:val="nil"/>
              <w:tr2bl w:val="nil"/>
            </w:tcBorders>
            <w:shd w:val="clear" w:color="auto" w:fill="00C4D8"/>
            <w:vAlign w:val="center"/>
          </w:tcPr>
          <w:p w14:paraId="25CEF3A5">
            <w:pPr>
              <w:keepNext w:val="0"/>
              <w:keepLines w:val="0"/>
              <w:widowControl/>
              <w:suppressLineNumbers w:val="0"/>
              <w:spacing w:before="0" w:beforeAutospacing="0" w:after="0" w:afterAutospacing="0"/>
              <w:ind w:left="0" w:right="0"/>
              <w:jc w:val="center"/>
              <w:rPr>
                <w:rFonts w:hint="default"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突变</w:t>
            </w:r>
          </w:p>
          <w:p w14:paraId="255FC6A4">
            <w:pPr>
              <w:keepNext w:val="0"/>
              <w:keepLines w:val="0"/>
              <w:widowControl/>
              <w:suppressLineNumbers w:val="0"/>
              <w:spacing w:before="0" w:beforeAutospacing="0" w:after="0" w:afterAutospacing="0"/>
              <w:ind w:left="0" w:right="0"/>
              <w:jc w:val="center"/>
              <w:rPr>
                <w:rFonts w:hint="default"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类型</w:t>
            </w:r>
          </w:p>
        </w:tc>
        <w:tc>
          <w:tcPr>
            <w:tcW w:w="696" w:type="dxa"/>
            <w:tcBorders>
              <w:tl2br w:val="nil"/>
              <w:tr2bl w:val="nil"/>
            </w:tcBorders>
            <w:shd w:val="clear" w:color="auto" w:fill="00C4D8"/>
            <w:vAlign w:val="center"/>
          </w:tcPr>
          <w:p w14:paraId="32C82E42">
            <w:pPr>
              <w:keepNext w:val="0"/>
              <w:keepLines w:val="0"/>
              <w:widowControl/>
              <w:suppressLineNumbers w:val="0"/>
              <w:spacing w:before="0" w:beforeAutospacing="0" w:after="0" w:afterAutospacing="0"/>
              <w:ind w:left="0" w:right="0"/>
              <w:jc w:val="center"/>
              <w:rPr>
                <w:rFonts w:hint="default"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频率</w:t>
            </w:r>
          </w:p>
          <w:p w14:paraId="645C32EC">
            <w:pPr>
              <w:keepNext w:val="0"/>
              <w:keepLines w:val="0"/>
              <w:widowControl/>
              <w:suppressLineNumbers w:val="0"/>
              <w:spacing w:before="0" w:beforeAutospacing="0" w:after="0" w:afterAutospacing="0"/>
              <w:ind w:left="0" w:right="0"/>
              <w:jc w:val="center"/>
              <w:rPr>
                <w:rFonts w:hint="default"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 xml:space="preserve">(%)                                                                                                                                 </w:t>
            </w:r>
          </w:p>
        </w:tc>
        <w:tc>
          <w:tcPr>
            <w:tcW w:w="2469" w:type="dxa"/>
            <w:tcBorders>
              <w:tl2br w:val="nil"/>
              <w:tr2bl w:val="nil"/>
            </w:tcBorders>
            <w:shd w:val="clear" w:color="auto" w:fill="00C4D8"/>
            <w:vAlign w:val="center"/>
          </w:tcPr>
          <w:p w14:paraId="206E7CC5">
            <w:pPr>
              <w:keepNext w:val="0"/>
              <w:keepLines w:val="0"/>
              <w:widowControl/>
              <w:suppressLineNumbers w:val="0"/>
              <w:adjustRightInd/>
              <w:snapToGrid/>
              <w:spacing w:before="0" w:beforeAutospacing="0" w:after="0" w:afterAutospacing="0" w:line="320" w:lineRule="exact"/>
              <w:ind w:left="0" w:right="0"/>
              <w:jc w:val="center"/>
              <w:rPr>
                <w:rFonts w:hint="default"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潜在获益靶向药物</w:t>
            </w:r>
          </w:p>
          <w:p w14:paraId="2B6230E2">
            <w:pPr>
              <w:keepNext w:val="0"/>
              <w:keepLines w:val="0"/>
              <w:widowControl/>
              <w:suppressLineNumbers w:val="0"/>
              <w:adjustRightInd/>
              <w:snapToGrid/>
              <w:spacing w:before="0" w:beforeAutospacing="0" w:after="0" w:afterAutospacing="0" w:line="320" w:lineRule="exact"/>
              <w:ind w:left="0" w:right="0"/>
              <w:jc w:val="center"/>
              <w:rPr>
                <w:rFonts w:hint="default"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（证据等级）</w:t>
            </w:r>
          </w:p>
        </w:tc>
        <w:tc>
          <w:tcPr>
            <w:tcW w:w="1442" w:type="dxa"/>
            <w:tcBorders>
              <w:tl2br w:val="nil"/>
              <w:tr2bl w:val="nil"/>
            </w:tcBorders>
            <w:shd w:val="clear" w:color="auto" w:fill="00C4D8"/>
            <w:vAlign w:val="center"/>
          </w:tcPr>
          <w:p w14:paraId="388116FC">
            <w:pPr>
              <w:keepNext w:val="0"/>
              <w:keepLines w:val="0"/>
              <w:widowControl/>
              <w:suppressLineNumbers w:val="0"/>
              <w:adjustRightInd/>
              <w:snapToGrid/>
              <w:spacing w:before="0" w:beforeAutospacing="0" w:after="0" w:afterAutospacing="0" w:line="320" w:lineRule="exact"/>
              <w:ind w:left="0" w:right="0"/>
              <w:jc w:val="center"/>
              <w:rPr>
                <w:rFonts w:hint="default"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可能耐药或</w:t>
            </w:r>
          </w:p>
          <w:p w14:paraId="5C2677BE">
            <w:pPr>
              <w:keepNext w:val="0"/>
              <w:keepLines w:val="0"/>
              <w:widowControl/>
              <w:suppressLineNumbers w:val="0"/>
              <w:adjustRightInd/>
              <w:snapToGrid/>
              <w:spacing w:before="0" w:beforeAutospacing="0" w:after="0" w:afterAutospacing="0" w:line="320" w:lineRule="exact"/>
              <w:ind w:left="0" w:right="0"/>
              <w:jc w:val="center"/>
              <w:rPr>
                <w:rFonts w:hint="default"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慎重药物</w:t>
            </w:r>
          </w:p>
          <w:p w14:paraId="7956C1FA">
            <w:pPr>
              <w:keepNext w:val="0"/>
              <w:keepLines w:val="0"/>
              <w:widowControl/>
              <w:suppressLineNumbers w:val="0"/>
              <w:adjustRightInd/>
              <w:snapToGrid/>
              <w:spacing w:before="0" w:beforeAutospacing="0" w:after="0" w:afterAutospacing="0" w:line="320" w:lineRule="exact"/>
              <w:ind w:left="0" w:right="0"/>
              <w:jc w:val="center"/>
              <w:rPr>
                <w:rFonts w:hint="default" w:ascii="微软雅黑" w:hAnsi="微软雅黑" w:cs="微软雅黑"/>
                <w:b/>
                <w:color w:val="00C4D8"/>
                <w:kern w:val="2"/>
                <w:sz w:val="18"/>
                <w:szCs w:val="18"/>
              </w:rPr>
            </w:pPr>
            <w:r>
              <w:rPr>
                <w:rFonts w:hint="eastAsia" w:ascii="微软雅黑" w:hAnsi="微软雅黑" w:cs="微软雅黑"/>
                <w:b/>
                <w:bCs/>
                <w:color w:val="FFFFFF" w:themeColor="background1"/>
                <w:kern w:val="2"/>
                <w:sz w:val="18"/>
                <w:szCs w:val="18"/>
                <w14:textFill>
                  <w14:solidFill>
                    <w14:schemeClr w14:val="bg1"/>
                  </w14:solidFill>
                </w14:textFill>
              </w:rPr>
              <w:t>（证据等级）</w:t>
            </w:r>
          </w:p>
        </w:tc>
      </w:tr>
      <w:tr>
        <w:trPr>
          <w:trHeight w:val="0" w:hRule="auto"/>
        </w:trPr>
        <w:tc>
          <w:tcPr>
            <w:tcW w:w="0" w:type="auto"/>
          </w:tcPr>
          <w:p>
            <w:r>
              <w:t>{%tr for row in summary_variants %}</w:t>
            </w:r>
          </w:p>
        </w:tc>
      </w:tr>
      <w:tr w14:paraId="00E5E1E5">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578" w:hRule="atLeast"/>
          <w:jc w:val="center"/>
        </w:trPr>
        <w:tc>
          <w:tcPr>
            <w:tcW w:w="1143" w:type="dxa"/>
            <w:tcBorders>
              <w:tl2br w:val="nil"/>
              <w:tr2bl w:val="nil"/>
            </w:tcBorders>
            <w:vAlign w:val="center"/>
          </w:tcPr>
          <w:p w14:paraId="3E46306B">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color w:val="0000FF"/>
                <w:kern w:val="2"/>
                <w:sz w:val="18"/>
                <w:szCs w:val="18"/>
                <w:u w:val="single"/>
              </w:rPr>
            </w:pPr>
            <w:r>
              <w:rPr>
                <w:rFonts w:hint="default" w:ascii="微软雅黑" w:hAnsi="微软雅黑" w:cs="微软雅黑"/>
                <w:color w:val="0000FF"/>
                <w:kern w:val="2"/>
                <w:sz w:val="18"/>
                <w:szCs w:val="18"/>
                <w:u w:val="single"/>
              </w:rPr>
              <w:t>{{ row.gene }}</w:t>
            </w:r>
          </w:p>
        </w:tc>
        <w:tc>
          <w:tcPr>
            <w:tcW w:w="870" w:type="dxa"/>
            <w:tcBorders>
              <w:tl2br w:val="nil"/>
              <w:tr2bl w:val="nil"/>
            </w:tcBorders>
            <w:vAlign w:val="center"/>
          </w:tcPr>
          <w:p w14:paraId="474F4533">
            <w:pPr>
              <w:keepNext w:val="0"/>
              <w:keepLines w:val="0"/>
              <w:widowControl/>
              <w:suppressLineNumbers w:val="0"/>
              <w:spacing w:before="0" w:beforeAutospacing="0" w:after="0" w:afterAutospacing="0" w:line="220" w:lineRule="atLeast"/>
              <w:ind w:left="0" w:right="0"/>
              <w:jc w:val="center"/>
              <w:rPr>
                <w:rFonts w:hint="default" w:ascii="微软雅黑" w:hAnsi="微软雅黑" w:cs="微软雅黑"/>
                <w:bCs/>
                <w:kern w:val="2"/>
                <w:sz w:val="18"/>
                <w:szCs w:val="18"/>
                <w:lang w:bidi="ar"/>
              </w:rPr>
            </w:pPr>
            <w:r>
              <w:rPr>
                <w:rFonts w:hint="default" w:ascii="微软雅黑" w:hAnsi="微软雅黑" w:cs="微软雅黑"/>
                <w:bCs/>
                <w:kern w:val="2"/>
                <w:sz w:val="18"/>
                <w:szCs w:val="18"/>
                <w:lang w:bidi="ar"/>
              </w:rPr>
              <w:t>{{ row.transcript }}</w:t>
            </w:r>
          </w:p>
        </w:tc>
        <w:tc>
          <w:tcPr>
            <w:tcW w:w="495" w:type="dxa"/>
            <w:tcBorders>
              <w:tl2br w:val="nil"/>
              <w:tr2bl w:val="nil"/>
            </w:tcBorders>
            <w:vAlign w:val="center"/>
          </w:tcPr>
          <w:p w14:paraId="3D89DEF3">
            <w:pPr>
              <w:keepNext w:val="0"/>
              <w:keepLines w:val="0"/>
              <w:widowControl/>
              <w:suppressLineNumbers w:val="0"/>
              <w:spacing w:before="0" w:beforeAutospacing="0" w:after="0" w:afterAutospacing="0" w:line="220" w:lineRule="atLeast"/>
              <w:ind w:left="0" w:right="0"/>
              <w:jc w:val="center"/>
              <w:rPr>
                <w:rFonts w:hint="default" w:ascii="微软雅黑" w:hAnsi="微软雅黑" w:cs="微软雅黑"/>
                <w:bCs/>
                <w:kern w:val="2"/>
                <w:sz w:val="18"/>
                <w:szCs w:val="18"/>
                <w:lang w:bidi="ar"/>
              </w:rPr>
            </w:pPr>
            <w:r>
              <w:rPr>
                <w:rFonts w:hint="default" w:ascii="微软雅黑" w:hAnsi="微软雅黑" w:cs="微软雅黑"/>
                <w:bCs/>
                <w:kern w:val="2"/>
                <w:sz w:val="18"/>
                <w:szCs w:val="18"/>
                <w:lang w:bidi="ar"/>
              </w:rPr>
              <w:t>{{ row.chromosome }}</w:t>
            </w:r>
            <w:r>
              <w:commentReference w:id="14"/>
            </w:r>
          </w:p>
        </w:tc>
        <w:tc>
          <w:tcPr>
            <w:tcW w:w="450" w:type="dxa"/>
            <w:tcBorders>
              <w:tl2br w:val="nil"/>
              <w:tr2bl w:val="nil"/>
            </w:tcBorders>
            <w:vAlign w:val="center"/>
          </w:tcPr>
          <w:p w14:paraId="0C1D010A">
            <w:pPr>
              <w:keepNext w:val="0"/>
              <w:keepLines w:val="0"/>
              <w:widowControl/>
              <w:suppressLineNumbers w:val="0"/>
              <w:spacing w:before="0" w:beforeAutospacing="0" w:after="0" w:afterAutospacing="0" w:line="220" w:lineRule="atLeast"/>
              <w:ind w:left="0" w:right="0"/>
              <w:jc w:val="center"/>
              <w:rPr>
                <w:rFonts w:hint="default" w:ascii="微软雅黑" w:hAnsi="微软雅黑" w:cs="微软雅黑"/>
                <w:bCs/>
                <w:kern w:val="2"/>
                <w:sz w:val="18"/>
                <w:szCs w:val="18"/>
                <w:lang w:bidi="ar"/>
              </w:rPr>
            </w:pPr>
            <w:r>
              <w:rPr>
                <w:rFonts w:hint="default" w:ascii="微软雅黑" w:hAnsi="微软雅黑" w:cs="微软雅黑"/>
                <w:bCs/>
                <w:kern w:val="2"/>
                <w:sz w:val="18"/>
                <w:szCs w:val="18"/>
                <w:lang w:bidi="ar"/>
              </w:rPr>
              <w:t>{{ row.exon }}</w:t>
            </w:r>
            <w:r>
              <w:commentReference w:id="15"/>
            </w:r>
          </w:p>
        </w:tc>
        <w:tc>
          <w:tcPr>
            <w:tcW w:w="1294" w:type="dxa"/>
            <w:tcBorders>
              <w:tl2br w:val="nil"/>
              <w:tr2bl w:val="nil"/>
            </w:tcBorders>
            <w:vAlign w:val="center"/>
          </w:tcPr>
          <w:p w14:paraId="0E2E30D3">
            <w:pPr>
              <w:keepNext w:val="0"/>
              <w:keepLines w:val="0"/>
              <w:widowControl/>
              <w:suppressLineNumbers w:val="0"/>
              <w:spacing w:before="0" w:beforeAutospacing="0" w:after="0" w:afterAutospacing="0" w:line="220" w:lineRule="atLeast"/>
              <w:ind w:left="0" w:right="0"/>
              <w:jc w:val="center"/>
              <w:rPr>
                <w:rFonts w:hint="default" w:ascii="微软雅黑" w:hAnsi="微软雅黑" w:cs="微软雅黑"/>
                <w:bCs/>
                <w:kern w:val="2"/>
                <w:sz w:val="18"/>
                <w:szCs w:val="18"/>
                <w:lang w:bidi="ar"/>
              </w:rPr>
            </w:pPr>
            <w:r>
              <w:rPr>
                <w:rFonts w:hint="default" w:ascii="微软雅黑" w:hAnsi="微软雅黑" w:cs="微软雅黑"/>
                <w:bCs/>
                <w:kern w:val="2"/>
                <w:sz w:val="18"/>
                <w:szCs w:val="18"/>
                <w:lang w:bidi="ar"/>
              </w:rPr>
              <w:t>{{ row.cHGVS }}</w:t>
            </w:r>
          </w:p>
          <w:p w14:paraId="000D9AE3">
            <w:pPr>
              <w:keepNext w:val="0"/>
              <w:keepLines w:val="0"/>
              <w:widowControl/>
              <w:suppressLineNumbers w:val="0"/>
              <w:spacing w:before="0" w:beforeAutospacing="0" w:after="0" w:afterAutospacing="0" w:line="220" w:lineRule="atLeast"/>
              <w:ind w:left="0" w:right="0"/>
              <w:jc w:val="center"/>
              <w:rPr>
                <w:rFonts w:hint="default" w:ascii="微软雅黑" w:hAnsi="微软雅黑" w:cs="微软雅黑"/>
                <w:bCs/>
                <w:kern w:val="2"/>
                <w:sz w:val="18"/>
                <w:szCs w:val="18"/>
                <w:lang w:bidi="ar"/>
              </w:rPr>
            </w:pPr>
            <w:r>
              <w:rPr>
                <w:rFonts w:hint="default" w:ascii="微软雅黑" w:hAnsi="微软雅黑" w:cs="微软雅黑"/>
                <w:bCs/>
                <w:kern w:val="2"/>
                <w:sz w:val="18"/>
                <w:szCs w:val="18"/>
                <w:lang w:bidi="ar"/>
              </w:rPr>
              <w:t>{{ row.pHGVS }}</w:t>
            </w:r>
          </w:p>
        </w:tc>
        <w:tc>
          <w:tcPr>
            <w:tcW w:w="686" w:type="dxa"/>
            <w:tcBorders>
              <w:tl2br w:val="nil"/>
              <w:tr2bl w:val="nil"/>
            </w:tcBorders>
            <w:vAlign w:val="center"/>
          </w:tcPr>
          <w:p w14:paraId="0AE187AF">
            <w:pPr>
              <w:keepNext w:val="0"/>
              <w:keepLines w:val="0"/>
              <w:widowControl/>
              <w:suppressLineNumbers w:val="0"/>
              <w:spacing w:before="0" w:beforeAutospacing="0" w:after="0" w:afterAutospacing="0" w:line="220" w:lineRule="atLeast"/>
              <w:ind w:left="0" w:right="0"/>
              <w:jc w:val="center"/>
              <w:rPr>
                <w:rFonts w:hint="default" w:ascii="微软雅黑" w:hAnsi="微软雅黑" w:cs="微软雅黑"/>
                <w:bCs/>
                <w:kern w:val="2"/>
                <w:sz w:val="18"/>
                <w:szCs w:val="18"/>
                <w:lang w:bidi="ar"/>
              </w:rPr>
            </w:pPr>
            <w:r>
              <w:rPr>
                <w:rFonts w:hint="default" w:ascii="微软雅黑" w:hAnsi="微软雅黑" w:cs="微软雅黑"/>
                <w:kern w:val="2"/>
                <w:sz w:val="18"/>
                <w:szCs w:val="18"/>
              </w:rPr>
              <w:t>{{ row.mutation_type }}</w:t>
            </w:r>
            <w:r>
              <w:commentReference w:id="16"/>
            </w:r>
          </w:p>
        </w:tc>
        <w:tc>
          <w:tcPr>
            <w:tcW w:w="696" w:type="dxa"/>
            <w:tcBorders>
              <w:tl2br w:val="nil"/>
              <w:tr2bl w:val="nil"/>
            </w:tcBorders>
            <w:vAlign w:val="center"/>
          </w:tcPr>
          <w:p w14:paraId="78D588C7">
            <w:pPr>
              <w:keepNext w:val="0"/>
              <w:keepLines w:val="0"/>
              <w:widowControl/>
              <w:suppressLineNumbers w:val="0"/>
              <w:spacing w:before="0" w:beforeAutospacing="0" w:after="0" w:afterAutospacing="0" w:line="220" w:lineRule="atLeast"/>
              <w:ind w:left="0" w:right="0"/>
              <w:jc w:val="center"/>
              <w:rPr>
                <w:rFonts w:hint="default" w:ascii="微软雅黑" w:hAnsi="微软雅黑" w:cs="微软雅黑"/>
                <w:bCs/>
                <w:kern w:val="2"/>
                <w:sz w:val="18"/>
                <w:szCs w:val="18"/>
                <w:lang w:bidi="ar"/>
              </w:rPr>
            </w:pPr>
            <w:r>
              <w:rPr>
                <w:rFonts w:hint="default" w:ascii="微软雅黑" w:hAnsi="微软雅黑" w:cs="微软雅黑"/>
                <w:bCs/>
                <w:kern w:val="2"/>
                <w:sz w:val="18"/>
                <w:szCs w:val="18"/>
                <w:lang w:bidi="ar"/>
              </w:rPr>
              <w:t>{{ row.frequency }}</w:t>
            </w:r>
          </w:p>
        </w:tc>
        <w:tc>
          <w:tcPr>
            <w:tcW w:w="2469" w:type="dxa"/>
            <w:tcBorders>
              <w:tl2br w:val="nil"/>
              <w:tr2bl w:val="nil"/>
            </w:tcBorders>
            <w:shd w:val="clear" w:color="auto" w:fill="auto"/>
            <w:vAlign w:val="center"/>
          </w:tcPr>
          <w:p w14:paraId="6AF81B52">
            <w:pPr>
              <w:keepNext w:val="0"/>
              <w:keepLines w:val="0"/>
              <w:widowControl/>
              <w:suppressLineNumbers w:val="0"/>
              <w:adjustRightInd/>
              <w:snapToGrid/>
              <w:spacing w:before="0" w:beforeAutospacing="0" w:after="0" w:afterAutospacing="0" w:line="220" w:lineRule="atLeast"/>
              <w:ind w:left="0" w:right="0"/>
              <w:jc w:val="center"/>
              <w:rPr>
                <w:rFonts w:hint="eastAsia" w:ascii="微软雅黑" w:hAnsi="微软雅黑" w:eastAsia="微软雅黑" w:cs="微软雅黑"/>
                <w:bCs/>
                <w:color w:val="0000FF"/>
                <w:kern w:val="2"/>
                <w:sz w:val="18"/>
                <w:szCs w:val="18"/>
                <w:u w:val="single"/>
                <w:lang w:val="en-US" w:eastAsia="zh-CN"/>
              </w:rPr>
            </w:pPr>
            <w:r>
              <w:rPr>
                <w:rFonts w:hint="eastAsia" w:ascii="微软雅黑" w:hAnsi="微软雅黑" w:eastAsia="微软雅黑" w:cs="微软雅黑"/>
                <w:bCs/>
                <w:color w:val="0000FF"/>
                <w:kern w:val="2"/>
                <w:sz w:val="18"/>
                <w:szCs w:val="18"/>
                <w:u w:val="single"/>
                <w:lang w:val="en-US" w:eastAsia="zh-CN"/>
              </w:rPr>
              <w:t>{{ row.benefit_drugs }}</w:t>
            </w:r>
          </w:p>
        </w:tc>
        <w:tc>
          <w:tcPr>
            <w:tcW w:w="1442" w:type="dxa"/>
            <w:tcBorders>
              <w:tl2br w:val="nil"/>
              <w:tr2bl w:val="nil"/>
            </w:tcBorders>
            <w:shd w:val="clear" w:color="auto" w:fill="auto"/>
            <w:vAlign w:val="center"/>
          </w:tcPr>
          <w:p w14:paraId="7596B120">
            <w:pPr>
              <w:keepNext w:val="0"/>
              <w:keepLines w:val="0"/>
              <w:widowControl/>
              <w:suppressLineNumbers w:val="0"/>
              <w:adjustRightInd/>
              <w:snapToGrid/>
              <w:spacing w:before="0" w:beforeAutospacing="0" w:after="0" w:afterAutospacing="0" w:line="220" w:lineRule="atLeast"/>
              <w:ind w:left="0" w:leftChars="0" w:right="0" w:rightChars="0"/>
              <w:jc w:val="center"/>
              <w:rPr>
                <w:rFonts w:hint="eastAsia" w:ascii="微软雅黑" w:hAnsi="微软雅黑" w:eastAsia="微软雅黑" w:cs="微软雅黑"/>
                <w:bCs/>
                <w:color w:val="0000FF"/>
                <w:kern w:val="2"/>
                <w:sz w:val="18"/>
                <w:szCs w:val="18"/>
                <w:u w:val="single"/>
                <w:lang w:val="en-US" w:eastAsia="zh-CN" w:bidi="ar-SA"/>
              </w:rPr>
            </w:pPr>
            <w:r>
              <w:rPr>
                <w:rFonts w:hint="eastAsia" w:ascii="微软雅黑" w:hAnsi="微软雅黑" w:eastAsia="微软雅黑" w:cs="微软雅黑"/>
                <w:bCs/>
                <w:kern w:val="2"/>
                <w:sz w:val="18"/>
                <w:szCs w:val="18"/>
              </w:rPr>
              <w:t>{{ row.caution_drugs }}</w:t>
            </w:r>
          </w:p>
        </w:tc>
      </w:tr>
      <w:tr>
        <w:trPr>
          <w:trHeight w:val="0" w:hRule="auto"/>
        </w:trPr>
        <w:tc>
          <w:tcPr>
            <w:tcW w:w="0" w:type="auto"/>
          </w:tcPr>
          <w:p>
            <w:r>
              <w:t>{%tr endfor %}</w:t>
            </w:r>
          </w:p>
        </w:tc>
      </w:tr>
      <w:tr>
        <w:trPr>
          <w:trHeight w:val="0" w:hRule="auto"/>
        </w:trPr>
        <w:tc>
          <w:tcPr>
            <w:tcW w:w="0" w:type="auto"/>
          </w:tcPr>
          <w:p>
            <w:r>
              <w:t>{%tr for gene in undetected_genes %}</w:t>
            </w:r>
          </w:p>
        </w:tc>
      </w:tr>
      <w:tr w14:paraId="05459EE8">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578" w:hRule="atLeast"/>
          <w:jc w:val="center"/>
        </w:trPr>
        <w:tc>
          <w:tcPr>
            <w:tcW w:w="1143" w:type="dxa"/>
            <w:tcBorders>
              <w:tl2br w:val="nil"/>
              <w:tr2bl w:val="nil"/>
            </w:tcBorders>
            <w:vAlign w:val="center"/>
          </w:tcPr>
          <w:p w14:paraId="7A653E8B">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rPr>
            </w:pPr>
            <w:r>
              <w:commentReference w:id="17"/>
            </w:r>
            <w:r>
              <w:rPr>
                <w:rFonts w:hint="default" w:ascii="微软雅黑" w:hAnsi="微软雅黑" w:cs="微软雅黑"/>
                <w:bCs/>
                <w:kern w:val="2"/>
                <w:sz w:val="18"/>
                <w:szCs w:val="18"/>
              </w:rPr>
              <w:t>{{ gene.name }}</w:t>
            </w:r>
          </w:p>
        </w:tc>
        <w:tc>
          <w:tcPr>
            <w:tcW w:w="870" w:type="dxa"/>
            <w:tcBorders>
              <w:tl2br w:val="nil"/>
              <w:tr2bl w:val="nil"/>
            </w:tcBorders>
            <w:vAlign w:val="center"/>
          </w:tcPr>
          <w:p w14:paraId="5D9A47D5">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auto"/>
              <w:rPr>
                <w:rFonts w:hint="eastAsia" w:cs="Times New Roman"/>
                <w:kern w:val="2"/>
              </w:rPr>
            </w:pPr>
            <w:r>
              <w:rPr>
                <w:rFonts w:hint="default" w:ascii="微软雅黑" w:hAnsi="微软雅黑" w:cs="微软雅黑"/>
                <w:bCs/>
                <w:kern w:val="2"/>
                <w:sz w:val="18"/>
                <w:szCs w:val="18"/>
                <w:lang w:bidi="ar"/>
              </w:rPr>
              <w:t>{{ gene.transcript }}</w:t>
            </w:r>
          </w:p>
        </w:tc>
        <w:tc>
          <w:tcPr>
            <w:tcW w:w="495" w:type="dxa"/>
            <w:tcBorders>
              <w:tl2br w:val="nil"/>
              <w:tr2bl w:val="nil"/>
            </w:tcBorders>
            <w:vAlign w:val="center"/>
          </w:tcPr>
          <w:p w14:paraId="410763B0">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18"/>
                <w:szCs w:val="18"/>
              </w:rPr>
            </w:pPr>
            <w:r>
              <w:rPr>
                <w:rFonts w:hint="default" w:ascii="微软雅黑" w:hAnsi="微软雅黑" w:cs="微软雅黑"/>
                <w:bCs/>
                <w:kern w:val="2"/>
                <w:sz w:val="18"/>
                <w:szCs w:val="18"/>
                <w:lang w:bidi="ar"/>
              </w:rPr>
              <w:t>{{ gene.chromosome }}</w:t>
            </w:r>
          </w:p>
        </w:tc>
        <w:tc>
          <w:tcPr>
            <w:tcW w:w="450" w:type="dxa"/>
            <w:tcBorders>
              <w:tl2br w:val="nil"/>
              <w:tr2bl w:val="nil"/>
            </w:tcBorders>
            <w:vAlign w:val="center"/>
          </w:tcPr>
          <w:p w14:paraId="021F7CF9">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color w:val="000000" w:themeColor="text1"/>
                <w:kern w:val="2"/>
                <w:sz w:val="18"/>
                <w:szCs w:val="18"/>
                <w:lang w:bidi="ar"/>
                <w14:textFill>
                  <w14:solidFill>
                    <w14:schemeClr w14:val="tx1"/>
                  </w14:solidFill>
                </w14:textFill>
              </w:rPr>
            </w:pPr>
          </w:p>
        </w:tc>
        <w:tc>
          <w:tcPr>
            <w:tcW w:w="1294" w:type="dxa"/>
            <w:tcBorders>
              <w:tl2br w:val="nil"/>
              <w:tr2bl w:val="nil"/>
            </w:tcBorders>
            <w:vAlign w:val="center"/>
          </w:tcPr>
          <w:p w14:paraId="027556E7">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rPr>
            </w:pPr>
            <w:r>
              <w:rPr>
                <w:rFonts w:hint="eastAsia" w:ascii="微软雅黑" w:hAnsi="微软雅黑" w:cs="微软雅黑"/>
                <w:bCs/>
                <w:kern w:val="2"/>
                <w:sz w:val="18"/>
                <w:szCs w:val="18"/>
              </w:rPr>
              <w:t>未见突变</w:t>
            </w:r>
          </w:p>
        </w:tc>
        <w:tc>
          <w:tcPr>
            <w:tcW w:w="686" w:type="dxa"/>
            <w:tcBorders>
              <w:tl2br w:val="nil"/>
              <w:tr2bl w:val="nil"/>
            </w:tcBorders>
            <w:vAlign w:val="center"/>
          </w:tcPr>
          <w:p w14:paraId="4F1769AC">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rPr>
            </w:pPr>
            <w:r>
              <w:rPr>
                <w:rFonts w:hint="eastAsia" w:ascii="微软雅黑" w:hAnsi="微软雅黑" w:cs="微软雅黑"/>
                <w:bCs/>
                <w:kern w:val="2"/>
                <w:sz w:val="18"/>
                <w:szCs w:val="18"/>
              </w:rPr>
              <w:t>--</w:t>
            </w:r>
          </w:p>
        </w:tc>
        <w:tc>
          <w:tcPr>
            <w:tcW w:w="696" w:type="dxa"/>
            <w:tcBorders>
              <w:tl2br w:val="nil"/>
              <w:tr2bl w:val="nil"/>
            </w:tcBorders>
            <w:vAlign w:val="center"/>
          </w:tcPr>
          <w:p w14:paraId="686EF817">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rPr>
            </w:pPr>
            <w:r>
              <w:rPr>
                <w:rFonts w:hint="eastAsia" w:ascii="微软雅黑" w:hAnsi="微软雅黑" w:cs="微软雅黑"/>
                <w:bCs/>
                <w:kern w:val="2"/>
                <w:sz w:val="18"/>
                <w:szCs w:val="18"/>
              </w:rPr>
              <w:t>--</w:t>
            </w:r>
          </w:p>
        </w:tc>
        <w:tc>
          <w:tcPr>
            <w:tcW w:w="2469" w:type="dxa"/>
            <w:tcBorders>
              <w:tl2br w:val="nil"/>
              <w:tr2bl w:val="nil"/>
            </w:tcBorders>
            <w:vAlign w:val="center"/>
          </w:tcPr>
          <w:p w14:paraId="5C403E28">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rPr>
            </w:pPr>
            <w:r>
              <w:rPr>
                <w:rFonts w:hint="eastAsia" w:ascii="微软雅黑" w:hAnsi="微软雅黑" w:cs="微软雅黑"/>
                <w:bCs/>
                <w:kern w:val="2"/>
                <w:sz w:val="18"/>
                <w:szCs w:val="18"/>
              </w:rPr>
              <w:t>--</w:t>
            </w:r>
          </w:p>
        </w:tc>
        <w:tc>
          <w:tcPr>
            <w:tcW w:w="1442" w:type="dxa"/>
            <w:tcBorders>
              <w:tl2br w:val="nil"/>
              <w:tr2bl w:val="nil"/>
            </w:tcBorders>
            <w:vAlign w:val="center"/>
          </w:tcPr>
          <w:p w14:paraId="5072290F">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rPr>
            </w:pPr>
            <w:r>
              <w:rPr>
                <w:rFonts w:hint="eastAsia" w:ascii="微软雅黑" w:hAnsi="微软雅黑" w:cs="微软雅黑"/>
                <w:bCs/>
                <w:kern w:val="2"/>
                <w:sz w:val="18"/>
                <w:szCs w:val="18"/>
              </w:rPr>
              <w:t>--</w:t>
            </w:r>
          </w:p>
        </w:tc>
      </w:tr>
      <w:tr>
        <w:trPr>
          <w:trHeight w:val="0" w:hRule="auto"/>
        </w:trPr>
        <w:tc>
          <w:tcPr>
            <w:tcW w:w="0" w:type="auto"/>
          </w:tcPr>
          <w:p>
            <w:r>
              <w:t>{%tr endfor %}</w:t>
            </w:r>
          </w:p>
        </w:tc>
      </w:tr>
    </w:tbl>
    <w:p w14:paraId="724EBEA6">
      <w:pPr>
        <w:adjustRightInd/>
        <w:snapToGrid/>
        <w:spacing w:after="0" w:line="220" w:lineRule="atLeast"/>
        <w:jc w:val="both"/>
        <w:rPr>
          <w:rFonts w:ascii="微软雅黑" w:hAnsi="微软雅黑" w:cs="微软雅黑"/>
          <w:color w:val="000000"/>
          <w:sz w:val="20"/>
          <w:szCs w:val="20"/>
        </w:rPr>
      </w:pPr>
      <w:bookmarkStart w:id="83" w:name="_Toc26040"/>
      <w:bookmarkStart w:id="84" w:name="_Toc30153"/>
      <w:r>
        <w:rPr>
          <w:rFonts w:hint="eastAsia" w:ascii="微软雅黑" w:hAnsi="微软雅黑" w:cs="微软雅黑"/>
          <w:color w:val="000000"/>
          <w:sz w:val="20"/>
          <w:szCs w:val="20"/>
        </w:rPr>
        <w:t>*突变频率是指在该位点所有等位基因中，突变基因所占的百分比。上述基因变异及相应靶向药物的详细解析请见第三部分。</w:t>
      </w:r>
      <w:bookmarkEnd w:id="83"/>
      <w:bookmarkEnd w:id="84"/>
      <w:r>
        <w:rPr>
          <w:rFonts w:hint="eastAsia" w:ascii="微软雅黑" w:hAnsi="微软雅黑" w:cs="微软雅黑"/>
          <w:color w:val="000000"/>
          <w:sz w:val="20"/>
          <w:szCs w:val="20"/>
        </w:rPr>
        <w:t>上表中“未见突变”基因仅为与本癌种最相关的部分基因，此次所检测的全部基因列表请见附录。</w:t>
      </w:r>
    </w:p>
    <w:p w14:paraId="1FF8A671">
      <w:pPr>
        <w:adjustRightInd/>
        <w:snapToGrid/>
        <w:spacing w:after="0" w:line="220" w:lineRule="atLeast"/>
        <w:jc w:val="both"/>
        <w:rPr>
          <w:rFonts w:ascii="微软雅黑" w:hAnsi="微软雅黑" w:cs="微软雅黑"/>
          <w:color w:val="000000"/>
          <w:sz w:val="20"/>
          <w:szCs w:val="20"/>
        </w:rPr>
      </w:pPr>
    </w:p>
    <w:p w14:paraId="4399BCB0">
      <w:pPr>
        <w:adjustRightInd/>
        <w:snapToGrid/>
        <w:jc w:val="both"/>
        <w:rPr>
          <w:rFonts w:ascii="微软雅黑" w:hAnsi="微软雅黑" w:cs="微软雅黑"/>
          <w:kern w:val="2"/>
          <w:sz w:val="21"/>
          <w:szCs w:val="24"/>
        </w:rPr>
      </w:pPr>
      <w:r>
        <w:rPr>
          <w:rFonts w:hint="eastAsia" w:ascii="微软雅黑" w:hAnsi="微软雅黑" w:cs="微软雅黑"/>
          <w:kern w:val="2"/>
          <w:sz w:val="21"/>
          <w:szCs w:val="24"/>
        </w:rPr>
        <w:t>本次检测结果仅供参考，最终治疗方案请遵照医嘱。肿瘤基因随着病情发展存在动态变化，所以检测及分析结果只能在一定时间范围内对治疗有参考作用。如果病情发生变化（例如：转移、稳定、好转），请咨询主治医生，是否需要重新检测以调整治疗方案。</w:t>
      </w:r>
    </w:p>
    <w:p w14:paraId="3F8C857B">
      <w:pPr>
        <w:rPr>
          <w:rFonts w:ascii="微软雅黑" w:hAnsi="微软雅黑"/>
          <w:b/>
          <w:color w:val="00C4D8"/>
          <w:sz w:val="28"/>
          <w:szCs w:val="28"/>
        </w:rPr>
      </w:pPr>
      <w:r>
        <w:rPr>
          <w:rFonts w:hint="eastAsia" w:ascii="微软雅黑" w:hAnsi="微软雅黑"/>
          <w:b/>
          <w:color w:val="00C4D8"/>
          <w:sz w:val="28"/>
          <w:szCs w:val="28"/>
        </w:rPr>
        <w:br w:type="page"/>
      </w:r>
    </w:p>
    <w:p w14:paraId="363D0D1C">
      <w:pPr>
        <w:adjustRightInd/>
        <w:snapToGrid/>
        <w:spacing w:before="200" w:line="220" w:lineRule="atLeast"/>
        <w:rPr>
          <w:rFonts w:ascii="微软雅黑" w:hAnsi="微软雅黑"/>
          <w:b/>
          <w:color w:val="00C4D8"/>
          <w:sz w:val="28"/>
          <w:szCs w:val="28"/>
        </w:rPr>
      </w:pPr>
      <w:r>
        <w:rPr>
          <w:rFonts w:hint="eastAsia" w:ascii="微软雅黑" w:hAnsi="微软雅黑"/>
          <w:b/>
          <w:color w:val="00C4D8"/>
          <w:sz w:val="28"/>
          <w:szCs w:val="28"/>
        </w:rPr>
        <w:t>2</w:t>
      </w:r>
      <w:r>
        <w:rPr>
          <w:rFonts w:ascii="微软雅黑" w:hAnsi="微软雅黑"/>
          <w:b/>
          <w:color w:val="00C4D8"/>
          <w:sz w:val="28"/>
          <w:szCs w:val="28"/>
        </w:rPr>
        <w:t>.</w:t>
      </w:r>
      <w:r>
        <w:rPr>
          <w:rFonts w:hint="eastAsia" w:ascii="微软雅黑" w:hAnsi="微软雅黑"/>
          <w:b/>
          <w:color w:val="00C4D8"/>
          <w:sz w:val="28"/>
          <w:szCs w:val="28"/>
        </w:rPr>
        <w:t>2 其它潜在获益上市</w:t>
      </w:r>
      <w:r>
        <w:rPr>
          <w:rFonts w:ascii="微软雅黑" w:hAnsi="微软雅黑"/>
          <w:b/>
          <w:color w:val="00C4D8"/>
          <w:sz w:val="28"/>
          <w:szCs w:val="28"/>
        </w:rPr>
        <w:t>药物提示</w:t>
      </w:r>
      <w:r>
        <w:rPr>
          <w:rFonts w:hint="eastAsia" w:ascii="微软雅黑" w:hAnsi="微软雅黑"/>
          <w:b/>
          <w:color w:val="00C4D8"/>
          <w:sz w:val="28"/>
          <w:szCs w:val="28"/>
        </w:rPr>
        <w:t>*</w:t>
      </w:r>
      <w:bookmarkEnd w:id="79"/>
      <w:bookmarkEnd w:id="80"/>
      <w:r>
        <w:commentReference w:id="18"/>
      </w:r>
    </w:p>
    <w:p w14:paraId="3E48C0FE">
      <w:pPr>
        <w:adjustRightInd/>
        <w:snapToGrid/>
        <w:spacing w:after="100" w:line="220" w:lineRule="atLeast"/>
        <w:jc w:val="both"/>
        <w:rPr>
          <w:rFonts w:ascii="微软雅黑" w:hAnsi="微软雅黑"/>
          <w:b/>
          <w:color w:val="00C4D8"/>
          <w:sz w:val="21"/>
          <w:szCs w:val="21"/>
        </w:rPr>
      </w:pPr>
      <w:bookmarkStart w:id="85" w:name="_Toc27296"/>
      <w:bookmarkStart w:id="86" w:name="_Toc19562"/>
      <w:r>
        <w:rPr>
          <w:rFonts w:hint="eastAsia" w:ascii="微软雅黑" w:hAnsi="微软雅黑"/>
          <w:b/>
          <w:color w:val="00C4D8"/>
          <w:sz w:val="21"/>
          <w:szCs w:val="21"/>
        </w:rPr>
        <w:t>（*以下为本癌种FDA/NMPA批准的抗血管生成类的靶向药物，或国内临床实践中疗效较好的靶向药物，可以作为多线治疗的备选方案。）</w:t>
      </w:r>
    </w:p>
    <w:tbl>
      <w:tblPr>
        <w:tblStyle w:val="16"/>
        <w:tblW w:w="8728" w:type="dxa"/>
        <w:tblInd w:w="-57"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1806"/>
        <w:gridCol w:w="2539"/>
        <w:gridCol w:w="4383"/>
      </w:tblGrid>
      <w:tr w14:paraId="5AE3EC0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27" w:hRule="atLeast"/>
        </w:trPr>
        <w:tc>
          <w:tcPr>
            <w:tcW w:w="1806" w:type="dxa"/>
            <w:tcBorders>
              <w:tl2br w:val="nil"/>
              <w:tr2bl w:val="nil"/>
            </w:tcBorders>
            <w:shd w:val="clear" w:color="auto" w:fill="00C4D8"/>
            <w:vAlign w:val="center"/>
          </w:tcPr>
          <w:p w14:paraId="4D2F6D48">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b/>
                <w:color w:val="F9FBFA"/>
                <w:kern w:val="0"/>
              </w:rPr>
            </w:pPr>
            <w:r>
              <w:rPr>
                <w:rFonts w:hint="eastAsia" w:ascii="微软雅黑" w:hAnsi="微软雅黑"/>
                <w:b/>
                <w:color w:val="F9FBFA"/>
                <w:kern w:val="2"/>
                <w:sz w:val="24"/>
                <w:szCs w:val="24"/>
              </w:rPr>
              <w:t>药物名称</w:t>
            </w:r>
          </w:p>
        </w:tc>
        <w:tc>
          <w:tcPr>
            <w:tcW w:w="2539" w:type="dxa"/>
            <w:tcBorders>
              <w:tl2br w:val="nil"/>
              <w:tr2bl w:val="nil"/>
            </w:tcBorders>
            <w:shd w:val="clear" w:color="auto" w:fill="00C4D8"/>
            <w:vAlign w:val="center"/>
          </w:tcPr>
          <w:p w14:paraId="080FC067">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b/>
                <w:color w:val="F9FBFA"/>
                <w:kern w:val="0"/>
              </w:rPr>
            </w:pPr>
            <w:r>
              <w:rPr>
                <w:rFonts w:hint="eastAsia" w:ascii="微软雅黑" w:hAnsi="微软雅黑"/>
                <w:b/>
                <w:color w:val="F9FBFA"/>
                <w:kern w:val="2"/>
                <w:sz w:val="24"/>
                <w:szCs w:val="24"/>
              </w:rPr>
              <w:t>相关基因</w:t>
            </w:r>
          </w:p>
        </w:tc>
        <w:tc>
          <w:tcPr>
            <w:tcW w:w="4383" w:type="dxa"/>
            <w:tcBorders>
              <w:tl2br w:val="nil"/>
              <w:tr2bl w:val="nil"/>
            </w:tcBorders>
            <w:shd w:val="clear" w:color="auto" w:fill="00C4D8"/>
            <w:vAlign w:val="center"/>
          </w:tcPr>
          <w:p w14:paraId="369B1B65">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b/>
                <w:color w:val="F9FBFA"/>
                <w:kern w:val="0"/>
              </w:rPr>
            </w:pPr>
            <w:r>
              <w:rPr>
                <w:rFonts w:hint="eastAsia" w:ascii="微软雅黑" w:hAnsi="微软雅黑"/>
                <w:b/>
                <w:color w:val="F9FBFA"/>
                <w:kern w:val="2"/>
                <w:sz w:val="24"/>
                <w:szCs w:val="24"/>
              </w:rPr>
              <w:t>药物适应情况</w:t>
            </w:r>
          </w:p>
        </w:tc>
      </w:tr>
      <w:tr w14:paraId="1BD3398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10" w:hRule="atLeast"/>
        </w:trPr>
        <w:tc>
          <w:tcPr>
            <w:tcW w:w="1806" w:type="dxa"/>
            <w:tcBorders>
              <w:tl2br w:val="nil"/>
              <w:tr2bl w:val="nil"/>
            </w:tcBorders>
            <w:shd w:val="clear" w:color="auto" w:fill="auto"/>
            <w:vAlign w:val="center"/>
          </w:tcPr>
          <w:p w14:paraId="6EDDCB2A">
            <w:pPr>
              <w:keepNext w:val="0"/>
              <w:keepLines w:val="0"/>
              <w:widowControl/>
              <w:suppressLineNumbers w:val="0"/>
              <w:spacing w:before="0" w:beforeAutospacing="0" w:after="0" w:afterAutospacing="0"/>
              <w:ind w:left="0" w:right="0"/>
              <w:jc w:val="center"/>
              <w:rPr>
                <w:rFonts w:hint="default" w:ascii="微软雅黑" w:hAnsi="微软雅黑" w:cs="Times New Roman"/>
                <w:bCs/>
                <w:kern w:val="2"/>
                <w:sz w:val="21"/>
                <w:szCs w:val="21"/>
              </w:rPr>
            </w:pPr>
            <w:r>
              <w:rPr>
                <w:rFonts w:hint="eastAsia" w:ascii="微软雅黑" w:hAnsi="微软雅黑" w:cs="Times New Roman"/>
                <w:bCs/>
                <w:kern w:val="2"/>
                <w:sz w:val="21"/>
                <w:szCs w:val="21"/>
              </w:rPr>
              <w:t>瑞戈非尼</w:t>
            </w:r>
          </w:p>
          <w:p w14:paraId="17A64EC7">
            <w:pPr>
              <w:keepNext w:val="0"/>
              <w:keepLines w:val="0"/>
              <w:widowControl/>
              <w:suppressLineNumbers w:val="0"/>
              <w:spacing w:before="0" w:beforeAutospacing="0" w:after="0" w:afterAutospacing="0"/>
              <w:ind w:left="0" w:right="0"/>
              <w:jc w:val="center"/>
              <w:rPr>
                <w:rFonts w:hint="default" w:ascii="微软雅黑" w:hAnsi="微软雅黑" w:cs="Times New Roman"/>
                <w:bCs/>
                <w:kern w:val="2"/>
                <w:sz w:val="21"/>
                <w:szCs w:val="21"/>
              </w:rPr>
            </w:pPr>
            <w:r>
              <w:rPr>
                <w:rFonts w:hint="eastAsia" w:ascii="微软雅黑" w:hAnsi="微软雅黑" w:cs="Times New Roman"/>
                <w:bCs/>
                <w:kern w:val="2"/>
                <w:sz w:val="21"/>
                <w:szCs w:val="21"/>
              </w:rPr>
              <w:t>Regorafenib</w:t>
            </w:r>
          </w:p>
          <w:p w14:paraId="38067CD9">
            <w:pPr>
              <w:keepNext w:val="0"/>
              <w:keepLines w:val="0"/>
              <w:widowControl/>
              <w:suppressLineNumbers w:val="0"/>
              <w:spacing w:before="0" w:beforeAutospacing="0" w:after="0" w:afterAutospacing="0"/>
              <w:ind w:left="0" w:right="0"/>
              <w:jc w:val="center"/>
              <w:rPr>
                <w:rFonts w:hint="eastAsia" w:ascii="微软雅黑" w:hAnsi="微软雅黑" w:eastAsia="微软雅黑" w:cs="微软雅黑"/>
                <w:kern w:val="2"/>
                <w:sz w:val="21"/>
                <w:szCs w:val="21"/>
                <w:lang w:val="en-US" w:eastAsia="zh-CN" w:bidi="ar-SA"/>
              </w:rPr>
            </w:pPr>
            <w:r>
              <w:rPr>
                <w:rFonts w:hint="eastAsia" w:ascii="微软雅黑" w:hAnsi="微软雅黑" w:cs="Times New Roman"/>
                <w:bCs/>
                <w:kern w:val="2"/>
                <w:sz w:val="21"/>
                <w:szCs w:val="21"/>
              </w:rPr>
              <w:t>[</w:t>
            </w:r>
            <w:r>
              <w:rPr>
                <w:rFonts w:hint="eastAsia" w:ascii="微软雅黑" w:hAnsi="微软雅黑" w:cs="微软雅黑"/>
                <w:kern w:val="2"/>
                <w:sz w:val="21"/>
                <w:szCs w:val="21"/>
              </w:rPr>
              <w:t>拜万戈</w:t>
            </w:r>
            <w:r>
              <w:rPr>
                <w:rFonts w:hint="eastAsia" w:ascii="微软雅黑" w:hAnsi="微软雅黑" w:cs="Times New Roman"/>
                <w:bCs/>
                <w:kern w:val="2"/>
                <w:sz w:val="21"/>
                <w:szCs w:val="21"/>
              </w:rPr>
              <w:t>]</w:t>
            </w:r>
          </w:p>
        </w:tc>
        <w:tc>
          <w:tcPr>
            <w:tcW w:w="2539" w:type="dxa"/>
            <w:tcBorders>
              <w:tl2br w:val="nil"/>
              <w:tr2bl w:val="nil"/>
            </w:tcBorders>
            <w:shd w:val="clear" w:color="auto" w:fill="auto"/>
            <w:vAlign w:val="center"/>
          </w:tcPr>
          <w:p w14:paraId="4A867BC7">
            <w:pPr>
              <w:keepNext w:val="0"/>
              <w:keepLines w:val="0"/>
              <w:widowControl/>
              <w:suppressLineNumbers w:val="0"/>
              <w:spacing w:before="0" w:beforeAutospacing="0" w:after="0" w:afterAutospacing="0"/>
              <w:ind w:left="0" w:right="0"/>
              <w:jc w:val="center"/>
              <w:rPr>
                <w:rFonts w:hint="default" w:ascii="微软雅黑" w:hAnsi="微软雅黑" w:cs="Times New Roman"/>
                <w:bCs/>
                <w:kern w:val="2"/>
                <w:sz w:val="21"/>
                <w:szCs w:val="21"/>
              </w:rPr>
            </w:pPr>
            <w:r>
              <w:rPr>
                <w:rFonts w:hint="eastAsia" w:ascii="微软雅黑" w:hAnsi="微软雅黑" w:cs="Times New Roman"/>
                <w:bCs/>
                <w:kern w:val="2"/>
                <w:sz w:val="21"/>
                <w:szCs w:val="21"/>
              </w:rPr>
              <w:t>RET、VEGFR1、VEGFR2、VEGFR3、KIT、PDGFRα、</w:t>
            </w:r>
          </w:p>
          <w:p w14:paraId="0FD24A37">
            <w:pPr>
              <w:keepNext w:val="0"/>
              <w:keepLines w:val="0"/>
              <w:widowControl/>
              <w:suppressLineNumbers w:val="0"/>
              <w:spacing w:before="0" w:beforeAutospacing="0" w:after="0" w:afterAutospacing="0"/>
              <w:ind w:left="0" w:right="0"/>
              <w:jc w:val="center"/>
              <w:rPr>
                <w:rFonts w:hint="eastAsia" w:ascii="微软雅黑" w:hAnsi="微软雅黑" w:eastAsia="微软雅黑" w:cs="微软雅黑"/>
                <w:kern w:val="2"/>
                <w:sz w:val="21"/>
                <w:szCs w:val="21"/>
                <w:lang w:val="en-US" w:eastAsia="zh-CN" w:bidi="ar-SA"/>
              </w:rPr>
            </w:pPr>
            <w:r>
              <w:rPr>
                <w:rFonts w:hint="eastAsia" w:ascii="微软雅黑" w:hAnsi="微软雅黑" w:cs="Times New Roman"/>
                <w:bCs/>
                <w:kern w:val="2"/>
                <w:sz w:val="21"/>
                <w:szCs w:val="21"/>
              </w:rPr>
              <w:t>PDGFRβ、FGFR1、FGFR2、TIE2、DDR2、TrkA、EphA2、RAF1、BRAF、BRAF、V600E、SAPK2、PTK5、ABL</w:t>
            </w:r>
          </w:p>
        </w:tc>
        <w:tc>
          <w:tcPr>
            <w:tcW w:w="4383" w:type="dxa"/>
            <w:tcBorders>
              <w:tl2br w:val="nil"/>
              <w:tr2bl w:val="nil"/>
            </w:tcBorders>
            <w:shd w:val="clear" w:color="auto" w:fill="auto"/>
            <w:vAlign w:val="center"/>
          </w:tcPr>
          <w:p w14:paraId="2C6E4867">
            <w:pPr>
              <w:keepNext w:val="0"/>
              <w:keepLines w:val="0"/>
              <w:widowControl/>
              <w:suppressLineNumbers w:val="0"/>
              <w:spacing w:before="0" w:beforeAutospacing="0" w:after="0" w:afterAutospacing="0"/>
              <w:ind w:left="0" w:right="0" w:firstLine="420" w:firstLineChars="200"/>
              <w:jc w:val="both"/>
              <w:rPr>
                <w:rFonts w:hint="eastAsia" w:ascii="微软雅黑" w:hAnsi="微软雅黑" w:eastAsia="微软雅黑" w:cs="微软雅黑"/>
                <w:kern w:val="2"/>
                <w:sz w:val="21"/>
                <w:szCs w:val="21"/>
                <w:lang w:val="en-US" w:eastAsia="zh-CN" w:bidi="ar-SA"/>
              </w:rPr>
            </w:pPr>
            <w:r>
              <w:rPr>
                <w:rFonts w:hint="eastAsia" w:ascii="微软雅黑" w:hAnsi="微软雅黑" w:cs="微软雅黑"/>
                <w:kern w:val="2"/>
                <w:sz w:val="21"/>
                <w:szCs w:val="21"/>
              </w:rPr>
              <w:t>FDA和NMPA批准用于治疗结直肠癌、胃肠道间质瘤和肝癌。2022年结肠癌和直肠癌NCCN指南推荐</w:t>
            </w:r>
            <w:r>
              <w:rPr>
                <w:rFonts w:hint="eastAsia" w:ascii="微软雅黑" w:hAnsi="微软雅黑" w:cs="Times New Roman"/>
                <w:bCs/>
                <w:kern w:val="2"/>
                <w:sz w:val="21"/>
                <w:szCs w:val="21"/>
              </w:rPr>
              <w:t>瑞戈非尼为在所有可用方案进展的结直肠癌患者的治疗方案。2022年CSCO指南推荐</w:t>
            </w:r>
            <w:r>
              <w:rPr>
                <w:rFonts w:hint="eastAsia" w:ascii="微软雅黑" w:hAnsi="微软雅黑" w:cs="微软雅黑"/>
                <w:kern w:val="2"/>
                <w:sz w:val="21"/>
                <w:szCs w:val="21"/>
              </w:rPr>
              <w:t>瑞戈非尼</w:t>
            </w:r>
            <w:r>
              <w:rPr>
                <w:rFonts w:hint="eastAsia" w:ascii="微软雅黑" w:hAnsi="微软雅黑" w:cs="Times New Roman"/>
                <w:bCs/>
                <w:kern w:val="2"/>
                <w:sz w:val="21"/>
                <w:szCs w:val="21"/>
              </w:rPr>
              <w:t>作为化疗，或抗VEGF和抗EGFR靶向药物等现有标准治疗失败后的三线用药。</w:t>
            </w:r>
          </w:p>
        </w:tc>
      </w:tr>
      <w:tr w14:paraId="42ABF48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10" w:hRule="atLeast"/>
        </w:trPr>
        <w:tc>
          <w:tcPr>
            <w:tcW w:w="1806" w:type="dxa"/>
            <w:tcBorders>
              <w:tl2br w:val="nil"/>
              <w:tr2bl w:val="nil"/>
            </w:tcBorders>
            <w:shd w:val="clear" w:color="auto" w:fill="auto"/>
            <w:vAlign w:val="center"/>
          </w:tcPr>
          <w:p w14:paraId="58A1CBBF">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贝伐珠单抗</w:t>
            </w:r>
          </w:p>
          <w:p w14:paraId="2F173E17">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Bevacizumab</w:t>
            </w:r>
          </w:p>
          <w:p w14:paraId="5E2FAC7C">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[安维汀]</w:t>
            </w:r>
          </w:p>
        </w:tc>
        <w:tc>
          <w:tcPr>
            <w:tcW w:w="2539" w:type="dxa"/>
            <w:tcBorders>
              <w:tl2br w:val="nil"/>
              <w:tr2bl w:val="nil"/>
            </w:tcBorders>
            <w:shd w:val="clear" w:color="auto" w:fill="auto"/>
            <w:vAlign w:val="center"/>
          </w:tcPr>
          <w:p w14:paraId="0DABED4A">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VEGF</w:t>
            </w:r>
          </w:p>
        </w:tc>
        <w:tc>
          <w:tcPr>
            <w:tcW w:w="4383" w:type="dxa"/>
            <w:tcBorders>
              <w:tl2br w:val="nil"/>
              <w:tr2bl w:val="nil"/>
            </w:tcBorders>
            <w:shd w:val="clear" w:color="auto" w:fill="auto"/>
            <w:vAlign w:val="center"/>
          </w:tcPr>
          <w:p w14:paraId="5863EE73">
            <w:pPr>
              <w:keepNext w:val="0"/>
              <w:keepLines w:val="0"/>
              <w:widowControl/>
              <w:suppressLineNumbers w:val="0"/>
              <w:spacing w:before="0" w:beforeAutospacing="0" w:after="0" w:afterAutospacing="0"/>
              <w:ind w:left="0" w:right="0" w:firstLine="420"/>
              <w:jc w:val="both"/>
              <w:rPr>
                <w:rFonts w:hint="default" w:ascii="微软雅黑" w:hAnsi="微软雅黑" w:cs="微软雅黑"/>
                <w:kern w:val="2"/>
                <w:sz w:val="21"/>
                <w:szCs w:val="21"/>
              </w:rPr>
            </w:pPr>
            <w:r>
              <w:rPr>
                <w:rFonts w:hint="eastAsia" w:ascii="微软雅黑" w:hAnsi="微软雅黑" w:cs="微软雅黑"/>
                <w:kern w:val="2"/>
                <w:sz w:val="21"/>
                <w:szCs w:val="21"/>
              </w:rPr>
              <w:t>FDA批准用于治疗转移性结直肠癌、非鳞状非小细胞肺癌、胶质母细胞瘤、转移性肾细胞癌、宫颈癌、</w:t>
            </w:r>
            <w:r>
              <w:rPr>
                <w:rFonts w:hint="eastAsia" w:ascii="微软雅黑" w:hAnsi="微软雅黑" w:cs="微软雅黑"/>
                <w:kern w:val="2"/>
                <w:sz w:val="21"/>
                <w:szCs w:val="24"/>
              </w:rPr>
              <w:t>卵巢上皮癌、输卵管癌、原发性腹膜癌和肝细胞癌</w:t>
            </w:r>
            <w:r>
              <w:rPr>
                <w:rFonts w:hint="eastAsia" w:ascii="微软雅黑" w:hAnsi="微软雅黑" w:cs="微软雅黑"/>
                <w:kern w:val="2"/>
                <w:sz w:val="21"/>
                <w:szCs w:val="21"/>
              </w:rPr>
              <w:t>。NMPA批准用于治疗转移性结直肠癌、非鳞状非小细胞肺癌、胶质母细胞瘤、</w:t>
            </w:r>
            <w:r>
              <w:rPr>
                <w:rFonts w:hint="eastAsia" w:ascii="微软雅黑" w:hAnsi="微软雅黑" w:cs="微软雅黑"/>
                <w:kern w:val="2"/>
                <w:sz w:val="21"/>
                <w:szCs w:val="24"/>
              </w:rPr>
              <w:t>肝细胞癌、卵巢上皮癌、输卵管癌、原发性腹膜癌和</w:t>
            </w:r>
            <w:r>
              <w:rPr>
                <w:rFonts w:hint="eastAsia" w:ascii="微软雅黑" w:hAnsi="微软雅黑" w:cs="微软雅黑"/>
                <w:kern w:val="2"/>
                <w:sz w:val="21"/>
                <w:szCs w:val="21"/>
              </w:rPr>
              <w:t>宫颈癌。2022年结肠癌和直肠癌NCCN指南推荐多种化疗方案（FOLFIRI、FOLFOX、CAPEOX或FOLFOXIRI）联合贝伐珠单抗用于治疗结肠癌和直肠癌患者，TAS-102±贝伐珠单抗适用于接受过任意治疗方案进展的晚期结肠癌和直肠癌患者。</w:t>
            </w:r>
            <w:r>
              <w:rPr>
                <w:rFonts w:hint="eastAsia" w:ascii="微软雅黑" w:hAnsi="微软雅黑" w:cs="Times New Roman"/>
                <w:bCs/>
                <w:kern w:val="2"/>
                <w:sz w:val="21"/>
                <w:szCs w:val="21"/>
              </w:rPr>
              <w:t>2022年CSCO指南亦推荐</w:t>
            </w:r>
            <w:r>
              <w:rPr>
                <w:rFonts w:hint="eastAsia" w:ascii="微软雅黑" w:hAnsi="微软雅黑" w:cs="微软雅黑"/>
                <w:kern w:val="2"/>
                <w:sz w:val="21"/>
                <w:szCs w:val="21"/>
              </w:rPr>
              <w:t>多种化疗方案联合贝伐珠单抗用于治疗结肠癌和直肠癌患者。</w:t>
            </w:r>
          </w:p>
        </w:tc>
      </w:tr>
      <w:tr w14:paraId="624F6FB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10" w:hRule="atLeast"/>
        </w:trPr>
        <w:tc>
          <w:tcPr>
            <w:tcW w:w="1806" w:type="dxa"/>
            <w:tcBorders>
              <w:tl2br w:val="nil"/>
              <w:tr2bl w:val="nil"/>
            </w:tcBorders>
            <w:shd w:val="clear" w:color="auto" w:fill="auto"/>
            <w:vAlign w:val="center"/>
          </w:tcPr>
          <w:p w14:paraId="7437BC72">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雷莫西尤单抗</w:t>
            </w:r>
          </w:p>
          <w:p w14:paraId="26366EA0">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Ramucirumab</w:t>
            </w:r>
          </w:p>
          <w:p w14:paraId="6E861AA1">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[希冉择]</w:t>
            </w:r>
          </w:p>
        </w:tc>
        <w:tc>
          <w:tcPr>
            <w:tcW w:w="2539" w:type="dxa"/>
            <w:tcBorders>
              <w:tl2br w:val="nil"/>
              <w:tr2bl w:val="nil"/>
            </w:tcBorders>
            <w:shd w:val="clear" w:color="auto" w:fill="auto"/>
            <w:vAlign w:val="center"/>
          </w:tcPr>
          <w:p w14:paraId="5778289F">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4"/>
              </w:rPr>
            </w:pPr>
            <w:r>
              <w:rPr>
                <w:rFonts w:hint="eastAsia" w:ascii="微软雅黑" w:hAnsi="微软雅黑" w:cs="微软雅黑"/>
                <w:kern w:val="2"/>
                <w:sz w:val="21"/>
                <w:szCs w:val="21"/>
              </w:rPr>
              <w:t>VEGFR2</w:t>
            </w:r>
          </w:p>
        </w:tc>
        <w:tc>
          <w:tcPr>
            <w:tcW w:w="4383" w:type="dxa"/>
            <w:tcBorders>
              <w:tl2br w:val="nil"/>
              <w:tr2bl w:val="nil"/>
            </w:tcBorders>
            <w:shd w:val="clear" w:color="auto" w:fill="auto"/>
            <w:vAlign w:val="center"/>
          </w:tcPr>
          <w:p w14:paraId="09F916C8">
            <w:pPr>
              <w:keepNext w:val="0"/>
              <w:keepLines w:val="0"/>
              <w:widowControl/>
              <w:suppressLineNumbers w:val="0"/>
              <w:spacing w:before="0" w:beforeAutospacing="0" w:after="0" w:afterAutospacing="0"/>
              <w:ind w:left="0" w:right="0" w:firstLine="420"/>
              <w:jc w:val="both"/>
              <w:rPr>
                <w:rFonts w:hint="default" w:ascii="微软雅黑" w:hAnsi="微软雅黑" w:cs="微软雅黑"/>
                <w:kern w:val="2"/>
                <w:sz w:val="21"/>
                <w:szCs w:val="21"/>
              </w:rPr>
            </w:pPr>
            <w:r>
              <w:rPr>
                <w:rFonts w:hint="eastAsia" w:ascii="微软雅黑" w:hAnsi="微软雅黑" w:cs="微软雅黑"/>
                <w:kern w:val="2"/>
                <w:sz w:val="21"/>
                <w:szCs w:val="21"/>
              </w:rPr>
              <w:t>FDA批准用于治疗胃癌或胃食管交界处腺癌、非小细胞肺癌、结直肠癌、肝细胞癌。NMPA批准用于治疗胃癌或胃食管交界处腺癌。2022年结肠癌和直肠癌NCCN指南推荐FOLFIRI方案联合雷莫西尤单抗用于治疗结肠癌和直肠癌患者。</w:t>
            </w:r>
          </w:p>
        </w:tc>
      </w:tr>
      <w:tr w14:paraId="79BB30D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75" w:hRule="atLeast"/>
        </w:trPr>
        <w:tc>
          <w:tcPr>
            <w:tcW w:w="1806" w:type="dxa"/>
            <w:tcBorders>
              <w:tl2br w:val="nil"/>
              <w:tr2bl w:val="nil"/>
            </w:tcBorders>
            <w:shd w:val="clear" w:color="auto" w:fill="auto"/>
            <w:vAlign w:val="center"/>
          </w:tcPr>
          <w:p w14:paraId="6B9CA627">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呋喹替尼</w:t>
            </w:r>
          </w:p>
          <w:p w14:paraId="017CA194">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Fruquintinib</w:t>
            </w:r>
          </w:p>
          <w:p w14:paraId="098706F4">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[爱优特]</w:t>
            </w:r>
          </w:p>
        </w:tc>
        <w:tc>
          <w:tcPr>
            <w:tcW w:w="2539" w:type="dxa"/>
            <w:tcBorders>
              <w:tl2br w:val="nil"/>
              <w:tr2bl w:val="nil"/>
            </w:tcBorders>
            <w:shd w:val="clear" w:color="auto" w:fill="auto"/>
            <w:vAlign w:val="center"/>
          </w:tcPr>
          <w:p w14:paraId="5B62B2C3">
            <w:pPr>
              <w:keepNext w:val="0"/>
              <w:keepLines w:val="0"/>
              <w:widowControl/>
              <w:suppressLineNumbers w:val="0"/>
              <w:spacing w:before="0" w:beforeAutospacing="0" w:after="0" w:afterAutospacing="0"/>
              <w:ind w:left="0" w:right="0"/>
              <w:jc w:val="center"/>
              <w:rPr>
                <w:rFonts w:hint="eastAsia" w:ascii="微软雅黑" w:hAnsi="微软雅黑" w:eastAsia="微软雅黑" w:cs="微软雅黑"/>
                <w:kern w:val="2"/>
                <w:sz w:val="21"/>
                <w:szCs w:val="24"/>
                <w:lang w:eastAsia="zh-CN"/>
              </w:rPr>
            </w:pPr>
            <w:r>
              <w:rPr>
                <w:rFonts w:hint="eastAsia" w:ascii="微软雅黑" w:hAnsi="微软雅黑" w:cs="微软雅黑"/>
                <w:kern w:val="2"/>
                <w:sz w:val="21"/>
                <w:szCs w:val="24"/>
              </w:rPr>
              <w:t>VEGFR1</w:t>
            </w:r>
            <w:r>
              <w:rPr>
                <w:rFonts w:hint="eastAsia" w:ascii="微软雅黑" w:hAnsi="微软雅黑" w:cs="微软雅黑"/>
                <w:kern w:val="2"/>
                <w:sz w:val="21"/>
                <w:szCs w:val="24"/>
                <w:lang w:eastAsia="zh-CN"/>
              </w:rPr>
              <w:t>、</w:t>
            </w:r>
          </w:p>
          <w:p w14:paraId="3798E284">
            <w:pPr>
              <w:keepNext w:val="0"/>
              <w:keepLines w:val="0"/>
              <w:widowControl/>
              <w:suppressLineNumbers w:val="0"/>
              <w:spacing w:before="0" w:beforeAutospacing="0" w:after="0" w:afterAutospacing="0"/>
              <w:ind w:left="0" w:right="0"/>
              <w:jc w:val="center"/>
              <w:rPr>
                <w:rFonts w:hint="eastAsia" w:ascii="微软雅黑" w:hAnsi="微软雅黑" w:eastAsia="微软雅黑" w:cs="微软雅黑"/>
                <w:kern w:val="2"/>
                <w:sz w:val="21"/>
                <w:szCs w:val="24"/>
                <w:lang w:eastAsia="zh-CN"/>
              </w:rPr>
            </w:pPr>
            <w:r>
              <w:rPr>
                <w:rFonts w:hint="eastAsia" w:ascii="微软雅黑" w:hAnsi="微软雅黑" w:cs="微软雅黑"/>
                <w:kern w:val="2"/>
                <w:sz w:val="21"/>
                <w:szCs w:val="24"/>
              </w:rPr>
              <w:t>VEGFR2</w:t>
            </w:r>
            <w:r>
              <w:rPr>
                <w:rFonts w:hint="eastAsia" w:ascii="微软雅黑" w:hAnsi="微软雅黑" w:cs="微软雅黑"/>
                <w:kern w:val="2"/>
                <w:sz w:val="21"/>
                <w:szCs w:val="24"/>
                <w:lang w:eastAsia="zh-CN"/>
              </w:rPr>
              <w:t>、</w:t>
            </w:r>
          </w:p>
          <w:p w14:paraId="018C9014">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4"/>
              </w:rPr>
            </w:pPr>
            <w:r>
              <w:rPr>
                <w:rFonts w:hint="eastAsia" w:ascii="微软雅黑" w:hAnsi="微软雅黑" w:cs="微软雅黑"/>
                <w:kern w:val="2"/>
                <w:sz w:val="21"/>
                <w:szCs w:val="24"/>
              </w:rPr>
              <w:t>VEGFR3</w:t>
            </w:r>
          </w:p>
        </w:tc>
        <w:tc>
          <w:tcPr>
            <w:tcW w:w="4383" w:type="dxa"/>
            <w:tcBorders>
              <w:tl2br w:val="nil"/>
              <w:tr2bl w:val="nil"/>
            </w:tcBorders>
            <w:shd w:val="clear" w:color="auto" w:fill="auto"/>
            <w:vAlign w:val="center"/>
          </w:tcPr>
          <w:p w14:paraId="74F9F0B8">
            <w:pPr>
              <w:keepNext w:val="0"/>
              <w:keepLines w:val="0"/>
              <w:widowControl/>
              <w:suppressLineNumbers w:val="0"/>
              <w:spacing w:before="0" w:beforeAutospacing="0" w:after="0" w:afterAutospacing="0"/>
              <w:ind w:left="0" w:right="0" w:firstLine="420"/>
              <w:jc w:val="both"/>
              <w:rPr>
                <w:rFonts w:hint="default" w:ascii="微软雅黑" w:hAnsi="微软雅黑" w:cs="微软雅黑"/>
                <w:kern w:val="2"/>
                <w:sz w:val="21"/>
                <w:szCs w:val="21"/>
              </w:rPr>
            </w:pPr>
            <w:r>
              <w:rPr>
                <w:rFonts w:hint="eastAsia" w:ascii="微软雅黑" w:hAnsi="微软雅黑" w:cs="微软雅黑"/>
                <w:kern w:val="2"/>
                <w:sz w:val="21"/>
                <w:szCs w:val="21"/>
              </w:rPr>
              <w:t>NMPA批准用于治疗既往接受过氟尿嘧啶类、奥沙利铂和伊立替康为基础的化疗，以及既往接受过或不适合接受抗血管内皮生长因子（VEGF）治疗、抗表皮生长因子受体（EGFR）治疗（RAS野生型）的转移性结直肠癌患者。</w:t>
            </w:r>
            <w:r>
              <w:rPr>
                <w:rFonts w:hint="eastAsia" w:ascii="微软雅黑" w:hAnsi="微软雅黑" w:cs="Times New Roman"/>
                <w:bCs/>
                <w:kern w:val="2"/>
                <w:sz w:val="21"/>
                <w:szCs w:val="21"/>
              </w:rPr>
              <w:t>2022年CSCO指南推荐</w:t>
            </w:r>
            <w:r>
              <w:rPr>
                <w:rFonts w:hint="eastAsia" w:ascii="微软雅黑" w:hAnsi="微软雅黑" w:cs="微软雅黑"/>
                <w:kern w:val="2"/>
                <w:sz w:val="21"/>
                <w:szCs w:val="21"/>
              </w:rPr>
              <w:t>呋喹替尼用于治疗</w:t>
            </w:r>
            <w:r>
              <w:rPr>
                <w:rFonts w:hint="eastAsia" w:ascii="微软雅黑" w:hAnsi="微软雅黑" w:cs="Times New Roman"/>
                <w:bCs/>
                <w:kern w:val="2"/>
                <w:sz w:val="21"/>
                <w:szCs w:val="21"/>
              </w:rPr>
              <w:t>标准治疗失败后的结肠癌和直肠癌患者。</w:t>
            </w:r>
          </w:p>
        </w:tc>
      </w:tr>
      <w:tr w14:paraId="7DFAD5D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024" w:hRule="atLeast"/>
        </w:trPr>
        <w:tc>
          <w:tcPr>
            <w:tcW w:w="1806" w:type="dxa"/>
            <w:tcBorders>
              <w:tl2br w:val="nil"/>
              <w:tr2bl w:val="nil"/>
            </w:tcBorders>
            <w:shd w:val="clear" w:color="auto" w:fill="auto"/>
            <w:vAlign w:val="center"/>
          </w:tcPr>
          <w:p w14:paraId="2A77F4FC">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阿柏西普</w:t>
            </w:r>
          </w:p>
          <w:p w14:paraId="3FC305DE">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Ziv-aflibercept</w:t>
            </w:r>
          </w:p>
          <w:p w14:paraId="7ABA1D8F">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[ZALTRAP]</w:t>
            </w:r>
          </w:p>
        </w:tc>
        <w:tc>
          <w:tcPr>
            <w:tcW w:w="2539" w:type="dxa"/>
            <w:tcBorders>
              <w:tl2br w:val="nil"/>
              <w:tr2bl w:val="nil"/>
            </w:tcBorders>
            <w:shd w:val="clear" w:color="auto" w:fill="auto"/>
            <w:vAlign w:val="center"/>
          </w:tcPr>
          <w:p w14:paraId="3A248D7B">
            <w:pPr>
              <w:keepNext w:val="0"/>
              <w:keepLines w:val="0"/>
              <w:widowControl/>
              <w:suppressLineNumbers w:val="0"/>
              <w:spacing w:before="0" w:beforeAutospacing="0" w:after="0" w:afterAutospacing="0"/>
              <w:ind w:left="0" w:right="0"/>
              <w:jc w:val="center"/>
              <w:rPr>
                <w:rFonts w:hint="eastAsia" w:ascii="微软雅黑" w:hAnsi="微软雅黑" w:eastAsia="微软雅黑" w:cs="微软雅黑"/>
                <w:kern w:val="2"/>
                <w:sz w:val="21"/>
                <w:szCs w:val="24"/>
                <w:lang w:eastAsia="zh-CN"/>
              </w:rPr>
            </w:pPr>
            <w:r>
              <w:rPr>
                <w:rFonts w:hint="eastAsia" w:ascii="微软雅黑" w:hAnsi="微软雅黑" w:cs="微软雅黑"/>
                <w:kern w:val="2"/>
                <w:sz w:val="21"/>
                <w:szCs w:val="24"/>
              </w:rPr>
              <w:t>VEGF-A</w:t>
            </w:r>
            <w:r>
              <w:rPr>
                <w:rFonts w:hint="eastAsia" w:ascii="微软雅黑" w:hAnsi="微软雅黑" w:cs="微软雅黑"/>
                <w:kern w:val="2"/>
                <w:sz w:val="21"/>
                <w:szCs w:val="24"/>
                <w:lang w:eastAsia="zh-CN"/>
              </w:rPr>
              <w:t>、</w:t>
            </w:r>
          </w:p>
          <w:p w14:paraId="1FBB5138">
            <w:pPr>
              <w:keepNext w:val="0"/>
              <w:keepLines w:val="0"/>
              <w:widowControl/>
              <w:suppressLineNumbers w:val="0"/>
              <w:spacing w:before="0" w:beforeAutospacing="0" w:after="0" w:afterAutospacing="0"/>
              <w:ind w:left="0" w:right="0"/>
              <w:jc w:val="center"/>
              <w:rPr>
                <w:rFonts w:hint="eastAsia" w:ascii="微软雅黑" w:hAnsi="微软雅黑" w:eastAsia="微软雅黑" w:cs="微软雅黑"/>
                <w:kern w:val="2"/>
                <w:sz w:val="21"/>
                <w:szCs w:val="24"/>
                <w:lang w:eastAsia="zh-CN"/>
              </w:rPr>
            </w:pPr>
            <w:r>
              <w:rPr>
                <w:rFonts w:hint="eastAsia" w:ascii="微软雅黑" w:hAnsi="微软雅黑" w:cs="微软雅黑"/>
                <w:kern w:val="2"/>
                <w:sz w:val="21"/>
                <w:szCs w:val="24"/>
              </w:rPr>
              <w:t>VEGF-B</w:t>
            </w:r>
            <w:r>
              <w:rPr>
                <w:rFonts w:hint="eastAsia" w:ascii="微软雅黑" w:hAnsi="微软雅黑" w:cs="微软雅黑"/>
                <w:kern w:val="2"/>
                <w:sz w:val="21"/>
                <w:szCs w:val="24"/>
                <w:lang w:eastAsia="zh-CN"/>
              </w:rPr>
              <w:t>、</w:t>
            </w:r>
          </w:p>
          <w:p w14:paraId="68CEB297">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4"/>
              </w:rPr>
            </w:pPr>
            <w:r>
              <w:rPr>
                <w:rFonts w:hint="eastAsia" w:ascii="微软雅黑" w:hAnsi="微软雅黑" w:cs="微软雅黑"/>
                <w:kern w:val="2"/>
                <w:sz w:val="21"/>
                <w:szCs w:val="24"/>
              </w:rPr>
              <w:t>PIGF</w:t>
            </w:r>
          </w:p>
        </w:tc>
        <w:tc>
          <w:tcPr>
            <w:tcW w:w="4383" w:type="dxa"/>
            <w:tcBorders>
              <w:tl2br w:val="nil"/>
              <w:tr2bl w:val="nil"/>
            </w:tcBorders>
            <w:shd w:val="clear" w:color="auto" w:fill="auto"/>
            <w:vAlign w:val="center"/>
          </w:tcPr>
          <w:p w14:paraId="2084E35B">
            <w:pPr>
              <w:keepNext w:val="0"/>
              <w:keepLines w:val="0"/>
              <w:widowControl/>
              <w:suppressLineNumbers w:val="0"/>
              <w:spacing w:before="0" w:beforeAutospacing="0" w:after="0" w:afterAutospacing="0"/>
              <w:ind w:left="0" w:right="0" w:firstLine="420"/>
              <w:jc w:val="both"/>
              <w:rPr>
                <w:rFonts w:hint="default" w:ascii="微软雅黑" w:hAnsi="微软雅黑" w:cs="微软雅黑"/>
                <w:kern w:val="2"/>
                <w:sz w:val="21"/>
                <w:szCs w:val="21"/>
              </w:rPr>
            </w:pPr>
            <w:r>
              <w:rPr>
                <w:rFonts w:hint="eastAsia" w:ascii="微软雅黑" w:hAnsi="微软雅黑" w:cs="微软雅黑"/>
                <w:kern w:val="2"/>
                <w:sz w:val="21"/>
                <w:szCs w:val="21"/>
              </w:rPr>
              <w:t>FDA批准</w:t>
            </w:r>
            <w:r>
              <w:rPr>
                <w:rFonts w:hint="eastAsia" w:ascii="微软雅黑" w:hAnsi="微软雅黑" w:cs="微软雅黑"/>
                <w:kern w:val="2"/>
                <w:sz w:val="21"/>
                <w:szCs w:val="24"/>
              </w:rPr>
              <w:t>阿柏西普联合5-氟尿嘧啶、亚叶酸钙、伊立替康（FOLFIRI）用于治疗奥沙利铂治疗后耐药或疾病进展的转移性结直肠癌（mCRC）患者。</w:t>
            </w:r>
            <w:r>
              <w:rPr>
                <w:rFonts w:hint="eastAsia" w:ascii="微软雅黑" w:hAnsi="微软雅黑" w:cs="微软雅黑"/>
                <w:kern w:val="2"/>
                <w:sz w:val="21"/>
                <w:szCs w:val="21"/>
              </w:rPr>
              <w:t>2022年结肠癌和直肠癌NCCN指南推荐阿柏西普联合化疗用于治疗结肠癌和直肠癌患者。</w:t>
            </w:r>
          </w:p>
        </w:tc>
      </w:tr>
      <w:tr w14:paraId="0807A6B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1324" w:hRule="atLeast"/>
        </w:trPr>
        <w:tc>
          <w:tcPr>
            <w:tcW w:w="1806" w:type="dxa"/>
            <w:tcBorders>
              <w:tl2br w:val="nil"/>
              <w:tr2bl w:val="nil"/>
            </w:tcBorders>
            <w:shd w:val="clear" w:color="auto" w:fill="auto"/>
            <w:vAlign w:val="center"/>
          </w:tcPr>
          <w:p w14:paraId="0D025D08">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阿帕替尼</w:t>
            </w:r>
          </w:p>
          <w:p w14:paraId="2618F976">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Apatinib</w:t>
            </w:r>
          </w:p>
          <w:p w14:paraId="00B67BD0">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lang w:bidi="ar"/>
              </w:rPr>
            </w:pPr>
            <w:r>
              <w:rPr>
                <w:rFonts w:hint="eastAsia" w:ascii="微软雅黑" w:hAnsi="微软雅黑" w:cs="微软雅黑"/>
                <w:kern w:val="2"/>
                <w:sz w:val="21"/>
                <w:szCs w:val="21"/>
              </w:rPr>
              <w:t>[艾坦]</w:t>
            </w:r>
          </w:p>
        </w:tc>
        <w:tc>
          <w:tcPr>
            <w:tcW w:w="2539" w:type="dxa"/>
            <w:tcBorders>
              <w:tl2br w:val="nil"/>
              <w:tr2bl w:val="nil"/>
            </w:tcBorders>
            <w:shd w:val="clear" w:color="auto" w:fill="auto"/>
            <w:vAlign w:val="center"/>
          </w:tcPr>
          <w:p w14:paraId="6996B8B4">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4"/>
              </w:rPr>
              <w:t>VEGFR2</w:t>
            </w:r>
          </w:p>
        </w:tc>
        <w:tc>
          <w:tcPr>
            <w:tcW w:w="4383" w:type="dxa"/>
            <w:tcBorders>
              <w:tl2br w:val="nil"/>
              <w:tr2bl w:val="nil"/>
            </w:tcBorders>
            <w:shd w:val="clear" w:color="auto" w:fill="auto"/>
            <w:vAlign w:val="center"/>
          </w:tcPr>
          <w:p w14:paraId="457C856A">
            <w:pPr>
              <w:keepNext w:val="0"/>
              <w:keepLines w:val="0"/>
              <w:widowControl/>
              <w:suppressLineNumbers w:val="0"/>
              <w:spacing w:before="0" w:beforeAutospacing="0" w:after="0" w:afterAutospacing="0"/>
              <w:ind w:left="0" w:right="0" w:firstLine="420"/>
              <w:jc w:val="both"/>
              <w:rPr>
                <w:rFonts w:hint="default" w:ascii="微软雅黑" w:hAnsi="微软雅黑" w:cs="微软雅黑"/>
                <w:kern w:val="2"/>
                <w:sz w:val="21"/>
                <w:szCs w:val="21"/>
                <w:lang w:bidi="ar"/>
              </w:rPr>
            </w:pPr>
            <w:r>
              <w:rPr>
                <w:rFonts w:hint="eastAsia" w:ascii="微软雅黑" w:hAnsi="微软雅黑" w:cs="微软雅黑"/>
                <w:kern w:val="2"/>
                <w:sz w:val="21"/>
                <w:szCs w:val="21"/>
              </w:rPr>
              <w:t>NMPA批准用于治疗胃腺癌或胃食管交界处腺癌、肝细胞癌。目前在国内的临床实践中，有将阿帕替尼应用于治疗结直肠癌患者的案例，并从中观察到比较好的疗效。</w:t>
            </w:r>
          </w:p>
        </w:tc>
      </w:tr>
      <w:tr w14:paraId="13095C5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024" w:hRule="atLeast"/>
        </w:trPr>
        <w:tc>
          <w:tcPr>
            <w:tcW w:w="1806" w:type="dxa"/>
            <w:tcBorders>
              <w:tl2br w:val="nil"/>
              <w:tr2bl w:val="nil"/>
            </w:tcBorders>
            <w:shd w:val="clear" w:color="auto" w:fill="auto"/>
            <w:vAlign w:val="center"/>
          </w:tcPr>
          <w:p w14:paraId="760A97EC">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lang w:bidi="ar"/>
              </w:rPr>
            </w:pPr>
            <w:r>
              <w:rPr>
                <w:rFonts w:hint="eastAsia" w:ascii="微软雅黑" w:hAnsi="微软雅黑" w:cs="微软雅黑"/>
                <w:kern w:val="2"/>
                <w:sz w:val="21"/>
                <w:szCs w:val="21"/>
                <w:lang w:bidi="ar"/>
              </w:rPr>
              <w:t>盐酸安罗替尼</w:t>
            </w:r>
          </w:p>
          <w:p w14:paraId="65AAF245">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lang w:bidi="ar"/>
              </w:rPr>
            </w:pPr>
            <w:r>
              <w:rPr>
                <w:rFonts w:hint="eastAsia" w:ascii="微软雅黑" w:hAnsi="微软雅黑" w:cs="微软雅黑"/>
                <w:kern w:val="2"/>
                <w:sz w:val="21"/>
                <w:szCs w:val="21"/>
                <w:lang w:bidi="ar"/>
              </w:rPr>
              <w:t>Anlotinib Hydrochloride</w:t>
            </w:r>
          </w:p>
          <w:p w14:paraId="53CFDCDB">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lang w:bidi="ar"/>
              </w:rPr>
            </w:pPr>
            <w:r>
              <w:rPr>
                <w:rFonts w:hint="eastAsia" w:ascii="微软雅黑" w:hAnsi="微软雅黑" w:cs="微软雅黑"/>
                <w:kern w:val="2"/>
                <w:sz w:val="21"/>
                <w:szCs w:val="21"/>
                <w:lang w:bidi="ar"/>
              </w:rPr>
              <w:t>[福可维]</w:t>
            </w:r>
          </w:p>
        </w:tc>
        <w:tc>
          <w:tcPr>
            <w:tcW w:w="2539" w:type="dxa"/>
            <w:tcBorders>
              <w:tl2br w:val="nil"/>
              <w:tr2bl w:val="nil"/>
            </w:tcBorders>
            <w:shd w:val="clear" w:color="auto" w:fill="auto"/>
            <w:vAlign w:val="center"/>
          </w:tcPr>
          <w:p w14:paraId="776B618B">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lang w:bidi="ar"/>
              </w:rPr>
            </w:pPr>
            <w:r>
              <w:rPr>
                <w:rFonts w:hint="eastAsia" w:ascii="微软雅黑" w:hAnsi="微软雅黑" w:cs="微软雅黑"/>
                <w:kern w:val="2"/>
                <w:sz w:val="21"/>
                <w:szCs w:val="21"/>
                <w:lang w:bidi="ar"/>
              </w:rPr>
              <w:t>VEGFR1、</w:t>
            </w:r>
          </w:p>
          <w:p w14:paraId="1285F85D">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lang w:bidi="ar"/>
              </w:rPr>
            </w:pPr>
            <w:r>
              <w:rPr>
                <w:rFonts w:hint="eastAsia" w:ascii="微软雅黑" w:hAnsi="微软雅黑" w:cs="微软雅黑"/>
                <w:kern w:val="2"/>
                <w:sz w:val="21"/>
                <w:szCs w:val="21"/>
                <w:lang w:bidi="ar"/>
              </w:rPr>
              <w:t>VEGFR2、</w:t>
            </w:r>
          </w:p>
          <w:p w14:paraId="25DD928C">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lang w:bidi="ar"/>
              </w:rPr>
            </w:pPr>
            <w:r>
              <w:rPr>
                <w:rFonts w:hint="eastAsia" w:ascii="微软雅黑" w:hAnsi="微软雅黑" w:cs="微软雅黑"/>
                <w:kern w:val="2"/>
                <w:sz w:val="21"/>
                <w:szCs w:val="21"/>
                <w:lang w:bidi="ar"/>
              </w:rPr>
              <w:t>VEGFR3、</w:t>
            </w:r>
          </w:p>
          <w:p w14:paraId="1FAB17DE">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lang w:bidi="ar"/>
              </w:rPr>
            </w:pPr>
            <w:r>
              <w:rPr>
                <w:rFonts w:hint="eastAsia" w:ascii="微软雅黑" w:hAnsi="微软雅黑" w:cs="微软雅黑"/>
                <w:kern w:val="2"/>
                <w:sz w:val="21"/>
                <w:szCs w:val="21"/>
                <w:lang w:bidi="ar"/>
              </w:rPr>
              <w:t>c-KIT、</w:t>
            </w:r>
          </w:p>
          <w:p w14:paraId="13B4CE3D">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lang w:bidi="ar"/>
              </w:rPr>
            </w:pPr>
            <w:r>
              <w:rPr>
                <w:rFonts w:hint="eastAsia" w:ascii="微软雅黑" w:hAnsi="微软雅黑" w:cs="微软雅黑"/>
                <w:kern w:val="2"/>
                <w:sz w:val="21"/>
                <w:szCs w:val="21"/>
                <w:lang w:bidi="ar"/>
              </w:rPr>
              <w:t>PDGFR-β</w:t>
            </w:r>
          </w:p>
        </w:tc>
        <w:tc>
          <w:tcPr>
            <w:tcW w:w="4383" w:type="dxa"/>
            <w:tcBorders>
              <w:tl2br w:val="nil"/>
              <w:tr2bl w:val="nil"/>
            </w:tcBorders>
            <w:shd w:val="clear" w:color="auto" w:fill="auto"/>
            <w:vAlign w:val="center"/>
          </w:tcPr>
          <w:p w14:paraId="4630AA5E">
            <w:pPr>
              <w:keepNext w:val="0"/>
              <w:keepLines w:val="0"/>
              <w:widowControl/>
              <w:suppressLineNumbers w:val="0"/>
              <w:spacing w:before="0" w:beforeAutospacing="0" w:after="0" w:afterAutospacing="0"/>
              <w:ind w:left="0" w:right="0" w:firstLine="420" w:firstLineChars="200"/>
              <w:jc w:val="both"/>
              <w:rPr>
                <w:rFonts w:hint="default" w:ascii="微软雅黑" w:hAnsi="微软雅黑" w:cs="微软雅黑"/>
                <w:kern w:val="2"/>
                <w:sz w:val="21"/>
                <w:szCs w:val="21"/>
                <w:lang w:bidi="ar"/>
              </w:rPr>
            </w:pPr>
            <w:r>
              <w:rPr>
                <w:rFonts w:hint="eastAsia" w:ascii="微软雅黑" w:hAnsi="微软雅黑" w:cs="微软雅黑"/>
                <w:kern w:val="2"/>
                <w:sz w:val="21"/>
                <w:szCs w:val="21"/>
                <w:lang w:bidi="ar"/>
              </w:rPr>
              <w:t>NMPA批准用于治疗小细胞肺癌、腺泡状软组织肉瘤、透明细胞肉瘤以及既往至少接受过含蒽环类化疗方案治疗后进展或复发的其它晚期软组织肉瘤、放射性碘难治性分化型甲状腺癌、甲状腺髓样癌、非小细胞肺癌。目前有将安罗替尼用于治疗结直肠癌患者的临床试验，正在招募患者。</w:t>
            </w:r>
          </w:p>
        </w:tc>
      </w:tr>
    </w:tbl>
    <w:p w14:paraId="09F8EFC9">
      <w:pPr>
        <w:adjustRightInd/>
        <w:snapToGrid/>
        <w:spacing w:after="0" w:line="220" w:lineRule="atLeast"/>
        <w:rPr>
          <w:rFonts w:ascii="微软雅黑" w:hAnsi="微软雅黑" w:cs="微软雅黑"/>
          <w:kern w:val="2"/>
          <w:sz w:val="21"/>
          <w:szCs w:val="21"/>
        </w:rPr>
      </w:pPr>
      <w:r>
        <w:rPr>
          <w:rFonts w:hint="eastAsia" w:ascii="微软雅黑" w:hAnsi="微软雅黑" w:cs="微软雅黑"/>
          <w:kern w:val="2"/>
          <w:sz w:val="21"/>
          <w:szCs w:val="21"/>
        </w:rPr>
        <w:t xml:space="preserve">注： </w:t>
      </w:r>
    </w:p>
    <w:p w14:paraId="0BC9E81C">
      <w:pPr>
        <w:adjustRightInd/>
        <w:snapToGrid/>
        <w:spacing w:after="0" w:line="220" w:lineRule="atLeast"/>
        <w:rPr>
          <w:rFonts w:ascii="微软雅黑" w:hAnsi="微软雅黑" w:cs="微软雅黑"/>
          <w:kern w:val="2"/>
          <w:sz w:val="21"/>
          <w:szCs w:val="21"/>
        </w:rPr>
      </w:pPr>
      <w:r>
        <w:rPr>
          <w:rFonts w:hint="eastAsia" w:ascii="微软雅黑" w:hAnsi="微软雅黑" w:cs="微软雅黑"/>
          <w:kern w:val="2"/>
          <w:sz w:val="21"/>
          <w:szCs w:val="21"/>
        </w:rPr>
        <w:t>FOLFIRI，即伊立替康+亚叶酸钙+5-FU；</w:t>
      </w:r>
    </w:p>
    <w:p w14:paraId="26EAA772">
      <w:pPr>
        <w:adjustRightInd/>
        <w:snapToGrid/>
        <w:spacing w:after="0" w:line="220" w:lineRule="atLeast"/>
        <w:rPr>
          <w:rFonts w:ascii="微软雅黑" w:hAnsi="微软雅黑" w:cs="微软雅黑"/>
          <w:kern w:val="2"/>
          <w:sz w:val="21"/>
          <w:szCs w:val="21"/>
        </w:rPr>
      </w:pPr>
      <w:r>
        <w:rPr>
          <w:rFonts w:hint="eastAsia" w:ascii="微软雅黑" w:hAnsi="微软雅黑" w:cs="微软雅黑"/>
          <w:kern w:val="2"/>
          <w:sz w:val="21"/>
          <w:szCs w:val="21"/>
        </w:rPr>
        <w:t>FOLFOX，即奥沙利铂+亚叶酸钙+5-FU；</w:t>
      </w:r>
    </w:p>
    <w:p w14:paraId="6DDD81C7">
      <w:pPr>
        <w:adjustRightInd/>
        <w:snapToGrid/>
        <w:spacing w:after="0" w:line="220" w:lineRule="atLeast"/>
        <w:rPr>
          <w:rFonts w:ascii="微软雅黑" w:hAnsi="微软雅黑" w:cs="微软雅黑"/>
          <w:kern w:val="2"/>
          <w:sz w:val="21"/>
          <w:szCs w:val="21"/>
        </w:rPr>
      </w:pPr>
      <w:r>
        <w:rPr>
          <w:rFonts w:hint="eastAsia" w:ascii="微软雅黑" w:hAnsi="微软雅黑" w:cs="微软雅黑"/>
          <w:kern w:val="2"/>
          <w:sz w:val="21"/>
          <w:szCs w:val="21"/>
        </w:rPr>
        <w:t>CAPEOX，即奥沙利铂+卡培他滨；</w:t>
      </w:r>
    </w:p>
    <w:p w14:paraId="7844E60E">
      <w:pPr>
        <w:adjustRightInd/>
        <w:snapToGrid/>
        <w:spacing w:after="0" w:line="220" w:lineRule="atLeast"/>
        <w:rPr>
          <w:rFonts w:ascii="微软雅黑" w:hAnsi="微软雅黑" w:cs="微软雅黑"/>
          <w:kern w:val="2"/>
          <w:sz w:val="21"/>
          <w:szCs w:val="21"/>
        </w:rPr>
      </w:pPr>
      <w:r>
        <w:rPr>
          <w:rFonts w:hint="eastAsia" w:ascii="微软雅黑" w:hAnsi="微软雅黑" w:cs="微软雅黑"/>
          <w:kern w:val="2"/>
          <w:sz w:val="21"/>
          <w:szCs w:val="21"/>
        </w:rPr>
        <w:t>FOLFOXIRI，即伊立替康+奥沙利铂+亚叶酸钙+5-FU。</w:t>
      </w:r>
    </w:p>
    <w:p w14:paraId="6123A10C">
      <w:pPr>
        <w:adjustRightInd/>
        <w:snapToGrid/>
        <w:spacing w:before="200" w:after="80" w:line="220" w:lineRule="atLeast"/>
        <w:rPr>
          <w:rFonts w:ascii="微软雅黑" w:hAnsi="微软雅黑"/>
          <w:b/>
          <w:color w:val="00C4D8"/>
          <w:sz w:val="28"/>
          <w:szCs w:val="28"/>
        </w:rPr>
      </w:pPr>
      <w:r>
        <w:rPr>
          <w:rFonts w:hint="eastAsia" w:ascii="微软雅黑" w:hAnsi="微软雅黑"/>
          <w:b/>
          <w:color w:val="00C4D8"/>
          <w:sz w:val="28"/>
          <w:szCs w:val="28"/>
        </w:rPr>
        <w:br w:type="page"/>
      </w:r>
    </w:p>
    <w:bookmarkEnd w:id="85"/>
    <w:bookmarkEnd w:id="86"/>
    <w:p w14:paraId="1C9E9177">
      <w:pPr>
        <w:adjustRightInd/>
        <w:snapToGrid/>
        <w:spacing w:before="200" w:after="0" w:line="220" w:lineRule="atLeast"/>
        <w:jc w:val="both"/>
        <w:rPr>
          <w:rFonts w:ascii="微软雅黑" w:hAnsi="微软雅黑"/>
          <w:b/>
          <w:color w:val="00C4D8"/>
          <w:sz w:val="28"/>
          <w:szCs w:val="28"/>
        </w:rPr>
      </w:pPr>
      <w:bookmarkStart w:id="87" w:name="_Toc19901"/>
      <w:bookmarkStart w:id="88" w:name="_Toc3639"/>
      <w:bookmarkStart w:id="89" w:name="_Toc12380"/>
      <w:bookmarkStart w:id="90" w:name="_Toc4246"/>
      <w:bookmarkStart w:id="91" w:name="_Toc31019"/>
      <w:bookmarkStart w:id="92" w:name="_Toc18838"/>
      <w:bookmarkStart w:id="93" w:name="_Toc6223"/>
      <w:bookmarkStart w:id="94" w:name="_Toc5868"/>
      <w:bookmarkStart w:id="95" w:name="_Toc11221"/>
      <w:bookmarkStart w:id="96" w:name="_Toc26244"/>
      <w:bookmarkStart w:id="97" w:name="_Toc32035"/>
      <w:bookmarkStart w:id="98" w:name="_Toc32647"/>
      <w:bookmarkStart w:id="99" w:name="_Toc621"/>
      <w:bookmarkStart w:id="100" w:name="_Toc15081"/>
      <w:bookmarkStart w:id="101" w:name="_Toc25543"/>
      <w:bookmarkStart w:id="102" w:name="_Toc2116"/>
      <w:r>
        <w:rPr>
          <w:rFonts w:hint="eastAsia" w:ascii="微软雅黑" w:hAnsi="微软雅黑"/>
          <w:b/>
          <w:color w:val="00C4D8"/>
          <w:sz w:val="28"/>
          <w:szCs w:val="28"/>
        </w:rPr>
        <w:t>2.3</w:t>
      </w:r>
      <w:r>
        <w:rPr>
          <w:rFonts w:ascii="微软雅黑" w:hAnsi="微软雅黑"/>
          <w:b/>
          <w:color w:val="00C4D8"/>
          <w:sz w:val="28"/>
          <w:szCs w:val="28"/>
        </w:rPr>
        <w:t xml:space="preserve"> </w:t>
      </w:r>
      <w:bookmarkStart w:id="103" w:name="推荐临床常规靶向药物相关基因检测结果"/>
      <w:r>
        <w:rPr>
          <w:rFonts w:ascii="微软雅黑" w:hAnsi="微软雅黑"/>
          <w:b/>
          <w:color w:val="00C4D8"/>
          <w:sz w:val="28"/>
          <w:szCs w:val="28"/>
        </w:rPr>
        <w:t>NCCN 推荐临床常规靶向药物相关基因检测结果</w:t>
      </w:r>
      <w:bookmarkEnd w:id="87"/>
      <w:bookmarkEnd w:id="88"/>
      <w:bookmarkEnd w:id="89"/>
      <w:bookmarkEnd w:id="90"/>
      <w:bookmarkEnd w:id="91"/>
      <w:bookmarkEnd w:id="103"/>
      <w:r>
        <w:rPr>
          <w:rFonts w:hint="eastAsia" w:ascii="微软雅黑" w:hAnsi="微软雅黑"/>
          <w:b/>
          <w:color w:val="00C4D8"/>
          <w:sz w:val="28"/>
          <w:szCs w:val="28"/>
        </w:rPr>
        <w:t>（不限于本癌种）</w:t>
      </w:r>
    </w:p>
    <w:bookmarkEnd w:id="92"/>
    <w:bookmarkEnd w:id="93"/>
    <w:bookmarkEnd w:id="94"/>
    <w:bookmarkEnd w:id="95"/>
    <w:bookmarkEnd w:id="96"/>
    <w:bookmarkEnd w:id="97"/>
    <w:bookmarkEnd w:id="98"/>
    <w:bookmarkEnd w:id="99"/>
    <w:bookmarkEnd w:id="100"/>
    <w:bookmarkEnd w:id="101"/>
    <w:bookmarkEnd w:id="102"/>
    <w:tbl>
      <w:tblPr>
        <w:tblStyle w:val="16"/>
        <w:tblW w:w="8401" w:type="dxa"/>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1738"/>
        <w:gridCol w:w="2277"/>
        <w:gridCol w:w="4386"/>
      </w:tblGrid>
      <w:tr w14:paraId="1FC4B56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87" w:hRule="exact"/>
        </w:trPr>
        <w:tc>
          <w:tcPr>
            <w:tcW w:w="1738" w:type="dxa"/>
            <w:shd w:val="clear" w:color="auto" w:fill="00C4D8"/>
            <w:vAlign w:val="center"/>
          </w:tcPr>
          <w:p w14:paraId="0829D514">
            <w:pPr>
              <w:keepNext w:val="0"/>
              <w:keepLines w:val="0"/>
              <w:widowControl/>
              <w:suppressLineNumbers w:val="0"/>
              <w:adjustRightInd/>
              <w:snapToGrid/>
              <w:spacing w:before="0" w:beforeAutospacing="0" w:after="0" w:afterAutospacing="0"/>
              <w:ind w:left="0" w:right="0"/>
              <w:jc w:val="center"/>
              <w:rPr>
                <w:rFonts w:hint="default" w:ascii="微软雅黑" w:hAnsi="微软雅黑" w:cs="Arial Unicode MS"/>
                <w:b/>
                <w:color w:val="F9FBFA"/>
                <w:kern w:val="2"/>
                <w:sz w:val="21"/>
                <w:szCs w:val="21"/>
              </w:rPr>
            </w:pPr>
            <w:r>
              <w:rPr>
                <w:rFonts w:hint="eastAsia" w:ascii="微软雅黑" w:hAnsi="微软雅黑"/>
                <w:b/>
                <w:color w:val="F9FBFA"/>
                <w:kern w:val="2"/>
                <w:sz w:val="24"/>
                <w:szCs w:val="24"/>
              </w:rPr>
              <w:t>检测基因</w:t>
            </w:r>
          </w:p>
        </w:tc>
        <w:tc>
          <w:tcPr>
            <w:tcW w:w="2277" w:type="dxa"/>
            <w:shd w:val="clear" w:color="auto" w:fill="00C4D8"/>
            <w:vAlign w:val="center"/>
          </w:tcPr>
          <w:p w14:paraId="1B68CDEA">
            <w:pPr>
              <w:keepNext w:val="0"/>
              <w:keepLines w:val="0"/>
              <w:widowControl/>
              <w:suppressLineNumbers w:val="0"/>
              <w:adjustRightInd/>
              <w:snapToGrid/>
              <w:spacing w:before="0" w:beforeAutospacing="0" w:after="0" w:afterAutospacing="0"/>
              <w:ind w:left="0" w:right="0"/>
              <w:jc w:val="center"/>
              <w:rPr>
                <w:rFonts w:hint="default" w:ascii="微软雅黑" w:hAnsi="微软雅黑" w:cs="Arial Unicode MS"/>
                <w:b/>
                <w:color w:val="F9FBFA"/>
                <w:kern w:val="2"/>
                <w:sz w:val="21"/>
                <w:szCs w:val="21"/>
              </w:rPr>
            </w:pPr>
            <w:r>
              <w:rPr>
                <w:rFonts w:hint="eastAsia" w:ascii="微软雅黑" w:hAnsi="微软雅黑"/>
                <w:b/>
                <w:color w:val="F9FBFA"/>
                <w:kern w:val="2"/>
                <w:sz w:val="24"/>
                <w:szCs w:val="24"/>
              </w:rPr>
              <w:t>检测内容</w:t>
            </w:r>
          </w:p>
        </w:tc>
        <w:tc>
          <w:tcPr>
            <w:tcW w:w="4386" w:type="dxa"/>
            <w:shd w:val="clear" w:color="auto" w:fill="00C4D8"/>
            <w:vAlign w:val="center"/>
          </w:tcPr>
          <w:p w14:paraId="14188507">
            <w:pPr>
              <w:keepNext w:val="0"/>
              <w:keepLines w:val="0"/>
              <w:widowControl/>
              <w:suppressLineNumbers w:val="0"/>
              <w:adjustRightInd/>
              <w:snapToGrid/>
              <w:spacing w:before="0" w:beforeAutospacing="0" w:after="0" w:afterAutospacing="0"/>
              <w:ind w:left="0" w:right="0"/>
              <w:jc w:val="center"/>
              <w:rPr>
                <w:rFonts w:hint="default" w:ascii="微软雅黑" w:hAnsi="微软雅黑" w:cs="Arial Unicode MS"/>
                <w:b/>
                <w:color w:val="F9FBFA"/>
                <w:kern w:val="2"/>
                <w:sz w:val="21"/>
                <w:szCs w:val="21"/>
              </w:rPr>
            </w:pPr>
            <w:r>
              <w:rPr>
                <w:rFonts w:hint="eastAsia" w:ascii="微软雅黑" w:hAnsi="微软雅黑"/>
                <w:b/>
                <w:color w:val="F9FBFA"/>
                <w:kern w:val="2"/>
                <w:sz w:val="24"/>
                <w:szCs w:val="24"/>
              </w:rPr>
              <w:t>检测结果</w:t>
            </w:r>
          </w:p>
        </w:tc>
      </w:tr>
      {% for row in nccn_detected_rows %}
      <w:tr w14:paraId="3E8EBDF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Align w:val="center"/>
          </w:tcPr>
          <w:p w14:paraId="480771C5">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Arial Unicode MS"/>
                <w:bCs/>
                <w:kern w:val="2"/>
                <w:sz w:val="20"/>
                <w:szCs w:val="20"/>
              </w:rPr>
              <w:t>{{ row.gene }}</w:t>
            </w:r>
          </w:p>
        </w:tc>
        <w:tc>
          <w:tcPr>
            <w:tcW w:w="2277" w:type="dxa"/>
            <w:vAlign w:val="center"/>
          </w:tcPr>
          <w:p w14:paraId="3EC2DE69">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Arial Unicode MS"/>
                <w:bCs/>
                <w:kern w:val="2"/>
                <w:sz w:val="20"/>
                <w:szCs w:val="20"/>
              </w:rPr>
              <w:t>{{ row.content }}</w:t>
            </w:r>
          </w:p>
        </w:tc>
        <w:tc>
          <w:tcPr>
            <w:tcW w:w="4386" w:type="dxa"/>
            <w:vAlign w:val="center"/>
          </w:tcPr>
          <w:p w14:paraId="00961D45">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微软雅黑"/>
                <w:bCs/>
                <w:kern w:val="2"/>
                <w:sz w:val="20"/>
                <w:szCs w:val="20"/>
              </w:rPr>
              <w:t>{{ row.result }}</w:t>
            </w:r>
          </w:p>
        </w:tc>
      </w:tr>
      {% endfor %}
    </w:tbl>
    <w:p w14:paraId="7A11A733">
      <w:pPr>
        <w:adjustRightInd/>
        <w:snapToGrid/>
        <w:spacing w:after="0" w:line="220" w:lineRule="atLeast"/>
        <w:rPr>
          <w:rFonts w:ascii="微软雅黑" w:hAnsi="微软雅黑" w:cs="微软雅黑"/>
          <w:color w:val="262626"/>
          <w:sz w:val="18"/>
          <w:szCs w:val="18"/>
        </w:rPr>
      </w:pPr>
      <w:r>
        <w:rPr>
          <w:rFonts w:hint="eastAsia" w:ascii="微软雅黑" w:hAnsi="微软雅黑" w:cs="微软雅黑"/>
          <w:color w:val="262626"/>
          <w:sz w:val="18"/>
          <w:szCs w:val="18"/>
        </w:rPr>
        <w:t>注：1. 以上只列出 NCCN 指南推荐的检测基因，基因检测范围涵盖但不限于上表中列出的检测内容。</w:t>
      </w:r>
    </w:p>
    <w:p w14:paraId="775EE7E9">
      <w:pPr>
        <w:adjustRightInd/>
        <w:snapToGrid/>
        <w:spacing w:after="0" w:line="220" w:lineRule="atLeast"/>
        <w:ind w:firstLine="360" w:firstLineChars="200"/>
        <w:rPr>
          <w:rFonts w:ascii="微软雅黑" w:hAnsi="微软雅黑" w:cs="微软雅黑"/>
          <w:color w:val="262626"/>
          <w:sz w:val="18"/>
          <w:szCs w:val="18"/>
        </w:rPr>
      </w:pPr>
      <w:r>
        <w:rPr>
          <w:rFonts w:hint="eastAsia" w:ascii="微软雅黑" w:hAnsi="微软雅黑" w:cs="微软雅黑"/>
          <w:color w:val="262626"/>
          <w:sz w:val="18"/>
          <w:szCs w:val="18"/>
        </w:rPr>
        <w:t>2. 检出详情，可查</w:t>
      </w:r>
      <w:r>
        <w:rPr>
          <w:rFonts w:hint="eastAsia" w:ascii="微软雅黑" w:hAnsi="微软雅黑" w:cs="微软雅黑"/>
          <w:color w:val="000000"/>
          <w:sz w:val="18"/>
          <w:szCs w:val="18"/>
        </w:rPr>
        <w:t>看</w:t>
      </w:r>
      <w:r>
        <w:rPr>
          <w:rFonts w:hint="eastAsia" w:ascii="微软雅黑" w:hAnsi="微软雅黑" w:cs="微软雅黑"/>
          <w:color w:val="262626"/>
          <w:sz w:val="18"/>
          <w:szCs w:val="18"/>
        </w:rPr>
        <w:t>基因变异检测结果。</w:t>
      </w:r>
    </w:p>
    <w:p w14:paraId="2D07B8AF">
      <w:pPr>
        <w:adjustRightInd/>
        <w:snapToGrid/>
        <w:spacing w:after="0" w:line="220" w:lineRule="atLeast"/>
        <w:ind w:firstLine="360" w:firstLineChars="200"/>
        <w:rPr>
          <w:rFonts w:ascii="微软雅黑" w:hAnsi="微软雅黑" w:cs="微软雅黑"/>
          <w:color w:val="262626"/>
          <w:sz w:val="18"/>
          <w:szCs w:val="18"/>
        </w:rPr>
      </w:pPr>
    </w:p>
    <w:p w14:paraId="4B161EA5">
      <w:pPr>
        <w:spacing w:after="0"/>
        <w:jc w:val="both"/>
        <w:rPr>
          <w:rFonts w:ascii="微软雅黑" w:hAnsi="微软雅黑" w:cs="微软雅黑"/>
          <w:b/>
          <w:color w:val="00C4D8"/>
          <w:sz w:val="24"/>
          <w:szCs w:val="24"/>
        </w:rPr>
      </w:pPr>
      <w:r>
        <w:commentReference w:id="20"/>
      </w:r>
      <w:r>
        <w:rPr>
          <w:rFonts w:hint="eastAsia" w:ascii="微软雅黑" w:hAnsi="微软雅黑" w:cs="微软雅黑"/>
          <w:b/>
          <w:color w:val="00C4D8"/>
          <w:sz w:val="24"/>
          <w:szCs w:val="24"/>
        </w:rPr>
        <w:t>结肠癌NCCN指南（2022 V1）和直肠癌NCCN指南（2022 V1）</w:t>
      </w:r>
    </w:p>
    <w:p w14:paraId="01CB2458">
      <w:pPr>
        <w:numPr>
          <w:ilvl w:val="0"/>
          <w:numId w:val="3"/>
        </w:numPr>
        <w:spacing w:after="0"/>
        <w:jc w:val="both"/>
        <w:rPr>
          <w:rFonts w:ascii="微软雅黑" w:hAnsi="微软雅黑" w:cs="微软雅黑"/>
          <w:color w:val="00C4D8"/>
          <w:sz w:val="21"/>
          <w:szCs w:val="21"/>
        </w:rPr>
      </w:pPr>
      <w:r>
        <w:rPr>
          <w:rFonts w:hint="eastAsia" w:ascii="微软雅黑" w:hAnsi="微软雅黑" w:cs="微软雅黑"/>
          <w:color w:val="000000"/>
          <w:sz w:val="21"/>
          <w:szCs w:val="21"/>
        </w:rPr>
        <w:t>KRAS基因/NARS基因/BRAF基因野生型的结肠癌和直肠癌患者推荐西妥昔单抗/帕尼单抗±化疗（针对结肠癌：仅限于左半结肠，即</w:t>
      </w:r>
      <w:r>
        <w:rPr>
          <w:rFonts w:ascii="微软雅黑" w:hAnsi="微软雅黑" w:cs="微软雅黑"/>
          <w:color w:val="222222"/>
          <w:sz w:val="21"/>
          <w:szCs w:val="21"/>
          <w:shd w:val="clear" w:color="auto" w:fill="FFFFFF"/>
        </w:rPr>
        <w:t>脾曲至直肠</w:t>
      </w:r>
      <w:r>
        <w:rPr>
          <w:rFonts w:hint="eastAsia" w:ascii="微软雅黑" w:hAnsi="微软雅黑" w:cs="微软雅黑"/>
          <w:color w:val="222222"/>
          <w:sz w:val="21"/>
          <w:szCs w:val="21"/>
          <w:shd w:val="clear" w:color="auto" w:fill="FFFFFF"/>
        </w:rPr>
        <w:t>段</w:t>
      </w:r>
      <w:r>
        <w:rPr>
          <w:rFonts w:hint="eastAsia" w:ascii="微软雅黑" w:hAnsi="微软雅黑" w:cs="微软雅黑"/>
          <w:color w:val="000000"/>
          <w:sz w:val="21"/>
          <w:szCs w:val="21"/>
        </w:rPr>
        <w:t>）；</w:t>
      </w:r>
    </w:p>
    <w:p w14:paraId="39EB683B">
      <w:pPr>
        <w:numPr>
          <w:ilvl w:val="0"/>
          <w:numId w:val="3"/>
        </w:numPr>
        <w:spacing w:after="0"/>
        <w:jc w:val="both"/>
        <w:rPr>
          <w:rFonts w:ascii="微软雅黑" w:hAnsi="微软雅黑" w:cs="微软雅黑"/>
          <w:color w:val="00C4D8"/>
          <w:sz w:val="21"/>
          <w:szCs w:val="21"/>
        </w:rPr>
      </w:pPr>
      <w:r>
        <w:rPr>
          <w:rFonts w:hint="eastAsia" w:ascii="微软雅黑" w:hAnsi="微软雅黑" w:cs="微软雅黑"/>
          <w:sz w:val="21"/>
          <w:szCs w:val="21"/>
        </w:rPr>
        <w:t>KRAS基因和NRAS基因2、3、4号外显子已知突变的结肠癌和直肠癌患者不推荐西妥昔单抗和帕尼单抗；</w:t>
      </w:r>
    </w:p>
    <w:p w14:paraId="7542146E">
      <w:pPr>
        <w:numPr>
          <w:ilvl w:val="0"/>
          <w:numId w:val="3"/>
        </w:numPr>
        <w:spacing w:after="0"/>
        <w:jc w:val="both"/>
        <w:rPr>
          <w:rFonts w:ascii="微软雅黑" w:hAnsi="微软雅黑" w:cs="微软雅黑"/>
          <w:color w:val="00C4D8"/>
          <w:sz w:val="21"/>
          <w:szCs w:val="21"/>
        </w:rPr>
      </w:pPr>
      <w:r>
        <w:rPr>
          <w:rFonts w:hint="eastAsia" w:ascii="微软雅黑" w:hAnsi="微软雅黑" w:cs="微软雅黑"/>
          <w:sz w:val="21"/>
          <w:szCs w:val="21"/>
        </w:rPr>
        <w:t>BRAF基因V600E突变阳性的结肠癌和直肠癌患者推荐康奈非尼+西妥昔单抗/帕尼单抗；</w:t>
      </w:r>
    </w:p>
    <w:p w14:paraId="52B99B81">
      <w:pPr>
        <w:numPr>
          <w:ilvl w:val="0"/>
          <w:numId w:val="3"/>
        </w:numPr>
        <w:spacing w:after="0"/>
        <w:jc w:val="both"/>
        <w:rPr>
          <w:rFonts w:ascii="微软雅黑" w:hAnsi="微软雅黑" w:cs="微软雅黑"/>
          <w:color w:val="00C4D8"/>
          <w:sz w:val="21"/>
          <w:szCs w:val="21"/>
        </w:rPr>
      </w:pPr>
      <w:r>
        <w:rPr>
          <w:rFonts w:hint="eastAsia" w:ascii="微软雅黑" w:hAnsi="微软雅黑" w:cs="微软雅黑"/>
          <w:color w:val="000000"/>
          <w:sz w:val="21"/>
          <w:szCs w:val="21"/>
        </w:rPr>
        <w:t>HER2扩增且RAS/BRAF野生型的结肠癌和直肠癌患者推荐曲妥珠单抗+</w:t>
      </w:r>
      <w:r>
        <w:fldChar w:fldCharType="begin"/>
      </w:r>
      <w:r>
        <w:instrText xml:space="preserve"> HYPERLINK "http://www.baidu.com/link?url=z_Cosz0facbgFVcnFkx7T5GGDSMtTGnOs0mmKI6WKGHPGl76DWuxkh5ftT9dps1dqOOMejkqJ7jj9JUDal9vna" \t "https://www.baidu.com/_blank" </w:instrText>
      </w:r>
      <w:r>
        <w:fldChar w:fldCharType="separate"/>
      </w:r>
      <w:r>
        <w:rPr>
          <w:rFonts w:hint="eastAsia" w:ascii="微软雅黑" w:hAnsi="微软雅黑" w:cs="微软雅黑"/>
          <w:color w:val="000000"/>
          <w:sz w:val="21"/>
          <w:szCs w:val="21"/>
        </w:rPr>
        <w:t>帕妥珠单抗</w:t>
      </w:r>
      <w:r>
        <w:rPr>
          <w:rFonts w:hint="eastAsia" w:ascii="微软雅黑" w:hAnsi="微软雅黑" w:cs="微软雅黑"/>
          <w:color w:val="000000"/>
          <w:sz w:val="21"/>
          <w:szCs w:val="21"/>
        </w:rPr>
        <w:fldChar w:fldCharType="end"/>
      </w:r>
      <w:r>
        <w:rPr>
          <w:rFonts w:hint="eastAsia" w:ascii="微软雅黑" w:hAnsi="微软雅黑" w:cs="微软雅黑"/>
          <w:color w:val="000000"/>
          <w:sz w:val="21"/>
          <w:szCs w:val="21"/>
        </w:rPr>
        <w:t>/拉帕替尼</w:t>
      </w:r>
      <w:r>
        <w:rPr>
          <w:rFonts w:hint="eastAsia" w:ascii="微软雅黑" w:hAnsi="微软雅黑" w:cs="微软雅黑"/>
          <w:sz w:val="21"/>
          <w:szCs w:val="21"/>
        </w:rPr>
        <w:t>、</w:t>
      </w:r>
      <w:r>
        <w:rPr>
          <w:rFonts w:hint="eastAsia" w:ascii="微软雅黑" w:hAnsi="微软雅黑" w:cs="微软雅黑"/>
          <w:kern w:val="2"/>
          <w:sz w:val="21"/>
          <w:szCs w:val="21"/>
        </w:rPr>
        <w:t>德曲妥珠单抗</w:t>
      </w:r>
      <w:r>
        <w:rPr>
          <w:rFonts w:hint="eastAsia" w:ascii="微软雅黑" w:hAnsi="微软雅黑" w:cs="微软雅黑"/>
          <w:color w:val="000000"/>
          <w:sz w:val="21"/>
          <w:szCs w:val="21"/>
        </w:rPr>
        <w:t>；</w:t>
      </w:r>
    </w:p>
    <w:p w14:paraId="7644855B">
      <w:pPr>
        <w:numPr>
          <w:ilvl w:val="0"/>
          <w:numId w:val="3"/>
        </w:numPr>
        <w:spacing w:after="0"/>
        <w:jc w:val="both"/>
        <w:rPr>
          <w:rFonts w:ascii="微软雅黑" w:hAnsi="微软雅黑" w:cs="微软雅黑"/>
          <w:color w:val="00C4D8"/>
          <w:sz w:val="21"/>
          <w:szCs w:val="21"/>
        </w:rPr>
      </w:pPr>
      <w:r>
        <w:rPr>
          <w:rFonts w:hint="eastAsia" w:ascii="微软雅黑" w:hAnsi="微软雅黑" w:cs="微软雅黑"/>
          <w:sz w:val="21"/>
          <w:szCs w:val="21"/>
        </w:rPr>
        <w:t>NTRK基因融合阳性的结肠癌和直肠癌患者推荐拉罗替尼</w:t>
      </w:r>
      <w:r>
        <w:rPr>
          <w:rFonts w:hint="eastAsia" w:ascii="微软雅黑" w:hAnsi="微软雅黑" w:cs="微软雅黑"/>
          <w:color w:val="000000"/>
          <w:sz w:val="21"/>
          <w:szCs w:val="21"/>
        </w:rPr>
        <w:t>、</w:t>
      </w:r>
      <w:r>
        <w:fldChar w:fldCharType="begin"/>
      </w:r>
      <w:r>
        <w:instrText xml:space="preserve"> HYPERLINK "http://www.baidu.com/link?url=iRSZFkrWlWRnyToUBJ36cOsFFuSfIVHNYc_liWy2RGsCcnDP8rmSzqylht-BACtJe_jPjek8iwXrp1-gifZb3K" \t "https://www.baidu.com/_blank" </w:instrText>
      </w:r>
      <w:r>
        <w:fldChar w:fldCharType="separate"/>
      </w:r>
      <w:r>
        <w:rPr>
          <w:rFonts w:hint="eastAsia" w:ascii="微软雅黑" w:hAnsi="微软雅黑" w:cs="微软雅黑"/>
          <w:color w:val="000000"/>
          <w:sz w:val="21"/>
          <w:szCs w:val="21"/>
        </w:rPr>
        <w:t>恩曲替尼</w:t>
      </w:r>
      <w:r>
        <w:rPr>
          <w:rFonts w:hint="eastAsia" w:ascii="微软雅黑" w:hAnsi="微软雅黑" w:cs="微软雅黑"/>
          <w:color w:val="000000"/>
          <w:sz w:val="21"/>
          <w:szCs w:val="21"/>
        </w:rPr>
        <w:fldChar w:fldCharType="end"/>
      </w:r>
      <w:r>
        <w:rPr>
          <w:rFonts w:hint="eastAsia" w:ascii="微软雅黑" w:hAnsi="微软雅黑" w:cs="微软雅黑"/>
          <w:sz w:val="21"/>
          <w:szCs w:val="21"/>
        </w:rPr>
        <w:t>；</w:t>
      </w:r>
    </w:p>
    <w:p w14:paraId="73BA1201">
      <w:pPr>
        <w:numPr>
          <w:ilvl w:val="0"/>
          <w:numId w:val="3"/>
        </w:numPr>
        <w:spacing w:after="0"/>
        <w:jc w:val="both"/>
        <w:rPr>
          <w:rFonts w:ascii="微软雅黑" w:hAnsi="微软雅黑" w:cs="微软雅黑"/>
          <w:color w:val="00C4D8"/>
          <w:sz w:val="21"/>
          <w:szCs w:val="21"/>
        </w:rPr>
      </w:pPr>
      <w:r>
        <w:rPr>
          <w:rFonts w:hint="eastAsia" w:ascii="微软雅黑" w:hAnsi="微软雅黑" w:cs="微软雅黑"/>
          <w:sz w:val="21"/>
          <w:szCs w:val="21"/>
        </w:rPr>
        <w:t>PIK3CA基因突变与结肠癌和直肠癌患者对阿司匹林的响应有关，PIK3CA突变的患者接受阿司匹林的辅助治疗能延长生存期。非阿司匹林NSAIDS（非甾体抗炎药）更有利于预防复发，但低剂量阿司匹林更安全，能够降低患者复发和死亡的风险；</w:t>
      </w:r>
    </w:p>
    <w:p w14:paraId="5D970A98">
      <w:pPr>
        <w:numPr>
          <w:ilvl w:val="0"/>
          <w:numId w:val="3"/>
        </w:numPr>
        <w:spacing w:after="0"/>
        <w:jc w:val="both"/>
        <w:rPr>
          <w:rFonts w:ascii="微软雅黑" w:hAnsi="微软雅黑" w:cs="微软雅黑"/>
          <w:b/>
          <w:color w:val="00C4D8"/>
          <w:sz w:val="24"/>
          <w:szCs w:val="24"/>
        </w:rPr>
      </w:pPr>
      <w:r>
        <w:rPr>
          <w:rFonts w:hint="eastAsia" w:ascii="微软雅黑" w:hAnsi="微软雅黑" w:cs="微软雅黑"/>
          <w:color w:val="000000"/>
          <w:sz w:val="21"/>
          <w:szCs w:val="21"/>
        </w:rPr>
        <w:t>结肠癌或直肠癌患者推荐进行微卫星不稳定性（MSI）或错配修复（MMR）检测，MSI-H或dMMR患者推荐帕博利珠单抗、纳武利尤单抗、纳武利尤单抗+伊匹木单抗、多塔利单抗。MLH1缺失且存在BRAF V600E突变的绝大多数病例排除林奇综合征。但值得注意的是，大约1%的BRAF V600E突变（和MLH1缺失）的病例为林奇综合征；</w:t>
      </w:r>
      <w:r>
        <w:rPr>
          <w:rFonts w:hint="eastAsia" w:ascii="微软雅黑" w:hAnsi="微软雅黑" w:cs="微软雅黑"/>
          <w:color w:val="000000"/>
          <w:sz w:val="21"/>
          <w:szCs w:val="21"/>
        </w:rPr>
        <w:fldChar w:fldCharType="begin"/>
      </w:r>
      <w:r>
        <w:rPr>
          <w:rFonts w:hint="eastAsia" w:ascii="微软雅黑" w:hAnsi="微软雅黑" w:cs="微软雅黑"/>
          <w:color w:val="000000"/>
          <w:sz w:val="21"/>
          <w:szCs w:val="21"/>
        </w:rPr>
        <w:instrText xml:space="preserve"> = 2 \* ROMAN \* MERGEFORMAT </w:instrText>
      </w:r>
      <w:r>
        <w:rPr>
          <w:rFonts w:hint="eastAsia" w:ascii="微软雅黑" w:hAnsi="微软雅黑" w:cs="微软雅黑"/>
          <w:color w:val="000000"/>
          <w:sz w:val="21"/>
          <w:szCs w:val="21"/>
        </w:rPr>
        <w:fldChar w:fldCharType="separate"/>
      </w:r>
      <w:r>
        <w:rPr>
          <w:rFonts w:hint="eastAsia" w:ascii="微软雅黑" w:hAnsi="微软雅黑" w:cs="微软雅黑"/>
          <w:color w:val="000000"/>
          <w:sz w:val="21"/>
          <w:szCs w:val="21"/>
        </w:rPr>
        <w:t>II</w:t>
      </w:r>
      <w:r>
        <w:rPr>
          <w:rFonts w:hint="eastAsia" w:ascii="微软雅黑" w:hAnsi="微软雅黑" w:cs="微软雅黑"/>
          <w:color w:val="000000"/>
          <w:sz w:val="21"/>
          <w:szCs w:val="21"/>
        </w:rPr>
        <w:fldChar w:fldCharType="end"/>
      </w:r>
      <w:r>
        <w:rPr>
          <w:rFonts w:hint="eastAsia" w:ascii="微软雅黑" w:hAnsi="微软雅黑" w:cs="微软雅黑"/>
          <w:color w:val="000000"/>
          <w:sz w:val="21"/>
          <w:szCs w:val="21"/>
        </w:rPr>
        <w:t>期MSI-H的患者预后良好，可能不能从5-FU辅助治疗中获益。</w:t>
      </w:r>
    </w:p>
    <w:p w14:paraId="5DC27E2F">
      <w:pPr>
        <w:widowControl w:val="0"/>
        <w:adjustRightInd/>
        <w:spacing w:after="0"/>
        <w:jc w:val="both"/>
        <w:rPr>
          <w:rFonts w:ascii="微软雅黑" w:hAnsi="微软雅黑" w:cs="微软雅黑"/>
          <w:b/>
          <w:color w:val="00C4D8"/>
          <w:sz w:val="24"/>
          <w:szCs w:val="24"/>
        </w:rPr>
      </w:pPr>
      <w:r>
        <w:rPr>
          <w:rFonts w:hint="eastAsia" w:ascii="微软雅黑" w:hAnsi="微软雅黑" w:cs="微软雅黑"/>
          <w:b/>
          <w:color w:val="00C4D8"/>
          <w:sz w:val="24"/>
          <w:szCs w:val="24"/>
        </w:rPr>
        <w:t>结直肠癌CSCO指南（2022）</w:t>
      </w:r>
    </w:p>
    <w:p w14:paraId="0F8169D4">
      <w:pPr>
        <w:widowControl w:val="0"/>
        <w:numPr>
          <w:ilvl w:val="0"/>
          <w:numId w:val="3"/>
        </w:numPr>
        <w:adjustRightInd/>
        <w:spacing w:after="0"/>
        <w:jc w:val="both"/>
        <w:rPr>
          <w:rFonts w:ascii="微软雅黑" w:hAnsi="微软雅黑" w:cs="微软雅黑"/>
          <w:color w:val="000000"/>
          <w:sz w:val="21"/>
          <w:szCs w:val="21"/>
        </w:rPr>
      </w:pPr>
      <w:r>
        <w:rPr>
          <w:rFonts w:hint="eastAsia" w:ascii="微软雅黑" w:hAnsi="微软雅黑" w:cs="微软雅黑"/>
          <w:color w:val="000000"/>
          <w:sz w:val="21"/>
          <w:szCs w:val="21"/>
        </w:rPr>
        <w:t>潜在可切除组治疗（RAS和BRAF均野生型）：原发灶位于左侧结直肠的适合强烈治疗的患者Ⅰ级推荐化疗+西妥昔单抗（2A类），Ⅱ级推荐化疗±贝伐珠单抗（2A类）；原发灶位于右侧结肠的适合强烈治疗的患者Ⅰ级推荐化疗±贝伐珠单抗（2A类），Ⅱ级推荐化疗±西妥昔单抗（2B类），Ⅲ级推荐化疗+西妥昔单抗（2B类）；</w:t>
      </w:r>
    </w:p>
    <w:p w14:paraId="13027679">
      <w:pPr>
        <w:widowControl w:val="0"/>
        <w:numPr>
          <w:ilvl w:val="0"/>
          <w:numId w:val="3"/>
        </w:numPr>
        <w:adjustRightInd/>
        <w:spacing w:after="0"/>
        <w:jc w:val="both"/>
        <w:rPr>
          <w:rFonts w:ascii="微软雅黑" w:hAnsi="微软雅黑" w:cs="微软雅黑"/>
          <w:color w:val="000000"/>
          <w:sz w:val="21"/>
          <w:szCs w:val="21"/>
        </w:rPr>
      </w:pPr>
      <w:r>
        <w:rPr>
          <w:rFonts w:hint="eastAsia" w:ascii="微软雅黑" w:hAnsi="微软雅黑" w:cs="微软雅黑"/>
          <w:color w:val="000000"/>
          <w:sz w:val="21"/>
          <w:szCs w:val="21"/>
        </w:rPr>
        <w:t>潜在可切除组治疗（RAS或BRAF突变型）：适合强烈治疗的患者Ⅰ级推荐化疗±贝伐珠单抗（2A类）；</w:t>
      </w:r>
    </w:p>
    <w:p w14:paraId="5BFC1250">
      <w:pPr>
        <w:widowControl w:val="0"/>
        <w:numPr>
          <w:ilvl w:val="0"/>
          <w:numId w:val="3"/>
        </w:numPr>
        <w:adjustRightInd/>
        <w:spacing w:after="0"/>
        <w:jc w:val="both"/>
        <w:rPr>
          <w:rFonts w:ascii="微软雅黑" w:hAnsi="微软雅黑" w:cs="微软雅黑"/>
          <w:color w:val="000000"/>
          <w:sz w:val="21"/>
          <w:szCs w:val="21"/>
        </w:rPr>
      </w:pPr>
      <w:r>
        <w:rPr>
          <w:rFonts w:hint="eastAsia" w:ascii="微软雅黑" w:hAnsi="微软雅黑" w:cs="微软雅黑"/>
          <w:color w:val="000000"/>
          <w:sz w:val="21"/>
          <w:szCs w:val="21"/>
        </w:rPr>
        <w:t>MSI-H/dMMR的结直肠癌患者Ⅰ级推荐帕博利珠单抗（1A类）；一线未使用免疫检查点抑制剂，二线方案Ⅱ级推荐免疫检查点抑制剂（PD-1/PD-L1抑制剂）（2A类）；一线、二线未使用免疫检查点抑制剂，三线方案Ⅱ级推荐免疫检查点抑制剂（PD-1/PD-L1抑制剂）（2A类）；</w:t>
      </w:r>
    </w:p>
    <w:p w14:paraId="59E0C93E">
      <w:pPr>
        <w:widowControl w:val="0"/>
        <w:numPr>
          <w:ilvl w:val="0"/>
          <w:numId w:val="3"/>
        </w:numPr>
        <w:adjustRightInd/>
        <w:spacing w:after="0"/>
        <w:jc w:val="both"/>
        <w:rPr>
          <w:rFonts w:ascii="微软雅黑" w:hAnsi="微软雅黑" w:cs="微软雅黑"/>
          <w:color w:val="000000"/>
          <w:sz w:val="21"/>
          <w:szCs w:val="21"/>
        </w:rPr>
      </w:pPr>
      <w:r>
        <w:rPr>
          <w:rFonts w:hint="eastAsia" w:ascii="微软雅黑" w:hAnsi="微软雅黑" w:cs="微软雅黑"/>
          <w:color w:val="000000"/>
          <w:sz w:val="21"/>
          <w:szCs w:val="21"/>
        </w:rPr>
        <w:t>姑息治疗组一线方案（MSS或MSI-L/pMMR，RAS和BRAF均野生型）：原发灶位于左侧结直肠的适合强烈治疗的患者Ⅰ级推荐化疗±西妥昔单抗（1A类），Ⅱ级推荐化疗±贝伐珠单抗（1类）；原发灶位于右侧结肠的适合强烈治疗的患者Ⅰ级推荐两药化疗±贝伐珠单抗（1A类），Ⅱ级推荐三药化疗±贝伐珠单抗（1B类），化疗+西妥昔单抗（贝伐珠单抗有禁忌者）（2A类）；不适合强烈治疗的结直肠癌患者Ⅰ级推荐氟尿嘧啶类单药±贝伐珠单抗（1A类），Ⅱ级推荐西妥昔单抗单药（左半结直肠）（2B类），化疗±西妥昔单抗（2B类），化疗±贝伐珠单抗（2B类）；</w:t>
      </w:r>
    </w:p>
    <w:p w14:paraId="0714033C">
      <w:pPr>
        <w:widowControl w:val="0"/>
        <w:numPr>
          <w:ilvl w:val="0"/>
          <w:numId w:val="3"/>
        </w:numPr>
        <w:adjustRightInd/>
        <w:spacing w:after="0"/>
        <w:jc w:val="both"/>
        <w:rPr>
          <w:rFonts w:ascii="微软雅黑" w:hAnsi="微软雅黑" w:cs="微软雅黑"/>
          <w:color w:val="000000"/>
          <w:sz w:val="21"/>
          <w:szCs w:val="21"/>
        </w:rPr>
      </w:pPr>
      <w:r>
        <w:rPr>
          <w:rFonts w:hint="eastAsia" w:ascii="微软雅黑" w:hAnsi="微软雅黑" w:cs="微软雅黑"/>
          <w:color w:val="000000"/>
          <w:sz w:val="21"/>
          <w:szCs w:val="21"/>
        </w:rPr>
        <w:t>姑息治疗组一线方案（MSS或MSI-L/pMMR，RAS或BRAF突变型）：适合强烈治疗的结直肠癌患者推荐化疗±贝伐珠单抗（1类）；不适合强烈治疗的患者Ⅰ级推荐氟尿嘧啶类单药±贝伐珠单抗（1A类），Ⅱ级推荐减量的两药化疗±贝伐珠单抗（2B类）；</w:t>
      </w:r>
    </w:p>
    <w:p w14:paraId="0EFFC033">
      <w:pPr>
        <w:widowControl w:val="0"/>
        <w:numPr>
          <w:ilvl w:val="0"/>
          <w:numId w:val="3"/>
        </w:numPr>
        <w:adjustRightInd/>
        <w:spacing w:after="0"/>
        <w:jc w:val="both"/>
        <w:rPr>
          <w:rFonts w:ascii="微软雅黑" w:hAnsi="微软雅黑" w:cs="微软雅黑"/>
          <w:color w:val="000000"/>
          <w:sz w:val="21"/>
          <w:szCs w:val="21"/>
        </w:rPr>
      </w:pPr>
      <w:r>
        <w:rPr>
          <w:rFonts w:hint="eastAsia" w:ascii="微软雅黑" w:hAnsi="微软雅黑" w:cs="微软雅黑"/>
          <w:color w:val="000000"/>
          <w:sz w:val="21"/>
          <w:szCs w:val="21"/>
        </w:rPr>
        <w:t>姑息治疗组二线方案（MSS或MSI-L/pMMR，RAS和BRAF均野生型）：一线接受奥沙利铂治疗的结直肠癌患者二线方案Ⅰ级推荐化疗±西妥昔单抗/贝伐珠单抗（2A类），Ⅱ级推荐伊立替康±西妥昔单抗（2A类）、伊立替康+卡培他滨±贝伐珠单抗（1B类）；一线接受伊立替康治疗的结直肠癌患者二线方案Ⅰ级推荐推荐化疗±西妥昔单抗/贝伐珠单抗，Ⅱ级推荐伊立替康±西妥昔单抗；</w:t>
      </w:r>
    </w:p>
    <w:p w14:paraId="3801F3D9">
      <w:pPr>
        <w:widowControl w:val="0"/>
        <w:numPr>
          <w:ilvl w:val="0"/>
          <w:numId w:val="3"/>
        </w:numPr>
        <w:adjustRightInd/>
        <w:spacing w:after="0"/>
        <w:jc w:val="both"/>
        <w:rPr>
          <w:rFonts w:ascii="微软雅黑" w:hAnsi="微软雅黑" w:cs="微软雅黑"/>
          <w:color w:val="000000"/>
          <w:sz w:val="21"/>
          <w:szCs w:val="21"/>
        </w:rPr>
      </w:pPr>
      <w:r>
        <w:rPr>
          <w:rFonts w:hint="eastAsia" w:ascii="微软雅黑" w:hAnsi="微软雅黑" w:cs="微软雅黑"/>
          <w:color w:val="000000"/>
          <w:sz w:val="21"/>
          <w:szCs w:val="21"/>
        </w:rPr>
        <w:t>姑息治疗组二线方案（MSS或MSI-L/pMMR，RAS或BRAF突变型）：一线接受奥沙利铂治疗的结直肠癌患者二线方案Ⅰ级推荐化疗±贝伐珠单抗（1A类），Ⅱ级推荐伊立替康±贝伐珠单抗（2A类）、伊立替康＋卡培他滨±贝伐珠单抗（1B类），Ⅲ级推荐伊立替康+西妥昔单抗+维莫非尼（RAS野生型/BRAF V600E突变）（2B类）、BRAF抑制剂+西妥昔单抗±MEK抑制剂（RAS野生型/BRAF V600E突变）（2B类）；一线接受伊立替康治疗（MSS或MSI-L/pMMR，RAS或BRAF突变型）的结直肠癌患者二线方案Ⅰ级推荐推荐化疗±贝伐珠单抗（1A类），Ⅲ级推荐BRAF抑制剂+西妥昔单抗±MEK抑制剂（RAS野生型/BRAF V600E突变）（2B类）；</w:t>
      </w:r>
    </w:p>
    <w:p w14:paraId="61EAE631">
      <w:pPr>
        <w:widowControl w:val="0"/>
        <w:numPr>
          <w:ilvl w:val="0"/>
          <w:numId w:val="3"/>
        </w:numPr>
        <w:adjustRightInd/>
        <w:spacing w:after="0"/>
        <w:jc w:val="both"/>
        <w:rPr>
          <w:rFonts w:ascii="微软雅黑" w:hAnsi="微软雅黑" w:cs="微软雅黑"/>
          <w:color w:val="000000"/>
          <w:sz w:val="21"/>
          <w:szCs w:val="21"/>
        </w:rPr>
      </w:pPr>
      <w:r>
        <w:rPr>
          <w:rFonts w:hint="eastAsia" w:ascii="微软雅黑" w:hAnsi="微软雅黑" w:cs="微软雅黑"/>
          <w:color w:val="000000"/>
          <w:sz w:val="21"/>
          <w:szCs w:val="21"/>
        </w:rPr>
        <w:t>姑息治疗组二线方案（MSS或MSI-L/pMMR）：一线未接受奥沙利铂或伊立替康治疗的结直肠癌患者二线方案Ⅰ级推荐化疗±西妥昔单抗/贝伐珠单抗（2A类），Ⅱ级推荐伊立替康±西妥昔单抗/贝伐珠单抗（2A类）、伊立替康+卡培他滨±贝伐珠单抗（1B类），Ⅲ级推荐伊立替康+西妥昔单抗+维莫非尼（RAS野生型/BRAF V600E突变）（2B类）、BRAF抑制剂+西妥昔单抗±MEK抑制剂（RAS野生型/BRAF V600E突变）（2B类）；</w:t>
      </w:r>
    </w:p>
    <w:p w14:paraId="4FE930E0">
      <w:pPr>
        <w:widowControl w:val="0"/>
        <w:numPr>
          <w:ilvl w:val="0"/>
          <w:numId w:val="3"/>
        </w:numPr>
        <w:adjustRightInd/>
        <w:spacing w:after="0"/>
        <w:jc w:val="both"/>
        <w:rPr>
          <w:rFonts w:ascii="微软雅黑" w:hAnsi="微软雅黑" w:cs="微软雅黑"/>
          <w:color w:val="000000"/>
          <w:sz w:val="21"/>
          <w:szCs w:val="21"/>
        </w:rPr>
      </w:pPr>
      <w:r>
        <w:rPr>
          <w:rFonts w:hint="eastAsia" w:ascii="微软雅黑" w:hAnsi="微软雅黑" w:cs="微软雅黑"/>
          <w:color w:val="000000"/>
          <w:sz w:val="21"/>
          <w:szCs w:val="21"/>
        </w:rPr>
        <w:t>姑息治疗组三线方案（MSS或MSI-L/pMMR，RAS和BRAF均野生型）：已接受过奥沙利铂和伊立替康治疗的结直肠癌患者三线方案Ⅰ级推荐西妥昔单抗±伊立替康（之前未行西妥昔单抗治疗）（1A类）、瑞戈非尼（1A类）、呋喹替尼（1A类），Ⅲ级推荐抗HER2治疗（HER2扩增）（2B类）、曲氟尿苷替匹嘧啶＋贝伐珠单抗（2B类）、西妥昔单抗±伊立替康（之前接受过西妥昔单抗治疗）（3类）；</w:t>
      </w:r>
    </w:p>
    <w:p w14:paraId="0BDF3325">
      <w:pPr>
        <w:numPr>
          <w:ilvl w:val="0"/>
          <w:numId w:val="3"/>
        </w:numPr>
        <w:adjustRightInd/>
        <w:snapToGrid/>
        <w:spacing w:after="0"/>
        <w:jc w:val="both"/>
        <w:rPr>
          <w:rFonts w:ascii="微软雅黑" w:hAnsi="微软雅黑" w:cs="微软雅黑"/>
          <w:b/>
          <w:color w:val="00C4D8"/>
          <w:sz w:val="24"/>
          <w:szCs w:val="24"/>
        </w:rPr>
      </w:pPr>
      <w:r>
        <w:rPr>
          <w:rFonts w:hint="eastAsia" w:ascii="微软雅黑" w:hAnsi="微软雅黑" w:cs="微软雅黑"/>
          <w:color w:val="000000"/>
          <w:sz w:val="21"/>
          <w:szCs w:val="21"/>
        </w:rPr>
        <w:t>姑息治疗组三线方案（MSS或MSI-L/pMMR，RAS或BRAF突变型）：已接受过奥沙利铂和伊立替康治疗的结直肠癌患者三线方案Ⅰ级推荐瑞戈非尼（1A类）、呋喹替尼（1A类），Ⅲ级推荐伊立替康+西妥昔单抗+维莫非尼（RAS野生型/BRAF V600E突变）（2B类）、BRAF抑制剂+西妥昔单抗±MEK抑制剂（RAS野生型/BRAF V600E突变）（2B类）、曲氟尿苷替匹嘧啶＋贝伐珠单抗（2B类）。</w:t>
      </w:r>
    </w:p>
    <w:p w14:paraId="57B72DFF">
      <w:pPr>
        <w:numPr>
          <w:ilvl w:val="255"/>
          <w:numId w:val="0"/>
        </w:numPr>
        <w:adjustRightInd/>
        <w:snapToGrid/>
        <w:spacing w:after="0" w:line="228" w:lineRule="auto"/>
        <w:jc w:val="both"/>
        <w:rPr>
          <w:rFonts w:ascii="微软雅黑" w:hAnsi="微软雅黑" w:cs="微软雅黑"/>
          <w:color w:val="00C4D8"/>
          <w:sz w:val="21"/>
          <w:szCs w:val="21"/>
        </w:rPr>
      </w:pPr>
    </w:p>
    <w:p w14:paraId="1E4D6F0B">
      <w:pPr>
        <w:rPr>
          <w:rFonts w:ascii="微软雅黑" w:hAnsi="微软雅黑" w:cs="微软雅黑"/>
          <w:sz w:val="21"/>
          <w:szCs w:val="21"/>
        </w:rPr>
      </w:pPr>
      <w:r>
        <w:rPr>
          <w:rFonts w:hint="eastAsia" w:ascii="微软雅黑" w:hAnsi="微软雅黑" w:cs="微软雅黑"/>
          <w:sz w:val="21"/>
          <w:szCs w:val="21"/>
        </w:rPr>
        <w:br w:type="page"/>
      </w:r>
    </w:p>
    <w:p w14:paraId="33D7048A">
      <w:pPr>
        <w:numPr>
          <w:ilvl w:val="255"/>
          <w:numId w:val="0"/>
        </w:numPr>
        <w:adjustRightInd/>
        <w:snapToGrid/>
        <w:spacing w:after="0" w:line="220" w:lineRule="atLeast"/>
        <w:outlineLvl w:val="0"/>
        <w:rPr>
          <w:rFonts w:ascii="微软雅黑" w:hAnsi="微软雅黑"/>
          <w:b/>
          <w:color w:val="00C4D8"/>
          <w:sz w:val="32"/>
          <w:szCs w:val="32"/>
        </w:rPr>
      </w:pPr>
      <w:bookmarkStart w:id="104" w:name="_Toc31097"/>
      <w:bookmarkStart w:id="105" w:name="_Toc31274"/>
      <w:bookmarkStart w:id="106" w:name="_Toc28714"/>
      <w:bookmarkStart w:id="107" w:name="_Toc6327"/>
      <w:bookmarkStart w:id="108" w:name="肿瘤突变负荷（TMB）水平提示"/>
      <w:bookmarkStart w:id="109" w:name="肿瘤突变负荷（TMB）水平提示杨传敏"/>
      <w:bookmarkStart w:id="110" w:name="_Toc21388"/>
      <w:bookmarkStart w:id="111" w:name="_Toc10173"/>
      <w:bookmarkStart w:id="112" w:name="_Toc11092"/>
      <w:bookmarkStart w:id="113" w:name="_Toc9198"/>
      <w:bookmarkStart w:id="114" w:name="_Toc22245"/>
      <w:bookmarkStart w:id="115" w:name="_Toc18298"/>
      <w:bookmarkStart w:id="116" w:name="_Toc28845"/>
      <w:bookmarkStart w:id="117" w:name="_Toc1459"/>
      <w:bookmarkStart w:id="118" w:name="_Toc29653"/>
      <w:bookmarkStart w:id="119" w:name="_Toc5886"/>
      <w:bookmarkStart w:id="120" w:name="_Toc5877"/>
      <w:r>
        <w:rPr>
          <w:rFonts w:hint="eastAsia" w:ascii="微软雅黑" w:hAnsi="微软雅黑"/>
          <w:b/>
          <w:color w:val="00C4D8"/>
          <w:sz w:val="32"/>
          <w:szCs w:val="32"/>
        </w:rPr>
        <w:t>3. 免疫治疗疗效评估</w:t>
      </w:r>
      <w:bookmarkEnd w:id="104"/>
    </w:p>
    <w:p w14:paraId="29403A30">
      <w:pPr>
        <w:adjustRightInd/>
        <w:snapToGrid/>
        <w:spacing w:before="200" w:line="220" w:lineRule="atLeast"/>
        <w:rPr>
          <w:rFonts w:ascii="微软雅黑" w:hAnsi="微软雅黑"/>
          <w:b/>
          <w:color w:val="00C4D8"/>
          <w:sz w:val="28"/>
          <w:szCs w:val="28"/>
        </w:rPr>
      </w:pPr>
      <w:bookmarkStart w:id="121" w:name="OLE_LINK4"/>
      <w:r>
        <w:rPr>
          <w:rFonts w:hint="eastAsia" w:ascii="微软雅黑" w:hAnsi="微软雅黑"/>
          <w:b/>
          <w:color w:val="00C4D8"/>
          <w:sz w:val="28"/>
          <w:szCs w:val="28"/>
        </w:rPr>
        <w:t>3.1 肿瘤突变负荷（TMB）水平提示</w:t>
      </w:r>
      <w:bookmarkEnd w:id="105"/>
      <w:bookmarkEnd w:id="106"/>
      <w:bookmarkEnd w:id="107"/>
    </w:p>
    <w:bookmarkEnd w:id="108"/>
    <w:bookmarkEnd w:id="109"/>
    <w:bookmarkEnd w:id="121"/>
    <w:p w14:paraId="7AC94F57">
      <w:pPr>
        <w:numPr>
          <w:ilvl w:val="255"/>
          <w:numId w:val="0"/>
        </w:numPr>
        <w:spacing w:after="0" w:line="236" w:lineRule="auto"/>
        <w:ind w:firstLine="420" w:firstLineChars="200"/>
        <w:jc w:val="both"/>
        <w:rPr>
          <w:rFonts w:ascii="微软雅黑" w:hAnsi="微软雅黑" w:cs="微软雅黑"/>
          <w:sz w:val="21"/>
          <w:szCs w:val="21"/>
        </w:rPr>
      </w:pPr>
      <w:bookmarkStart w:id="122" w:name="OLE_LINK29"/>
      <w:r>
        <w:rPr>
          <w:rFonts w:hint="eastAsia" w:ascii="微软雅黑" w:hAnsi="微软雅黑" w:cs="Arial Unicode MS"/>
          <w:b/>
          <w:bCs/>
          <w:kern w:val="2"/>
          <w:sz w:val="21"/>
          <w:szCs w:val="21"/>
        </w:rPr>
        <w:t>在本次检测范围内，该样本</w:t>
      </w:r>
      <w:r>
        <w:rPr>
          <w:rFonts w:hint="eastAsia" w:ascii="微软雅黑" w:hAnsi="微软雅黑" w:cs="微软雅黑"/>
          <w:b/>
          <w:bCs/>
          <w:sz w:val="21"/>
          <w:szCs w:val="21"/>
        </w:rPr>
        <w:t>肿瘤突变负荷为</w:t>
      </w:r>
      <w:commentRangeStart w:id="21"/>
      <w:r>
        <w:rPr>
          <w:rFonts w:hint="eastAsia" w:ascii="微软雅黑" w:hAnsi="微软雅黑" w:cs="微软雅黑"/>
          <w:b/>
          <w:bCs/>
          <w:sz w:val="21"/>
          <w:szCs w:val="21"/>
          <w:lang w:val="en-US" w:eastAsia="zh-CN"/>
        </w:rPr>
        <w:t>{{ tmb_value }}</w:t>
      </w:r>
      <w:commentRangeEnd w:id="21"/>
      <w:r>
        <w:commentReference w:id="21"/>
      </w:r>
      <w:r>
        <w:rPr>
          <w:rFonts w:hint="eastAsia" w:ascii="微软雅黑" w:hAnsi="微软雅黑" w:cs="微软雅黑"/>
          <w:b/>
          <w:bCs/>
          <w:sz w:val="21"/>
          <w:szCs w:val="21"/>
          <w:lang w:val="en-US" w:eastAsia="zh-CN"/>
        </w:rPr>
        <w:t xml:space="preserve"> </w:t>
      </w:r>
      <w:r>
        <w:rPr>
          <w:rFonts w:hint="eastAsia" w:ascii="微软雅黑" w:hAnsi="微软雅黑" w:cs="微软雅黑"/>
          <w:b/>
          <w:bCs/>
          <w:sz w:val="21"/>
          <w:szCs w:val="21"/>
        </w:rPr>
        <w:t>mutations/Mb，TMB水平较</w:t>
      </w:r>
      <w:r>
        <w:rPr>
          <w:rFonts w:hint="eastAsia" w:ascii="微软雅黑" w:hAnsi="微软雅黑" w:cs="微软雅黑"/>
          <w:b/>
          <w:bCs/>
          <w:sz w:val="21"/>
          <w:szCs w:val="21"/>
          <w:lang w:val="en-US" w:eastAsia="zh-CN"/>
        </w:rPr>
        <w:t>{{ tmb_level_cn }}</w:t>
      </w:r>
      <w:r>
        <w:rPr>
          <w:rFonts w:hint="eastAsia" w:ascii="微软雅黑" w:hAnsi="微软雅黑" w:cs="微软雅黑"/>
          <w:b/>
          <w:bCs/>
          <w:sz w:val="21"/>
          <w:szCs w:val="21"/>
        </w:rPr>
        <w:t>。</w:t>
      </w:r>
      <w:bookmarkEnd w:id="122"/>
    </w:p>
    <w:p w14:paraId="18235869">
      <w:pPr>
        <w:numPr>
          <w:ilvl w:val="255"/>
          <w:numId w:val="0"/>
        </w:numPr>
        <w:spacing w:after="120" w:afterLines="50" w:line="236"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肿瘤突变负荷（Tumor Mutation Burden，TMB）即肿瘤基因组去除胚系突变后的体细胞突变数量，一般以非同义突变（导致氨基酸改变的核苷酸变异）总数量或每1Mb（即1百万个碱基对）的突变数量来表示。</w:t>
      </w:r>
      <w:r>
        <w:rPr>
          <w:rFonts w:hint="eastAsia" w:ascii="微软雅黑" w:hAnsi="微软雅黑" w:cs="Arial Unicode MS"/>
          <w:kern w:val="2"/>
          <w:sz w:val="21"/>
          <w:szCs w:val="21"/>
        </w:rPr>
        <w:t>研究表明，具有较高水平TMB的肿瘤细胞更容易被免疫系统识别，同时在多项临床研究中已证实，TMB水平较高的肿瘤对免疫检查点抑制剂有更强的免疫应答效果</w:t>
      </w:r>
      <w:r>
        <w:rPr>
          <w:rFonts w:hint="eastAsia" w:ascii="微软雅黑" w:hAnsi="微软雅黑" w:cs="Arial Unicode MS"/>
          <w:kern w:val="2"/>
          <w:sz w:val="21"/>
          <w:szCs w:val="21"/>
          <w:vertAlign w:val="superscript"/>
        </w:rPr>
        <w:t>[1]</w:t>
      </w:r>
      <w:r>
        <w:rPr>
          <w:rFonts w:hint="eastAsia" w:ascii="微软雅黑" w:hAnsi="微软雅黑" w:cs="Arial Unicode MS"/>
          <w:kern w:val="2"/>
          <w:sz w:val="21"/>
          <w:szCs w:val="21"/>
        </w:rPr>
        <w:t>。</w:t>
      </w:r>
      <w:r>
        <w:rPr>
          <w:rFonts w:hint="eastAsia" w:ascii="微软雅黑" w:hAnsi="微软雅黑" w:cs="微软雅黑"/>
          <w:sz w:val="21"/>
          <w:szCs w:val="21"/>
        </w:rPr>
        <w:t>2020年6月，FDA批准帕博利珠单抗用于治疗组织肿瘤突变负荷高且既往治疗后病情进展且无满意替代治疗方案的不可切除或转移性成年和小儿实体瘤患者</w:t>
      </w:r>
      <w:r>
        <w:rPr>
          <w:rFonts w:hint="eastAsia" w:ascii="微软雅黑" w:hAnsi="微软雅黑" w:cs="微软雅黑"/>
          <w:sz w:val="21"/>
          <w:szCs w:val="21"/>
          <w:vertAlign w:val="superscript"/>
        </w:rPr>
        <w:t>[2]</w:t>
      </w:r>
      <w:r>
        <w:rPr>
          <w:rFonts w:hint="eastAsia" w:ascii="微软雅黑" w:hAnsi="微软雅黑" w:cs="微软雅黑"/>
          <w:sz w:val="21"/>
          <w:szCs w:val="21"/>
        </w:rPr>
        <w:t xml:space="preserve">。 </w:t>
      </w:r>
    </w:p>
    <w:p w14:paraId="1AAEAA90">
      <w:pPr>
        <w:numPr>
          <w:ilvl w:val="255"/>
          <w:numId w:val="0"/>
        </w:numPr>
        <w:spacing w:after="120" w:afterLines="50" w:line="236" w:lineRule="auto"/>
        <w:ind w:firstLine="420" w:firstLineChars="200"/>
        <w:jc w:val="both"/>
        <w:rPr>
          <w:rFonts w:ascii="微软雅黑" w:hAnsi="微软雅黑" w:cs="Arial Unicode MS"/>
          <w:color w:val="FF0000"/>
          <w:kern w:val="2"/>
          <w:sz w:val="21"/>
          <w:szCs w:val="21"/>
        </w:rPr>
      </w:pPr>
      <w:r>
        <w:rPr>
          <w:rFonts w:hint="eastAsia" w:ascii="微软雅黑" w:hAnsi="微软雅黑" w:cs="微软雅黑"/>
          <w:sz w:val="21"/>
          <w:szCs w:val="21"/>
        </w:rPr>
        <w:t>常用的免疫抑制剂有：帕博利珠单抗、纳武利尤单抗、阿替利珠单抗、度伐利尤单抗、替雷利珠单抗、恩沃利单抗等。</w:t>
      </w:r>
    </w:p>
    <w:p w14:paraId="704DD9D8">
      <w:pPr>
        <w:numPr>
          <w:ilvl w:val="255"/>
          <w:numId w:val="0"/>
        </w:numPr>
        <w:spacing w:after="0" w:line="236" w:lineRule="auto"/>
        <w:jc w:val="both"/>
      </w:pPr>
      <w:r>
        <w:drawing>
          <wp:inline distT="0" distB="0" distL="114300" distR="114300">
            <wp:extent cx="5267960" cy="2298065"/>
            <wp:effectExtent l="0" t="0" r="8890" b="6985"/>
            <wp:docPr id="10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 name="图片 2"/>
                    <pic:cNvPicPr>
                      <a:picLocks noChangeAspect="1"/>
                    </pic:cNvPicPr>
                  </pic:nvPicPr>
                  <pic:blipFill>
                    <a:blip r:embed="rId21"/>
                    <a:stretch>
                      <a:fillRect/>
                    </a:stretch>
                  </pic:blipFill>
                  <pic:spPr>
                    <a:xfrm>
                      <a:off x="0" y="0"/>
                      <a:ext cx="5267960" cy="2298065"/>
                    </a:xfrm>
                    <a:prstGeom prst="rect">
                      <a:avLst/>
                    </a:prstGeom>
                    <a:noFill/>
                    <a:ln>
                      <a:noFill/>
                    </a:ln>
                  </pic:spPr>
                </pic:pic>
              </a:graphicData>
            </a:graphic>
          </wp:inline>
        </w:drawing>
      </w:r>
    </w:p>
    <w:p w14:paraId="5604AC2F">
      <w:pPr>
        <w:numPr>
          <w:ilvl w:val="255"/>
          <w:numId w:val="0"/>
        </w:numPr>
        <w:spacing w:after="0" w:line="236" w:lineRule="auto"/>
        <w:ind w:firstLine="440" w:firstLineChars="200"/>
        <w:jc w:val="center"/>
        <w:rPr>
          <w:rFonts w:ascii="微软雅黑" w:hAnsi="微软雅黑" w:cs="微软雅黑"/>
          <w:sz w:val="21"/>
          <w:szCs w:val="21"/>
        </w:rPr>
      </w:pPr>
      <w:r>
        <w:rPr>
          <w:rFonts w:hint="eastAsia" w:ascii="微软雅黑" w:hAnsi="微软雅黑" w:cs="微软雅黑"/>
        </w:rPr>
        <w:t>图1  不同癌种高/低</w:t>
      </w:r>
      <w:r>
        <w:rPr>
          <w:rFonts w:hint="eastAsia" w:ascii="微软雅黑" w:hAnsi="微软雅黑" w:cs="微软雅黑"/>
          <w:sz w:val="21"/>
          <w:szCs w:val="21"/>
        </w:rPr>
        <w:t>TMB与抗PD-1/PD-L1治疗的客观反应率</w:t>
      </w:r>
      <w:r>
        <w:rPr>
          <w:rFonts w:hint="eastAsia" w:ascii="微软雅黑" w:hAnsi="微软雅黑" w:cs="微软雅黑"/>
          <w:sz w:val="21"/>
          <w:szCs w:val="21"/>
          <w:vertAlign w:val="superscript"/>
        </w:rPr>
        <w:t>[2]</w:t>
      </w:r>
    </w:p>
    <w:p w14:paraId="5B36C188">
      <w:pPr>
        <w:numPr>
          <w:ilvl w:val="255"/>
          <w:numId w:val="0"/>
        </w:numPr>
        <w:spacing w:after="0" w:line="236" w:lineRule="auto"/>
        <w:jc w:val="both"/>
        <w:rPr>
          <w:rFonts w:ascii="微软雅黑" w:hAnsi="微软雅黑" w:cs="Arial Unicode MS"/>
          <w:b/>
          <w:bCs/>
          <w:kern w:val="2"/>
          <w:sz w:val="20"/>
          <w:szCs w:val="20"/>
        </w:rPr>
      </w:pPr>
      <w:r>
        <w:rPr>
          <w:rFonts w:hint="eastAsia" w:ascii="微软雅黑" w:hAnsi="微软雅黑" w:cs="Arial Unicode MS"/>
          <w:b/>
          <w:bCs/>
          <w:kern w:val="2"/>
          <w:sz w:val="20"/>
          <w:szCs w:val="20"/>
        </w:rPr>
        <w:t>说明：</w:t>
      </w:r>
    </w:p>
    <w:p w14:paraId="745BEBF8">
      <w:pPr>
        <w:adjustRightInd/>
        <w:spacing w:after="0" w:line="220" w:lineRule="atLeast"/>
        <w:ind w:firstLine="400" w:firstLineChars="200"/>
        <w:jc w:val="both"/>
        <w:rPr>
          <w:rFonts w:ascii="微软雅黑" w:hAnsi="微软雅黑" w:cs="微软雅黑"/>
          <w:sz w:val="20"/>
          <w:szCs w:val="20"/>
        </w:rPr>
      </w:pPr>
      <w:r>
        <w:rPr>
          <w:rFonts w:hint="eastAsia" w:ascii="微软雅黑" w:hAnsi="微软雅黑" w:cs="微软雅黑"/>
          <w:sz w:val="20"/>
          <w:szCs w:val="20"/>
        </w:rPr>
        <w:t>由于 TMB 的计算方式与检测的靶向捕获技术类型等因素相关，且具体阈值的划定需要临床试验提供依据。FoundationOne CDx (324 个基因) TMB 研究表明，对于组织样本，TMB≥10 mut/Mb 为高突变负荷 (仅供参考) 。而对于血液样本，POPLAR 和 OAK 研究表明，bTMB（血液肿瘤突变负荷）≥16 或可成为阿替利珠单抗治疗晚期非小细胞肺癌的生物标记物（仅供参考）。</w:t>
      </w:r>
    </w:p>
    <w:p w14:paraId="23D66E85">
      <w:pPr>
        <w:adjustRightInd/>
        <w:spacing w:after="0" w:line="220" w:lineRule="atLeast"/>
        <w:ind w:firstLine="400" w:firstLineChars="200"/>
        <w:jc w:val="both"/>
        <w:rPr>
          <w:rFonts w:ascii="微软雅黑" w:hAnsi="微软雅黑" w:cs="微软雅黑"/>
          <w:sz w:val="20"/>
          <w:szCs w:val="20"/>
        </w:rPr>
      </w:pPr>
    </w:p>
    <w:p w14:paraId="5D0AEBC9">
      <w:pPr>
        <w:pStyle w:val="14"/>
        <w:widowControl w:val="0"/>
        <w:autoSpaceDE w:val="0"/>
        <w:autoSpaceDN w:val="0"/>
        <w:snapToGrid/>
        <w:spacing w:beforeAutospacing="0" w:afterAutospacing="0"/>
        <w:ind w:right="-51"/>
        <w:jc w:val="both"/>
        <w:rPr>
          <w:rFonts w:ascii="微软雅黑" w:hAnsi="微软雅黑" w:cs="LPJNJT+Arial Unicode MS"/>
          <w:b/>
          <w:color w:val="000000"/>
          <w:sz w:val="21"/>
          <w:szCs w:val="21"/>
          <w:lang w:bidi="ar"/>
        </w:rPr>
      </w:pPr>
      <w:r>
        <w:rPr>
          <w:rFonts w:hint="eastAsia" w:ascii="微软雅黑" w:hAnsi="微软雅黑" w:cs="LPJNJT+Arial Unicode MS"/>
          <w:b/>
          <w:color w:val="000000"/>
          <w:sz w:val="21"/>
          <w:szCs w:val="21"/>
          <w:lang w:bidi="ar"/>
        </w:rPr>
        <w:t>参考文献：</w:t>
      </w:r>
    </w:p>
    <w:p w14:paraId="7D737292">
      <w:pPr>
        <w:pStyle w:val="14"/>
        <w:widowControl w:val="0"/>
        <w:numPr>
          <w:ilvl w:val="0"/>
          <w:numId w:val="4"/>
        </w:numPr>
        <w:autoSpaceDE w:val="0"/>
        <w:autoSpaceDN w:val="0"/>
        <w:snapToGrid/>
        <w:spacing w:beforeAutospacing="0" w:afterAutospacing="0"/>
        <w:ind w:right="-51"/>
        <w:jc w:val="both"/>
        <w:rPr>
          <w:rFonts w:ascii="微软雅黑" w:hAnsi="微软雅黑" w:cs="LPJNJT+Arial Unicode MS"/>
          <w:color w:val="000000"/>
          <w:sz w:val="16"/>
          <w:szCs w:val="16"/>
          <w:lang w:bidi="ar"/>
        </w:rPr>
      </w:pPr>
      <w:r>
        <w:rPr>
          <w:rFonts w:hint="eastAsia" w:ascii="微软雅黑" w:hAnsi="微软雅黑" w:cs="LPJNJT+Arial Unicode MS"/>
          <w:color w:val="000000"/>
          <w:sz w:val="16"/>
          <w:szCs w:val="16"/>
          <w:lang w:bidi="ar"/>
        </w:rPr>
        <w:t>Yarchoan M , Hopkins A, et al. Tumor Mutational Burden and Response Rate to PD-1 Inhibition[J]. New England Journal of Medicine, 2017, 377(25): 2500-2501.</w:t>
      </w:r>
    </w:p>
    <w:p w14:paraId="4EC1A39A">
      <w:pPr>
        <w:pStyle w:val="14"/>
        <w:widowControl w:val="0"/>
        <w:numPr>
          <w:ilvl w:val="0"/>
          <w:numId w:val="4"/>
        </w:numPr>
        <w:autoSpaceDE w:val="0"/>
        <w:autoSpaceDN w:val="0"/>
        <w:snapToGrid/>
        <w:spacing w:beforeAutospacing="0" w:afterAutospacing="0"/>
        <w:ind w:right="-51"/>
        <w:jc w:val="both"/>
        <w:rPr>
          <w:rFonts w:ascii="微软雅黑" w:hAnsi="微软雅黑" w:cs="LPJNJT+Arial Unicode MS"/>
          <w:color w:val="000000"/>
          <w:sz w:val="16"/>
          <w:szCs w:val="16"/>
          <w:lang w:bidi="ar"/>
        </w:rPr>
      </w:pPr>
      <w:r>
        <w:rPr>
          <w:rFonts w:hint="eastAsia" w:ascii="微软雅黑" w:hAnsi="微软雅黑" w:cs="LPJNJT+Arial Unicode MS"/>
          <w:color w:val="000000"/>
          <w:sz w:val="16"/>
          <w:szCs w:val="16"/>
          <w:lang w:bidi="ar"/>
        </w:rPr>
        <w:t xml:space="preserve">Marabelle A, Fakih M, et al. Association of tumour mutational burden with outcomes in patients with advanced solid tumours treated with pembrolizumab: prospective biomarker analysis of the multicohort, open-label, phase 2 KEYNOTE-158 study. Lancet Oncol. 2020 Oct;21(10):1353-1365. </w:t>
      </w:r>
    </w:p>
    <w:p w14:paraId="3B0B4B45">
      <w:pPr>
        <w:adjustRightInd/>
        <w:snapToGrid/>
        <w:spacing w:after="0" w:line="288" w:lineRule="auto"/>
        <w:jc w:val="both"/>
        <w:rPr>
          <w:rFonts w:ascii="微软雅黑" w:hAnsi="微软雅黑" w:cs="LPJNJT+Arial Unicode MS"/>
          <w:sz w:val="18"/>
          <w:szCs w:val="18"/>
        </w:rPr>
      </w:pPr>
      <w:r>
        <w:rPr>
          <w:rFonts w:hint="eastAsia" w:ascii="微软雅黑" w:hAnsi="微软雅黑" w:cs="微软雅黑"/>
          <w:sz w:val="21"/>
          <w:szCs w:val="21"/>
        </w:rPr>
        <w:br w:type="page"/>
      </w:r>
    </w:p>
    <w:bookmarkEnd w:id="110"/>
    <w:bookmarkEnd w:id="111"/>
    <w:bookmarkEnd w:id="112"/>
    <w:bookmarkEnd w:id="113"/>
    <w:bookmarkEnd w:id="114"/>
    <w:bookmarkEnd w:id="115"/>
    <w:bookmarkEnd w:id="116"/>
    <w:bookmarkEnd w:id="117"/>
    <w:bookmarkEnd w:id="118"/>
    <w:p w14:paraId="11D23B54">
      <w:pPr>
        <w:rPr>
          <w:rFonts w:ascii="微软雅黑" w:hAnsi="微软雅黑"/>
          <w:b/>
          <w:color w:val="00C4D8"/>
          <w:sz w:val="28"/>
          <w:szCs w:val="28"/>
        </w:rPr>
      </w:pPr>
      <w:bookmarkStart w:id="123" w:name="_Toc22528"/>
      <w:bookmarkStart w:id="124" w:name="_Toc18750"/>
      <w:bookmarkStart w:id="125" w:name="_Toc27001"/>
      <w:bookmarkStart w:id="126" w:name="_Toc25168"/>
      <w:bookmarkStart w:id="127" w:name="_Toc10847"/>
      <w:bookmarkStart w:id="128" w:name="_Toc21245"/>
      <w:bookmarkStart w:id="129" w:name="_Toc9267"/>
      <w:bookmarkStart w:id="130" w:name="_Toc11842"/>
      <w:bookmarkStart w:id="131" w:name="_Toc11318"/>
      <w:bookmarkStart w:id="132" w:name="_Toc9573"/>
      <w:bookmarkStart w:id="133" w:name="化疗药物用药提示"/>
      <w:r>
        <w:rPr>
          <w:rFonts w:hint="eastAsia" w:ascii="微软雅黑" w:hAnsi="微软雅黑"/>
          <w:b/>
          <w:color w:val="00C4D8"/>
          <w:sz w:val="28"/>
          <w:szCs w:val="28"/>
        </w:rPr>
        <w:t>3.2微卫星不稳定性（MSI）检测结果</w:t>
      </w:r>
    </w:p>
    <w:p w14:paraId="14384A29">
      <w:pPr>
        <w:spacing w:after="0" w:line="288" w:lineRule="auto"/>
        <w:ind w:firstLine="420" w:firstLineChars="200"/>
        <w:rPr>
          <w:rFonts w:ascii="微软雅黑" w:hAnsi="微软雅黑" w:cs="LPJNJT+Arial Unicode MS"/>
          <w:color w:val="000000"/>
          <w:sz w:val="21"/>
          <w:szCs w:val="21"/>
          <w:u w:val="single"/>
        </w:rPr>
      </w:pPr>
      <w:r>
        <w:rPr>
          <w:rFonts w:hint="eastAsia" w:ascii="微软雅黑" w:hAnsi="微软雅黑" w:cs="LPJNJT+Arial Unicode MS"/>
          <w:color w:val="000000"/>
          <w:sz w:val="21"/>
          <w:szCs w:val="21"/>
        </w:rPr>
        <w:t>依据本次检测结果，</w:t>
      </w:r>
      <w:r>
        <w:rPr>
          <w:rFonts w:hint="eastAsia" w:ascii="微软雅黑" w:hAnsi="微软雅黑" w:cs="LPJNJT+Arial Unicode MS"/>
          <w:b/>
          <w:color w:val="000000"/>
          <w:sz w:val="21"/>
          <w:szCs w:val="21"/>
        </w:rPr>
        <w:t>该肿瘤样本为</w:t>
      </w:r>
      <w:r>
        <w:rPr>
          <w:rFonts w:hint="eastAsia" w:ascii="微软雅黑" w:hAnsi="微软雅黑" w:cs="LPJNJT+Arial Unicode MS"/>
          <w:b/>
          <w:color w:val="000000"/>
          <w:sz w:val="21"/>
          <w:szCs w:val="21"/>
          <w:u w:val="single"/>
        </w:rPr>
        <w:t xml:space="preserve"> </w:t>
      </w:r>
      <w:commentRangeStart w:id="22"/>
      <w:r>
        <w:rPr>
          <w:rFonts w:hint="eastAsia" w:ascii="微软雅黑" w:hAnsi="微软雅黑" w:cs="LPJNJT+Arial Unicode MS"/>
          <w:b/>
          <w:color w:val="000000"/>
          <w:sz w:val="21"/>
          <w:szCs w:val="21"/>
          <w:u w:val="single"/>
        </w:rPr>
        <w:t>{{ msi_result_text }}。</w:t>
      </w:r>
      <w:commentRangeEnd w:id="22"/>
      <w:r>
        <w:commentReference w:id="22"/>
      </w:r>
    </w:p>
    <w:p w14:paraId="48882F1B">
      <w:pPr>
        <w:spacing w:after="0" w:line="288" w:lineRule="auto"/>
        <w:rPr>
          <w:rFonts w:ascii="微软雅黑" w:hAnsi="微软雅黑" w:cs="LPJNJT+Arial Unicode MS"/>
          <w:color w:val="000000"/>
          <w:sz w:val="21"/>
          <w:szCs w:val="21"/>
        </w:rPr>
      </w:pPr>
    </w:p>
    <w:p w14:paraId="136352D9">
      <w:pPr>
        <w:adjustRightInd/>
        <w:snapToGrid/>
        <w:spacing w:after="0" w:line="288" w:lineRule="auto"/>
        <w:rPr>
          <w:rFonts w:ascii="微软雅黑" w:hAnsi="微软雅黑" w:cs="微软雅黑"/>
          <w:b/>
          <w:color w:val="00C4D8"/>
          <w:sz w:val="21"/>
          <w:szCs w:val="21"/>
        </w:rPr>
      </w:pPr>
      <w:r>
        <w:rPr>
          <w:rFonts w:hint="eastAsia" w:ascii="微软雅黑" w:hAnsi="微软雅黑" w:cs="LPJNJT+Arial Unicode MS"/>
          <w:b/>
          <w:color w:val="000000"/>
          <w:sz w:val="21"/>
          <w:szCs w:val="21"/>
        </w:rPr>
        <w:t>结果解读：</w:t>
      </w:r>
    </w:p>
    <w:p w14:paraId="43BD192D">
      <w:pPr>
        <w:spacing w:after="0" w:line="288" w:lineRule="auto"/>
        <w:ind w:right="-51" w:firstLine="420" w:firstLineChars="200"/>
        <w:jc w:val="both"/>
        <w:rPr>
          <w:rFonts w:ascii="微软雅黑" w:hAnsi="微软雅黑" w:cs="LPJNJT+Arial Unicode MS"/>
          <w:color w:val="000000"/>
          <w:sz w:val="21"/>
          <w:szCs w:val="21"/>
        </w:rPr>
      </w:pPr>
      <w:r>
        <w:rPr>
          <w:rFonts w:hint="eastAsia" w:ascii="微软雅黑" w:hAnsi="微软雅黑" w:cs="LPJNJT+Arial Unicode MS"/>
          <w:color w:val="000000"/>
          <w:sz w:val="21"/>
          <w:szCs w:val="21"/>
        </w:rPr>
        <w:t>结肠癌和直肠癌NCCN指南涉及的化疗药物包括伊立替康、亚叶酸钙、5-氟尿嘧啶、奥沙利铂以及卡培他滨，指南中涉及的化疗方案包括FOLFOX（奥沙利铂+亚叶酸钙+5-氟尿嘧啶）、CAPEOX（奥沙利铂+卡培他滨）、FOLFIRI（伊立替康+亚叶酸钙+5-氟尿嘧啶）、FOLFOXIRI（伊立替康+奥沙利铂+亚叶酸钙+5-FU）以及IROX（奥沙利铂+伊立替康）。</w:t>
      </w:r>
    </w:p>
    <w:p w14:paraId="1792BCA5">
      <w:pPr>
        <w:pStyle w:val="14"/>
        <w:widowControl w:val="0"/>
        <w:numPr>
          <w:ilvl w:val="0"/>
          <w:numId w:val="5"/>
        </w:numPr>
        <w:autoSpaceDE w:val="0"/>
        <w:autoSpaceDN w:val="0"/>
        <w:snapToGrid/>
        <w:spacing w:beforeAutospacing="0" w:afterAutospacing="0" w:line="288" w:lineRule="auto"/>
        <w:ind w:right="-51"/>
        <w:jc w:val="both"/>
        <w:rPr>
          <w:rFonts w:ascii="微软雅黑" w:hAnsi="微软雅黑" w:cs="LPJNJT+Arial Unicode MS"/>
          <w:sz w:val="21"/>
          <w:szCs w:val="21"/>
          <w:u w:val="single"/>
        </w:rPr>
      </w:pPr>
      <w:r>
        <w:rPr>
          <w:rFonts w:hint="eastAsia" w:ascii="微软雅黑" w:hAnsi="微软雅黑" w:cs="LPJNJT+Arial Unicode MS"/>
          <w:color w:val="000000"/>
          <w:sz w:val="21"/>
          <w:szCs w:val="21"/>
          <w:u w:val="single"/>
        </w:rPr>
        <w:t>肿瘤组织为MSS（微卫星稳定）/MSI-L（微卫星低度不稳定）的结直肠癌患者，含5-FU的化疗方案相对敏感，可以正常使用，建议结合临床实际情况选择治疗方案</w:t>
      </w:r>
      <w:r>
        <w:rPr>
          <w:rFonts w:hint="eastAsia" w:ascii="微软雅黑" w:hAnsi="微软雅黑" w:cs="LPJNJT+Arial Unicode MS"/>
          <w:color w:val="000000"/>
          <w:sz w:val="21"/>
          <w:szCs w:val="21"/>
          <w:u w:val="single"/>
          <w:vertAlign w:val="superscript"/>
        </w:rPr>
        <w:t>[1]</w:t>
      </w:r>
      <w:r>
        <w:rPr>
          <w:rFonts w:hint="eastAsia" w:ascii="微软雅黑" w:hAnsi="微软雅黑" w:cs="LPJNJT+Arial Unicode MS"/>
          <w:color w:val="000000"/>
          <w:sz w:val="21"/>
          <w:szCs w:val="21"/>
          <w:u w:val="single"/>
        </w:rPr>
        <w:t>。</w:t>
      </w:r>
    </w:p>
    <w:p w14:paraId="2783E9E4">
      <w:pPr>
        <w:pStyle w:val="14"/>
        <w:widowControl w:val="0"/>
        <w:numPr>
          <w:ilvl w:val="0"/>
          <w:numId w:val="5"/>
        </w:numPr>
        <w:autoSpaceDE w:val="0"/>
        <w:autoSpaceDN w:val="0"/>
        <w:snapToGrid/>
        <w:spacing w:beforeAutospacing="0" w:afterAutospacing="0" w:line="288" w:lineRule="auto"/>
        <w:ind w:right="-51"/>
        <w:jc w:val="both"/>
        <w:rPr>
          <w:rFonts w:ascii="微软雅黑" w:hAnsi="微软雅黑" w:cs="LPJNJT+Arial Unicode MS"/>
          <w:sz w:val="21"/>
          <w:szCs w:val="21"/>
        </w:rPr>
      </w:pPr>
      <w:r>
        <w:rPr>
          <w:rFonts w:hint="eastAsia" w:ascii="微软雅黑" w:hAnsi="微软雅黑" w:cs="LPJNJT+Arial Unicode MS"/>
          <w:color w:val="000000"/>
          <w:sz w:val="21"/>
          <w:szCs w:val="21"/>
        </w:rPr>
        <w:t>肿瘤组织为MSI-H（微卫星高度不稳定）的</w:t>
      </w:r>
      <w:r>
        <w:rPr>
          <w:rFonts w:hint="eastAsia" w:ascii="微软雅黑" w:hAnsi="微软雅黑" w:cs="微软雅黑"/>
          <w:color w:val="000000"/>
          <w:sz w:val="21"/>
          <w:szCs w:val="21"/>
        </w:rPr>
        <w:t>Ⅱ</w:t>
      </w:r>
      <w:r>
        <w:rPr>
          <w:rFonts w:hint="eastAsia" w:ascii="微软雅黑" w:hAnsi="微软雅黑" w:cs="LPJNJT+Arial Unicode MS"/>
          <w:color w:val="000000"/>
          <w:sz w:val="21"/>
          <w:szCs w:val="21"/>
        </w:rPr>
        <w:t>期结直肠癌患者，预后较好，且不能从5-FU辅助化疗获益，不推荐氟尿嘧啶类药物的单药辅助化疗</w:t>
      </w:r>
      <w:r>
        <w:rPr>
          <w:rFonts w:hint="eastAsia" w:ascii="微软雅黑" w:hAnsi="微软雅黑" w:cs="LPJNJT+Arial Unicode MS"/>
          <w:color w:val="000000"/>
          <w:sz w:val="21"/>
          <w:szCs w:val="21"/>
          <w:vertAlign w:val="superscript"/>
        </w:rPr>
        <w:t>[1-3]</w:t>
      </w:r>
      <w:r>
        <w:rPr>
          <w:rFonts w:hint="eastAsia" w:ascii="微软雅黑" w:hAnsi="微软雅黑" w:cs="LPJNJT+Arial Unicode MS"/>
          <w:color w:val="000000"/>
          <w:sz w:val="21"/>
          <w:szCs w:val="21"/>
        </w:rPr>
        <w:t>。</w:t>
      </w:r>
    </w:p>
    <w:p w14:paraId="5B6E1C96">
      <w:pPr>
        <w:pStyle w:val="14"/>
        <w:widowControl w:val="0"/>
        <w:numPr>
          <w:ilvl w:val="0"/>
          <w:numId w:val="5"/>
        </w:numPr>
        <w:autoSpaceDE w:val="0"/>
        <w:autoSpaceDN w:val="0"/>
        <w:snapToGrid/>
        <w:spacing w:beforeAutospacing="0" w:afterAutospacing="0" w:line="288" w:lineRule="auto"/>
        <w:ind w:right="-51"/>
        <w:jc w:val="both"/>
        <w:rPr>
          <w:rFonts w:ascii="微软雅黑" w:hAnsi="微软雅黑" w:cs="LPJNJT+Arial Unicode MS"/>
          <w:sz w:val="21"/>
          <w:szCs w:val="21"/>
        </w:rPr>
      </w:pPr>
      <w:r>
        <w:rPr>
          <w:rFonts w:hint="eastAsia" w:ascii="微软雅黑" w:hAnsi="微软雅黑" w:cs="LPJNJT+Arial Unicode MS"/>
          <w:color w:val="000000"/>
          <w:sz w:val="21"/>
          <w:szCs w:val="21"/>
        </w:rPr>
        <w:t>肿瘤组织为MSI-H的转移性结直肠癌患者，可能从PD-1免疫治疗获益</w:t>
      </w:r>
      <w:r>
        <w:rPr>
          <w:rFonts w:hint="eastAsia" w:ascii="微软雅黑" w:hAnsi="微软雅黑" w:cs="LPJNJT+Arial Unicode MS"/>
          <w:color w:val="000000"/>
          <w:sz w:val="21"/>
          <w:szCs w:val="21"/>
          <w:vertAlign w:val="superscript"/>
        </w:rPr>
        <w:t>[4,5]</w:t>
      </w:r>
      <w:r>
        <w:rPr>
          <w:rFonts w:hint="eastAsia" w:ascii="微软雅黑" w:hAnsi="微软雅黑" w:cs="LPJNJT+Arial Unicode MS"/>
          <w:color w:val="000000"/>
          <w:sz w:val="21"/>
          <w:szCs w:val="21"/>
        </w:rPr>
        <w:t>。</w:t>
      </w:r>
    </w:p>
    <w:p w14:paraId="730469B2">
      <w:pPr>
        <w:pStyle w:val="14"/>
        <w:widowControl w:val="0"/>
        <w:numPr>
          <w:ilvl w:val="0"/>
          <w:numId w:val="5"/>
        </w:numPr>
        <w:autoSpaceDE w:val="0"/>
        <w:autoSpaceDN w:val="0"/>
        <w:snapToGrid/>
        <w:spacing w:beforeAutospacing="0" w:afterAutospacing="0" w:line="288" w:lineRule="auto"/>
        <w:ind w:right="-51"/>
        <w:jc w:val="both"/>
        <w:rPr>
          <w:rFonts w:ascii="微软雅黑" w:hAnsi="微软雅黑" w:cs="LPJNJT+Arial Unicode MS"/>
          <w:color w:val="000000"/>
          <w:sz w:val="21"/>
          <w:szCs w:val="21"/>
        </w:rPr>
      </w:pPr>
      <w:r>
        <w:rPr>
          <w:rFonts w:hint="eastAsia" w:ascii="微软雅黑" w:hAnsi="微软雅黑" w:cs="LPJNJT+Arial Unicode MS"/>
          <w:color w:val="000000"/>
          <w:sz w:val="21"/>
          <w:szCs w:val="21"/>
        </w:rPr>
        <w:t>肿瘤组织为MSI-H的结直肠癌患者，患有林奇综合征的风险较高，建议做进一步的林奇综合征筛查诊断（NCCN指南建议林奇综合征的基因检测应包括：MMR基因MLH1、MSH2、MSH6、PMS2和EPCAM基因）。</w:t>
      </w:r>
    </w:p>
    <w:p w14:paraId="3F0D5172">
      <w:pPr>
        <w:pStyle w:val="14"/>
        <w:widowControl w:val="0"/>
        <w:numPr>
          <w:ilvl w:val="255"/>
          <w:numId w:val="0"/>
        </w:numPr>
        <w:autoSpaceDE w:val="0"/>
        <w:autoSpaceDN w:val="0"/>
        <w:snapToGrid/>
        <w:spacing w:beforeAutospacing="0" w:afterAutospacing="0" w:line="288" w:lineRule="auto"/>
        <w:ind w:right="-51"/>
        <w:jc w:val="both"/>
        <w:rPr>
          <w:rFonts w:ascii="微软雅黑" w:hAnsi="微软雅黑" w:cs="LPJNJT+Arial Unicode MS"/>
          <w:color w:val="000000"/>
          <w:sz w:val="21"/>
          <w:szCs w:val="21"/>
        </w:rPr>
      </w:pPr>
    </w:p>
    <w:p w14:paraId="648C3818">
      <w:pPr>
        <w:adjustRightInd/>
        <w:snapToGrid/>
        <w:spacing w:after="0" w:line="220" w:lineRule="atLeast"/>
        <w:jc w:val="both"/>
        <w:rPr>
          <w:rFonts w:ascii="微软雅黑" w:hAnsi="微软雅黑" w:cs="LPJNJT+Arial Unicode MS"/>
          <w:color w:val="000000"/>
          <w:sz w:val="21"/>
          <w:szCs w:val="21"/>
        </w:rPr>
      </w:pPr>
      <w:r>
        <w:rPr>
          <w:rFonts w:hint="eastAsia" w:ascii="微软雅黑" w:hAnsi="微软雅黑" w:cs="LPJNJT+Arial Unicode MS"/>
          <w:color w:val="000000"/>
          <w:sz w:val="21"/>
          <w:szCs w:val="21"/>
        </w:rPr>
        <w:t>注：</w:t>
      </w:r>
    </w:p>
    <w:p w14:paraId="4B0C8ABA">
      <w:pPr>
        <w:numPr>
          <w:ilvl w:val="0"/>
          <w:numId w:val="6"/>
        </w:numPr>
        <w:adjustRightInd/>
        <w:snapToGrid/>
        <w:spacing w:after="0" w:line="288" w:lineRule="auto"/>
        <w:jc w:val="both"/>
        <w:rPr>
          <w:rFonts w:ascii="微软雅黑" w:hAnsi="微软雅黑" w:cs="LPJNJT+Arial Unicode MS"/>
          <w:color w:val="000000"/>
          <w:sz w:val="21"/>
          <w:szCs w:val="21"/>
        </w:rPr>
      </w:pPr>
      <w:r>
        <w:rPr>
          <w:rFonts w:hint="eastAsia" w:ascii="微软雅黑" w:hAnsi="微软雅黑" w:cs="LPJNJT+Arial Unicode MS"/>
          <w:color w:val="000000"/>
          <w:sz w:val="21"/>
          <w:szCs w:val="21"/>
        </w:rPr>
        <w:t>2022年中国临床肿瘤学会（CSCO）《结直肠癌诊疗指南》指出，所有</w:t>
      </w:r>
      <w:r>
        <w:rPr>
          <w:rFonts w:hint="eastAsia" w:ascii="微软雅黑" w:hAnsi="微软雅黑" w:cs="微软雅黑"/>
          <w:color w:val="000000"/>
          <w:sz w:val="21"/>
          <w:szCs w:val="21"/>
        </w:rPr>
        <w:t>Ⅱ</w:t>
      </w:r>
      <w:r>
        <w:rPr>
          <w:rFonts w:hint="eastAsia" w:ascii="微软雅黑" w:hAnsi="微软雅黑" w:cs="LPJNJT+Arial Unicode MS"/>
          <w:color w:val="000000"/>
          <w:sz w:val="21"/>
          <w:szCs w:val="21"/>
        </w:rPr>
        <w:t>期结直肠癌患者均应考虑进行错配修复蛋白（MMR，mismatch repair）检测，dMMR或MSI-H的</w:t>
      </w:r>
      <w:r>
        <w:rPr>
          <w:rFonts w:hint="eastAsia" w:ascii="微软雅黑" w:hAnsi="微软雅黑" w:cs="微软雅黑"/>
          <w:color w:val="000000"/>
          <w:sz w:val="21"/>
          <w:szCs w:val="21"/>
        </w:rPr>
        <w:t>Ⅱ</w:t>
      </w:r>
      <w:r>
        <w:rPr>
          <w:rFonts w:hint="eastAsia" w:ascii="微软雅黑" w:hAnsi="微软雅黑" w:cs="LPJNJT+Arial Unicode MS"/>
          <w:color w:val="000000"/>
          <w:sz w:val="21"/>
          <w:szCs w:val="21"/>
        </w:rPr>
        <w:t>期结直肠癌患者可能预后较好，且不会从单药5-FU的辅助化疗中获益</w:t>
      </w:r>
      <w:r>
        <w:rPr>
          <w:rFonts w:hint="eastAsia" w:ascii="微软雅黑" w:hAnsi="微软雅黑" w:cs="LPJNJT+Arial Unicode MS"/>
          <w:color w:val="000000"/>
          <w:sz w:val="21"/>
          <w:szCs w:val="21"/>
          <w:vertAlign w:val="superscript"/>
        </w:rPr>
        <w:t>[3]</w:t>
      </w:r>
      <w:r>
        <w:rPr>
          <w:rFonts w:hint="eastAsia" w:ascii="微软雅黑" w:hAnsi="微软雅黑" w:cs="LPJNJT+Arial Unicode MS"/>
          <w:color w:val="000000"/>
          <w:sz w:val="21"/>
          <w:szCs w:val="21"/>
        </w:rPr>
        <w:t>；</w:t>
      </w:r>
    </w:p>
    <w:p w14:paraId="5822F70B">
      <w:pPr>
        <w:numPr>
          <w:ilvl w:val="0"/>
          <w:numId w:val="6"/>
        </w:numPr>
        <w:adjustRightInd/>
        <w:snapToGrid/>
        <w:spacing w:after="0" w:line="288" w:lineRule="auto"/>
        <w:jc w:val="both"/>
        <w:rPr>
          <w:rFonts w:ascii="微软雅黑" w:hAnsi="微软雅黑" w:cs="LPJNJT+Arial Unicode MS"/>
          <w:color w:val="000000"/>
          <w:sz w:val="21"/>
          <w:szCs w:val="21"/>
        </w:rPr>
      </w:pPr>
      <w:r>
        <w:rPr>
          <w:rFonts w:hint="eastAsia" w:ascii="微软雅黑" w:hAnsi="微软雅黑" w:cs="LPJNJT+Arial Unicode MS"/>
          <w:color w:val="000000"/>
          <w:sz w:val="21"/>
          <w:szCs w:val="21"/>
        </w:rPr>
        <w:t>《结直肠癌及其他相关实体瘤微卫星不稳定性检测中国专家共识（2019）》推荐对所有明确诊断为结直肠癌的患者，均应考虑进行MMR/MSI状态筛查；晚期实体瘤患者（如胃癌、小肠癌、子宫内膜癌、尿路上皮癌、胰腺癌和胆管癌等）如考虑跨适应症进行免疫治疗，均应行MSI状态检测</w:t>
      </w:r>
      <w:r>
        <w:rPr>
          <w:rFonts w:hint="eastAsia" w:ascii="微软雅黑" w:hAnsi="微软雅黑" w:cs="LPJNJT+Arial Unicode MS"/>
          <w:color w:val="000000"/>
          <w:sz w:val="21"/>
          <w:szCs w:val="21"/>
          <w:vertAlign w:val="superscript"/>
        </w:rPr>
        <w:t>[4]</w:t>
      </w:r>
      <w:r>
        <w:rPr>
          <w:rFonts w:hint="eastAsia" w:ascii="微软雅黑" w:hAnsi="微软雅黑" w:cs="LPJNJT+Arial Unicode MS"/>
          <w:color w:val="000000"/>
          <w:sz w:val="21"/>
          <w:szCs w:val="21"/>
        </w:rPr>
        <w:t>；</w:t>
      </w:r>
    </w:p>
    <w:p w14:paraId="61606681">
      <w:pPr>
        <w:numPr>
          <w:ilvl w:val="0"/>
          <w:numId w:val="6"/>
        </w:numPr>
        <w:adjustRightInd/>
        <w:snapToGrid/>
        <w:spacing w:after="0" w:line="288" w:lineRule="auto"/>
        <w:jc w:val="both"/>
        <w:rPr>
          <w:rFonts w:ascii="微软雅黑" w:hAnsi="微软雅黑" w:cs="LPJNJT+Arial Unicode MS"/>
          <w:color w:val="000000"/>
          <w:sz w:val="21"/>
          <w:szCs w:val="21"/>
        </w:rPr>
      </w:pPr>
      <w:r>
        <w:rPr>
          <w:rFonts w:hint="eastAsia" w:ascii="微软雅黑" w:hAnsi="微软雅黑" w:cs="LPJNJT+Arial Unicode MS"/>
          <w:color w:val="000000"/>
          <w:sz w:val="21"/>
          <w:szCs w:val="21"/>
        </w:rPr>
        <w:t>若患者同时进行IHC-MMR蛋白表达和DNA分析（PCR或NGS法）MSI状态检测，且存在检测结果不一致的情况，可考虑采用第3种方法（NGS或PCR法）进行验证</w:t>
      </w:r>
      <w:r>
        <w:rPr>
          <w:rFonts w:hint="eastAsia" w:ascii="微软雅黑" w:hAnsi="微软雅黑" w:cs="LPJNJT+Arial Unicode MS"/>
          <w:color w:val="000000"/>
          <w:sz w:val="21"/>
          <w:szCs w:val="21"/>
          <w:vertAlign w:val="superscript"/>
        </w:rPr>
        <w:t>[4]</w:t>
      </w:r>
      <w:r>
        <w:rPr>
          <w:rFonts w:hint="eastAsia" w:ascii="微软雅黑" w:hAnsi="微软雅黑" w:cs="LPJNJT+Arial Unicode MS"/>
          <w:color w:val="000000"/>
          <w:sz w:val="21"/>
          <w:szCs w:val="21"/>
        </w:rPr>
        <w:t>。</w:t>
      </w:r>
    </w:p>
    <w:p w14:paraId="1FDB1861">
      <w:pPr>
        <w:adjustRightInd/>
        <w:snapToGrid/>
        <w:spacing w:after="0" w:line="220" w:lineRule="atLeast"/>
        <w:jc w:val="both"/>
        <w:rPr>
          <w:rFonts w:ascii="微软雅黑" w:hAnsi="微软雅黑" w:cs="LPJNJT+Arial Unicode MS"/>
          <w:color w:val="000000"/>
          <w:sz w:val="21"/>
          <w:szCs w:val="21"/>
        </w:rPr>
      </w:pPr>
    </w:p>
    <w:p w14:paraId="489A977A">
      <w:pPr>
        <w:adjustRightInd/>
        <w:snapToGrid/>
        <w:spacing w:after="0" w:line="220" w:lineRule="atLeast"/>
        <w:jc w:val="both"/>
        <w:rPr>
          <w:rFonts w:ascii="微软雅黑" w:hAnsi="微软雅黑" w:cs="LPJNJT+Arial Unicode MS"/>
          <w:color w:val="000000"/>
          <w:sz w:val="21"/>
          <w:szCs w:val="21"/>
        </w:rPr>
      </w:pPr>
    </w:p>
    <w:p w14:paraId="6DCD7ED1">
      <w:pPr>
        <w:adjustRightInd/>
        <w:snapToGrid/>
        <w:spacing w:after="0" w:line="220" w:lineRule="atLeast"/>
        <w:jc w:val="both"/>
        <w:rPr>
          <w:rFonts w:ascii="微软雅黑" w:hAnsi="微软雅黑" w:cs="LPJNJT+Arial Unicode MS"/>
          <w:color w:val="000000"/>
          <w:sz w:val="21"/>
          <w:szCs w:val="21"/>
        </w:rPr>
      </w:pPr>
    </w:p>
    <w:p w14:paraId="1DDE988D">
      <w:pPr>
        <w:adjustRightInd/>
        <w:snapToGrid/>
        <w:spacing w:after="0" w:line="220" w:lineRule="atLeast"/>
        <w:jc w:val="both"/>
        <w:rPr>
          <w:rFonts w:ascii="微软雅黑" w:hAnsi="微软雅黑" w:cs="LPJNJT+Arial Unicode MS"/>
          <w:color w:val="000000"/>
          <w:sz w:val="21"/>
          <w:szCs w:val="21"/>
        </w:rPr>
      </w:pPr>
    </w:p>
    <w:p w14:paraId="1B1651BA">
      <w:pPr>
        <w:adjustRightInd/>
        <w:snapToGrid/>
        <w:spacing w:before="200" w:after="80" w:line="220" w:lineRule="atLeast"/>
        <w:jc w:val="both"/>
        <w:rPr>
          <w:rFonts w:ascii="微软雅黑" w:hAnsi="微软雅黑" w:cs="LPJNJT+Arial Unicode MS"/>
          <w:color w:val="000000"/>
          <w:sz w:val="21"/>
          <w:szCs w:val="21"/>
        </w:rPr>
      </w:pPr>
      <w:r>
        <w:rPr>
          <w:rFonts w:hint="eastAsia" w:ascii="微软雅黑" w:hAnsi="微软雅黑" w:cs="LPJNJT+Arial Unicode MS"/>
          <w:b/>
          <w:color w:val="000000"/>
          <w:sz w:val="21"/>
          <w:szCs w:val="21"/>
        </w:rPr>
        <w:t>MSI 结果说明：</w:t>
      </w:r>
    </w:p>
    <w:p w14:paraId="2642B479">
      <w:pPr>
        <w:pStyle w:val="14"/>
        <w:widowControl w:val="0"/>
        <w:numPr>
          <w:ilvl w:val="0"/>
          <w:numId w:val="5"/>
        </w:numPr>
        <w:autoSpaceDE w:val="0"/>
        <w:autoSpaceDN w:val="0"/>
        <w:spacing w:beforeAutospacing="0" w:afterAutospacing="0" w:line="288" w:lineRule="auto"/>
        <w:ind w:right="-51"/>
        <w:jc w:val="both"/>
        <w:rPr>
          <w:rFonts w:ascii="微软雅黑" w:hAnsi="微软雅黑" w:cs="LPJNJT+Arial Unicode MS"/>
          <w:color w:val="000000"/>
          <w:sz w:val="21"/>
          <w:szCs w:val="21"/>
        </w:rPr>
      </w:pPr>
      <w:r>
        <w:rPr>
          <w:rFonts w:hint="eastAsia" w:ascii="微软雅黑" w:hAnsi="微软雅黑" w:cs="LPJNJT+Arial Unicode MS"/>
          <w:color w:val="000000"/>
          <w:sz w:val="21"/>
          <w:szCs w:val="21"/>
        </w:rPr>
        <w:t>结直肠癌组织样本中，MSI阈值的划分与传统检测方法MSI毛细电泳PCR法进行验证，一致性为100%。</w:t>
      </w:r>
    </w:p>
    <w:p w14:paraId="47CF18D3">
      <w:pPr>
        <w:pStyle w:val="14"/>
        <w:widowControl w:val="0"/>
        <w:numPr>
          <w:ilvl w:val="0"/>
          <w:numId w:val="5"/>
        </w:numPr>
        <w:autoSpaceDE w:val="0"/>
        <w:autoSpaceDN w:val="0"/>
        <w:spacing w:beforeAutospacing="0" w:afterAutospacing="0" w:line="288" w:lineRule="auto"/>
        <w:ind w:right="-51"/>
        <w:jc w:val="both"/>
        <w:rPr>
          <w:rFonts w:ascii="微软雅黑" w:hAnsi="微软雅黑" w:cs="LPJNJT+Arial Unicode MS"/>
          <w:color w:val="000000"/>
          <w:sz w:val="21"/>
          <w:szCs w:val="21"/>
        </w:rPr>
      </w:pPr>
      <w:r>
        <w:rPr>
          <w:rFonts w:hint="eastAsia" w:ascii="微软雅黑" w:hAnsi="微软雅黑" w:cs="LPJNJT+Arial Unicode MS"/>
          <w:color w:val="000000"/>
          <w:sz w:val="21"/>
          <w:szCs w:val="21"/>
        </w:rPr>
        <w:t>本次检测使用NGS技术结合生物信息学算法，对于在肿瘤样本和正常样本中测序深度均大于等于20的微卫星位点，计算其等位基因的分布信息；其次，通过卡方检验比较肿瘤样本和正常样本的相同微卫星位点的等位基因分布，若显著不同，则认为该微卫星位点不稳定；最后统计不稳定位点的比例。</w:t>
      </w:r>
    </w:p>
    <w:p w14:paraId="1E44092B">
      <w:pPr>
        <w:adjustRightInd/>
        <w:snapToGrid/>
        <w:spacing w:before="200" w:line="220" w:lineRule="atLeast"/>
        <w:jc w:val="both"/>
        <w:rPr>
          <w:rFonts w:ascii="微软雅黑" w:hAnsi="微软雅黑" w:cs="LPJNJT+Arial Unicode MS"/>
          <w:color w:val="000000"/>
          <w:sz w:val="21"/>
          <w:szCs w:val="21"/>
        </w:rPr>
      </w:pPr>
    </w:p>
    <w:p w14:paraId="3AF8F563">
      <w:pPr>
        <w:pStyle w:val="14"/>
        <w:widowControl w:val="0"/>
        <w:autoSpaceDE w:val="0"/>
        <w:autoSpaceDN w:val="0"/>
        <w:snapToGrid/>
        <w:spacing w:beforeAutospacing="0" w:afterAutospacing="0" w:line="312" w:lineRule="auto"/>
        <w:ind w:right="-51"/>
        <w:jc w:val="both"/>
        <w:rPr>
          <w:rFonts w:ascii="微软雅黑" w:hAnsi="微软雅黑" w:cs="LPJNJT+Arial Unicode MS"/>
          <w:b/>
          <w:color w:val="000000"/>
          <w:sz w:val="21"/>
          <w:szCs w:val="21"/>
        </w:rPr>
      </w:pPr>
      <w:r>
        <w:rPr>
          <w:rFonts w:hint="eastAsia" w:ascii="微软雅黑" w:hAnsi="微软雅黑" w:cs="LPJNJT+Arial Unicode MS"/>
          <w:b/>
          <w:color w:val="000000"/>
          <w:sz w:val="21"/>
          <w:szCs w:val="21"/>
        </w:rPr>
        <w:t>参考文献：</w:t>
      </w:r>
    </w:p>
    <w:p w14:paraId="18EC23E8">
      <w:pPr>
        <w:pStyle w:val="14"/>
        <w:widowControl w:val="0"/>
        <w:autoSpaceDE w:val="0"/>
        <w:autoSpaceDN w:val="0"/>
        <w:snapToGrid/>
        <w:spacing w:beforeAutospacing="0" w:afterAutospacing="0" w:line="288" w:lineRule="auto"/>
        <w:ind w:right="-51"/>
        <w:jc w:val="both"/>
        <w:rPr>
          <w:rFonts w:ascii="微软雅黑" w:hAnsi="微软雅黑" w:cs="LPJNJT+Arial Unicode MS"/>
          <w:sz w:val="16"/>
          <w:szCs w:val="16"/>
        </w:rPr>
      </w:pPr>
      <w:r>
        <w:rPr>
          <w:rFonts w:hint="eastAsia" w:ascii="微软雅黑" w:hAnsi="微软雅黑" w:cs="LPJNJT+Arial Unicode MS"/>
          <w:color w:val="000000"/>
          <w:sz w:val="16"/>
          <w:szCs w:val="16"/>
          <w:lang w:bidi="ar"/>
        </w:rPr>
        <w:t xml:space="preserve">[1] Sargent DJ, Marsoni S, Monges G, et al. Defective mismatch repair as a predictive marker for lack of efficacy of fluorouracil-based adjuvant therapy in colon cancer[J]. J Clin Oncol. 2010, 28(20): 3219-3226. </w:t>
      </w:r>
    </w:p>
    <w:p w14:paraId="05E78BF2">
      <w:pPr>
        <w:pStyle w:val="54"/>
        <w:numPr>
          <w:ilvl w:val="255"/>
          <w:numId w:val="0"/>
        </w:numPr>
        <w:spacing w:line="288" w:lineRule="auto"/>
        <w:ind w:right="-51"/>
        <w:jc w:val="both"/>
        <w:rPr>
          <w:rFonts w:hint="default" w:ascii="微软雅黑" w:hAnsi="微软雅黑" w:eastAsia="微软雅黑" w:cs="LPJNJT+Arial Unicode MS"/>
          <w:sz w:val="16"/>
          <w:szCs w:val="16"/>
        </w:rPr>
      </w:pPr>
      <w:r>
        <w:rPr>
          <w:rFonts w:ascii="微软雅黑" w:hAnsi="微软雅黑" w:eastAsia="微软雅黑" w:cs="LPJNJT+Arial Unicode MS"/>
          <w:sz w:val="16"/>
          <w:szCs w:val="16"/>
        </w:rPr>
        <w:t>[2]</w:t>
      </w:r>
      <w:r>
        <w:rPr>
          <w:rFonts w:hint="default" w:ascii="微软雅黑" w:hAnsi="微软雅黑" w:eastAsia="微软雅黑" w:cs="LPJNJT+Arial Unicode MS"/>
          <w:sz w:val="16"/>
          <w:szCs w:val="16"/>
        </w:rPr>
        <w:t xml:space="preserve">《NCCN Guidelines Version </w:t>
      </w:r>
      <w:r>
        <w:rPr>
          <w:rFonts w:ascii="微软雅黑" w:hAnsi="微软雅黑" w:eastAsia="微软雅黑" w:cs="LPJNJT+Arial Unicode MS"/>
          <w:sz w:val="16"/>
          <w:szCs w:val="16"/>
        </w:rPr>
        <w:t>1</w:t>
      </w:r>
      <w:r>
        <w:rPr>
          <w:rFonts w:hint="default" w:ascii="微软雅黑" w:hAnsi="微软雅黑" w:eastAsia="微软雅黑" w:cs="LPJNJT+Arial Unicode MS"/>
          <w:sz w:val="16"/>
          <w:szCs w:val="16"/>
        </w:rPr>
        <w:t>.</w:t>
      </w:r>
      <w:r>
        <w:rPr>
          <w:rFonts w:ascii="微软雅黑" w:hAnsi="微软雅黑" w:eastAsia="微软雅黑" w:cs="LPJNJT+Arial Unicode MS"/>
          <w:sz w:val="16"/>
          <w:szCs w:val="16"/>
        </w:rPr>
        <w:t xml:space="preserve"> </w:t>
      </w:r>
      <w:r>
        <w:rPr>
          <w:rFonts w:hint="default" w:ascii="微软雅黑" w:hAnsi="微软雅黑" w:eastAsia="微软雅黑" w:cs="LPJNJT+Arial Unicode MS"/>
          <w:sz w:val="16"/>
          <w:szCs w:val="16"/>
        </w:rPr>
        <w:t>20</w:t>
      </w:r>
      <w:r>
        <w:rPr>
          <w:rFonts w:ascii="微软雅黑" w:hAnsi="微软雅黑" w:eastAsia="微软雅黑" w:cs="LPJNJT+Arial Unicode MS"/>
          <w:sz w:val="16"/>
          <w:szCs w:val="16"/>
        </w:rPr>
        <w:t>22-</w:t>
      </w:r>
      <w:r>
        <w:rPr>
          <w:rFonts w:hint="default" w:ascii="微软雅黑" w:hAnsi="微软雅黑" w:eastAsia="微软雅黑" w:cs="LPJNJT+Arial Unicode MS"/>
          <w:sz w:val="16"/>
          <w:szCs w:val="16"/>
        </w:rPr>
        <w:t>Colon Cancer》</w:t>
      </w:r>
      <w:r>
        <w:rPr>
          <w:rFonts w:ascii="微软雅黑" w:hAnsi="微软雅黑" w:eastAsia="微软雅黑" w:cs="LPJNJT+Arial Unicode MS"/>
          <w:sz w:val="16"/>
          <w:szCs w:val="16"/>
        </w:rPr>
        <w:t>;</w:t>
      </w:r>
      <w:r>
        <w:rPr>
          <w:rFonts w:hint="default" w:ascii="微软雅黑" w:hAnsi="微软雅黑" w:eastAsia="微软雅黑" w:cs="LPJNJT+Arial Unicode MS"/>
          <w:sz w:val="16"/>
          <w:szCs w:val="16"/>
        </w:rPr>
        <w:t xml:space="preserve">《NCCN Guidelines Version </w:t>
      </w:r>
      <w:r>
        <w:rPr>
          <w:rFonts w:ascii="微软雅黑" w:hAnsi="微软雅黑" w:eastAsia="微软雅黑" w:cs="LPJNJT+Arial Unicode MS"/>
          <w:sz w:val="16"/>
          <w:szCs w:val="16"/>
        </w:rPr>
        <w:t>1</w:t>
      </w:r>
      <w:r>
        <w:rPr>
          <w:rFonts w:hint="default" w:ascii="微软雅黑" w:hAnsi="微软雅黑" w:eastAsia="微软雅黑" w:cs="LPJNJT+Arial Unicode MS"/>
          <w:sz w:val="16"/>
          <w:szCs w:val="16"/>
        </w:rPr>
        <w:t>.</w:t>
      </w:r>
      <w:r>
        <w:rPr>
          <w:rFonts w:ascii="微软雅黑" w:hAnsi="微软雅黑" w:eastAsia="微软雅黑" w:cs="LPJNJT+Arial Unicode MS"/>
          <w:sz w:val="16"/>
          <w:szCs w:val="16"/>
        </w:rPr>
        <w:t xml:space="preserve"> </w:t>
      </w:r>
      <w:r>
        <w:rPr>
          <w:rFonts w:hint="default" w:ascii="微软雅黑" w:hAnsi="微软雅黑" w:eastAsia="微软雅黑" w:cs="LPJNJT+Arial Unicode MS"/>
          <w:sz w:val="16"/>
          <w:szCs w:val="16"/>
        </w:rPr>
        <w:t>20</w:t>
      </w:r>
      <w:r>
        <w:rPr>
          <w:rFonts w:ascii="微软雅黑" w:hAnsi="微软雅黑" w:eastAsia="微软雅黑" w:cs="LPJNJT+Arial Unicode MS"/>
          <w:sz w:val="16"/>
          <w:szCs w:val="16"/>
        </w:rPr>
        <w:t>22-Rectal</w:t>
      </w:r>
      <w:r>
        <w:rPr>
          <w:rFonts w:hint="default" w:ascii="微软雅黑" w:hAnsi="微软雅黑" w:eastAsia="微软雅黑" w:cs="LPJNJT+Arial Unicode MS"/>
          <w:sz w:val="16"/>
          <w:szCs w:val="16"/>
        </w:rPr>
        <w:t xml:space="preserve"> Cancer》</w:t>
      </w:r>
      <w:r>
        <w:rPr>
          <w:rFonts w:ascii="微软雅黑" w:hAnsi="微软雅黑" w:eastAsia="微软雅黑" w:cs="LPJNJT+Arial Unicode MS"/>
          <w:sz w:val="16"/>
          <w:szCs w:val="16"/>
        </w:rPr>
        <w:t>.</w:t>
      </w:r>
    </w:p>
    <w:p w14:paraId="25390B38">
      <w:pPr>
        <w:pStyle w:val="54"/>
        <w:numPr>
          <w:ilvl w:val="255"/>
          <w:numId w:val="0"/>
        </w:numPr>
        <w:spacing w:line="288" w:lineRule="auto"/>
        <w:ind w:right="-51"/>
        <w:jc w:val="both"/>
        <w:rPr>
          <w:rFonts w:hint="default" w:ascii="微软雅黑" w:hAnsi="微软雅黑" w:eastAsia="微软雅黑" w:cs="LPJNJT+Arial Unicode MS"/>
          <w:sz w:val="16"/>
          <w:szCs w:val="16"/>
        </w:rPr>
      </w:pPr>
      <w:r>
        <w:rPr>
          <w:rFonts w:ascii="微软雅黑" w:hAnsi="微软雅黑" w:eastAsia="微软雅黑" w:cs="LPJNJT+Arial Unicode MS"/>
          <w:sz w:val="16"/>
          <w:szCs w:val="16"/>
        </w:rPr>
        <w:t>[3] 《CSCO结直肠癌诊疗指南（2022年版）》.</w:t>
      </w:r>
    </w:p>
    <w:p w14:paraId="14B78A38">
      <w:pPr>
        <w:pStyle w:val="54"/>
        <w:numPr>
          <w:ilvl w:val="255"/>
          <w:numId w:val="0"/>
        </w:numPr>
        <w:spacing w:line="288" w:lineRule="auto"/>
        <w:ind w:right="-51"/>
        <w:jc w:val="both"/>
        <w:rPr>
          <w:rFonts w:hint="default" w:ascii="微软雅黑" w:hAnsi="微软雅黑" w:eastAsia="微软雅黑" w:cs="LPJNJT+Arial Unicode MS"/>
          <w:sz w:val="16"/>
          <w:szCs w:val="16"/>
        </w:rPr>
      </w:pPr>
      <w:r>
        <w:rPr>
          <w:rFonts w:ascii="微软雅黑" w:hAnsi="微软雅黑" w:eastAsia="微软雅黑" w:cs="LPJNJT+Arial Unicode MS"/>
          <w:sz w:val="16"/>
          <w:szCs w:val="16"/>
        </w:rPr>
        <w:t>[4] 《结直肠癌及其他相关实体瘤微卫星不稳定性检测中国专家共识》.2019.</w:t>
      </w:r>
    </w:p>
    <w:p w14:paraId="69687796">
      <w:pPr>
        <w:adjustRightInd/>
        <w:snapToGrid/>
        <w:spacing w:after="0" w:line="288" w:lineRule="auto"/>
        <w:jc w:val="both"/>
        <w:rPr>
          <w:rFonts w:ascii="微软雅黑" w:hAnsi="微软雅黑" w:cs="LPJNJT+Arial Unicode MS"/>
          <w:sz w:val="18"/>
          <w:szCs w:val="18"/>
        </w:rPr>
      </w:pPr>
      <w:r>
        <w:rPr>
          <w:rFonts w:hint="eastAsia" w:ascii="微软雅黑" w:hAnsi="微软雅黑" w:cs="LPJNJT+Arial Unicode MS"/>
          <w:sz w:val="16"/>
          <w:szCs w:val="16"/>
        </w:rPr>
        <w:t>[5]</w:t>
      </w:r>
      <w:r>
        <w:rPr>
          <w:rFonts w:ascii="微软雅黑" w:hAnsi="微软雅黑" w:cs="LPJNJT+Arial Unicode MS"/>
          <w:sz w:val="16"/>
          <w:szCs w:val="16"/>
        </w:rPr>
        <w:t xml:space="preserve"> Le DT, Uram JN, Wang H,</w:t>
      </w:r>
      <w:r>
        <w:rPr>
          <w:rFonts w:hint="eastAsia" w:ascii="微软雅黑" w:hAnsi="微软雅黑" w:cs="LPJNJT+Arial Unicode MS"/>
          <w:sz w:val="16"/>
          <w:szCs w:val="16"/>
        </w:rPr>
        <w:t xml:space="preserve"> et al. PD-1 Blockade in Tumors with Mismatch-Repair Deficiency[J]. N Engl J Med. 2015, 372(26): 2509-2520.</w:t>
      </w:r>
    </w:p>
    <w:p w14:paraId="79751420">
      <w:pPr>
        <w:adjustRightInd/>
        <w:snapToGrid/>
        <w:spacing w:after="0" w:line="288" w:lineRule="auto"/>
        <w:jc w:val="both"/>
        <w:rPr>
          <w:rFonts w:ascii="微软雅黑" w:hAnsi="微软雅黑" w:cs="LPJNJT+Arial Unicode MS"/>
          <w:sz w:val="18"/>
          <w:szCs w:val="18"/>
        </w:rPr>
      </w:pPr>
    </w:p>
    <w:p w14:paraId="5F0EB5BB">
      <w:pPr>
        <w:adjustRightInd/>
        <w:snapToGrid/>
        <w:spacing w:before="200" w:line="220" w:lineRule="atLeast"/>
        <w:rPr>
          <w:rFonts w:ascii="微软雅黑" w:hAnsi="微软雅黑"/>
          <w:b/>
          <w:color w:val="00C4D8"/>
          <w:sz w:val="28"/>
          <w:szCs w:val="28"/>
        </w:rPr>
      </w:pPr>
      <w:r>
        <w:rPr>
          <w:rFonts w:ascii="微软雅黑" w:hAnsi="微软雅黑"/>
          <w:b/>
          <w:color w:val="00C4D8"/>
          <w:sz w:val="28"/>
          <w:szCs w:val="28"/>
        </w:rPr>
        <w:br w:type="page"/>
      </w:r>
    </w:p>
    <w:p w14:paraId="327E3D87">
      <w:pPr>
        <w:adjustRightInd/>
        <w:snapToGrid/>
        <w:spacing w:before="200" w:line="220" w:lineRule="atLeast"/>
        <w:rPr>
          <w:rFonts w:ascii="微软雅黑" w:hAnsi="微软雅黑"/>
          <w:b/>
          <w:color w:val="FF0000"/>
          <w:sz w:val="28"/>
          <w:szCs w:val="28"/>
        </w:rPr>
      </w:pPr>
      <w:r>
        <w:rPr>
          <w:rFonts w:hint="eastAsia" w:ascii="微软雅黑" w:hAnsi="微软雅黑"/>
          <w:b/>
          <w:color w:val="00C4D8"/>
          <w:sz w:val="28"/>
          <w:szCs w:val="28"/>
        </w:rPr>
        <w:t>3.3 免疫疗效正相关/负相关/超进展基因检测结果</w:t>
      </w:r>
      <w:r>
        <w:commentReference w:id="23"/>
      </w:r>
    </w:p>
    <w:p w14:paraId="0F2186EC">
      <w:pPr>
        <w:numPr>
          <w:ilvl w:val="255"/>
          <w:numId w:val="0"/>
        </w:numPr>
        <w:spacing w:after="0" w:line="236" w:lineRule="auto"/>
        <w:ind w:firstLine="420" w:firstLineChars="200"/>
        <w:jc w:val="both"/>
        <w:rPr>
          <w:rFonts w:ascii="微软雅黑" w:hAnsi="微软雅黑" w:cs="微软雅黑"/>
          <w:sz w:val="21"/>
          <w:szCs w:val="21"/>
        </w:rPr>
      </w:pPr>
      <w:r>
        <w:rPr>
          <w:rFonts w:ascii="微软雅黑" w:hAnsi="微软雅黑" w:cs="微软雅黑"/>
          <w:sz w:val="21"/>
          <w:szCs w:val="21"/>
        </w:rPr>
        <w:t>随着免疫治疗</w:t>
      </w:r>
      <w:r>
        <w:rPr>
          <w:rFonts w:hint="eastAsia" w:ascii="微软雅黑" w:hAnsi="微软雅黑" w:cs="微软雅黑"/>
          <w:sz w:val="21"/>
          <w:szCs w:val="21"/>
        </w:rPr>
        <w:t>研究的</w:t>
      </w:r>
      <w:r>
        <w:rPr>
          <w:rFonts w:ascii="微软雅黑" w:hAnsi="微软雅黑" w:cs="微软雅黑"/>
          <w:sz w:val="21"/>
          <w:szCs w:val="21"/>
        </w:rPr>
        <w:t>深入，更多基因组变异被发现与免疫治疗敏感、耐药、超进展相关，以下免疫相关基因标记物预测来源于多种肿瘤的科学研究成果，结果仅供参考。</w:t>
      </w:r>
    </w:p>
    <w:p w14:paraId="020D3B6B">
      <w:pPr>
        <w:pStyle w:val="29"/>
        <w:numPr>
          <w:ilvl w:val="0"/>
          <w:numId w:val="2"/>
        </w:numPr>
        <w:adjustRightInd/>
        <w:snapToGrid/>
        <w:spacing w:before="200"/>
        <w:ind w:firstLineChars="0"/>
        <w:rPr>
          <w:rFonts w:ascii="微软雅黑" w:hAnsi="微软雅黑"/>
          <w:b/>
          <w:color w:val="00C4D8"/>
          <w:sz w:val="28"/>
          <w:szCs w:val="28"/>
        </w:rPr>
      </w:pPr>
      <w:r>
        <w:rPr>
          <w:rFonts w:hint="eastAsia" w:ascii="微软雅黑" w:hAnsi="微软雅黑"/>
          <w:b/>
          <w:color w:val="00C4D8"/>
          <w:sz w:val="28"/>
          <w:szCs w:val="28"/>
        </w:rPr>
        <w:t>免疫治疗正相关基因检测结果</w:t>
      </w:r>
    </w:p>
    <w:tbl>
      <w:tblPr>
        <w:tblStyle w:val="16"/>
        <w:tblW w:w="878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06"/>
        <w:gridCol w:w="2944"/>
        <w:gridCol w:w="3033"/>
      </w:tblGrid>
      <w:tr w14:paraId="2A371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2806" w:type="dxa"/>
            <w:shd w:val="clear" w:color="auto" w:fill="00C4D8"/>
            <w:vAlign w:val="center"/>
          </w:tcPr>
          <w:p w14:paraId="7B397E12">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b/>
                <w:color w:val="FFFFFF" w:themeColor="background1"/>
                <w:kern w:val="2"/>
                <w:sz w:val="24"/>
                <w:szCs w:val="24"/>
                <w14:textFill>
                  <w14:solidFill>
                    <w14:schemeClr w14:val="bg1"/>
                  </w14:solidFill>
                </w14:textFill>
              </w:rPr>
            </w:pPr>
            <w:r>
              <w:rPr>
                <w:rFonts w:hint="eastAsia" w:ascii="微软雅黑" w:hAnsi="微软雅黑"/>
                <w:b/>
                <w:color w:val="FFFFFF" w:themeColor="background1"/>
                <w:kern w:val="2"/>
                <w:sz w:val="24"/>
                <w:szCs w:val="24"/>
                <w14:textFill>
                  <w14:solidFill>
                    <w14:schemeClr w14:val="bg1"/>
                  </w14:solidFill>
                </w14:textFill>
              </w:rPr>
              <w:t>基因</w:t>
            </w:r>
          </w:p>
        </w:tc>
        <w:tc>
          <w:tcPr>
            <w:tcW w:w="2944" w:type="dxa"/>
            <w:shd w:val="clear" w:color="auto" w:fill="00C4D8"/>
            <w:vAlign w:val="center"/>
          </w:tcPr>
          <w:p w14:paraId="2DD30AB6">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b/>
                <w:color w:val="FFFFFF" w:themeColor="background1"/>
                <w:kern w:val="2"/>
                <w:sz w:val="24"/>
                <w:szCs w:val="24"/>
                <w14:textFill>
                  <w14:solidFill>
                    <w14:schemeClr w14:val="bg1"/>
                  </w14:solidFill>
                </w14:textFill>
              </w:rPr>
            </w:pPr>
            <w:r>
              <w:rPr>
                <w:rFonts w:hint="eastAsia" w:ascii="微软雅黑" w:hAnsi="微软雅黑"/>
                <w:b/>
                <w:color w:val="FFFFFF" w:themeColor="background1"/>
                <w:kern w:val="2"/>
                <w:sz w:val="24"/>
                <w:szCs w:val="24"/>
                <w14:textFill>
                  <w14:solidFill>
                    <w14:schemeClr w14:val="bg1"/>
                  </w14:solidFill>
                </w14:textFill>
              </w:rPr>
              <w:t>检测结果</w:t>
            </w:r>
          </w:p>
        </w:tc>
        <w:tc>
          <w:tcPr>
            <w:tcW w:w="3033" w:type="dxa"/>
            <w:shd w:val="clear" w:color="auto" w:fill="00C4D8"/>
            <w:vAlign w:val="center"/>
          </w:tcPr>
          <w:p w14:paraId="2B991938">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b/>
                <w:color w:val="FFFFFF" w:themeColor="background1"/>
                <w:kern w:val="2"/>
                <w:sz w:val="24"/>
                <w:szCs w:val="24"/>
                <w14:textFill>
                  <w14:solidFill>
                    <w14:schemeClr w14:val="bg1"/>
                  </w14:solidFill>
                </w14:textFill>
              </w:rPr>
            </w:pPr>
            <w:r>
              <w:rPr>
                <w:rFonts w:hint="eastAsia" w:ascii="微软雅黑" w:hAnsi="微软雅黑"/>
                <w:b/>
                <w:color w:val="FFFFFF" w:themeColor="background1"/>
                <w:kern w:val="2"/>
                <w:sz w:val="24"/>
                <w:szCs w:val="24"/>
                <w14:textFill>
                  <w14:solidFill>
                    <w14:schemeClr w14:val="bg1"/>
                  </w14:solidFill>
                </w14:textFill>
              </w:rPr>
              <w:t>临床解读</w:t>
            </w:r>
          </w:p>
        </w:tc>
      </w:tr>
      <w:tr w14:paraId="19D22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06" w:type="dxa"/>
            <w:vAlign w:val="center"/>
          </w:tcPr>
          <w:p w14:paraId="4F4B3986">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bookmarkStart w:id="134" w:name="OLE_LINK30" w:colFirst="1" w:colLast="2"/>
            <w:r>
              <w:rPr>
                <w:rFonts w:hint="eastAsia" w:ascii="微软雅黑" w:hAnsi="微软雅黑" w:cs="微软雅黑"/>
                <w:kern w:val="0"/>
                <w:sz w:val="20"/>
                <w:szCs w:val="20"/>
                <w:lang w:bidi="ar"/>
              </w:rPr>
              <w:t>MLH1</w:t>
            </w:r>
          </w:p>
        </w:tc>
        <w:tc>
          <w:tcPr>
            <w:tcW w:w="2944" w:type="dxa"/>
            <w:vAlign w:val="center"/>
          </w:tcPr>
          <w:p w14:paraId="6B36BAC1">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 immune_MLH1_result }}</w:t>
            </w:r>
          </w:p>
        </w:tc>
        <w:tc>
          <w:tcPr>
            <w:tcW w:w="3033" w:type="dxa"/>
            <w:vAlign w:val="center"/>
          </w:tcPr>
          <w:p w14:paraId="750DFBE3">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bookmarkEnd w:id="134"/>
      <w:tr w14:paraId="218C1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06" w:type="dxa"/>
            <w:vAlign w:val="center"/>
          </w:tcPr>
          <w:p w14:paraId="3187CBB9">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MSH2</w:t>
            </w:r>
          </w:p>
        </w:tc>
        <w:tc>
          <w:tcPr>
            <w:tcW w:w="2944" w:type="dxa"/>
            <w:vAlign w:val="center"/>
          </w:tcPr>
          <w:p w14:paraId="1F97A956">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 immune_MSH2_result }}</w:t>
            </w:r>
          </w:p>
        </w:tc>
        <w:tc>
          <w:tcPr>
            <w:tcW w:w="3033" w:type="dxa"/>
            <w:vAlign w:val="center"/>
          </w:tcPr>
          <w:p w14:paraId="32234029">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3E941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06" w:type="dxa"/>
            <w:vAlign w:val="center"/>
          </w:tcPr>
          <w:p w14:paraId="1B37F984">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MSH6</w:t>
            </w:r>
          </w:p>
        </w:tc>
        <w:tc>
          <w:tcPr>
            <w:tcW w:w="2944" w:type="dxa"/>
            <w:vAlign w:val="center"/>
          </w:tcPr>
          <w:p w14:paraId="048961F3">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 immune_MSH6_result }}</w:t>
            </w:r>
          </w:p>
        </w:tc>
        <w:tc>
          <w:tcPr>
            <w:tcW w:w="3033" w:type="dxa"/>
            <w:vAlign w:val="center"/>
          </w:tcPr>
          <w:p w14:paraId="64E1E4A3">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16AE2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06" w:type="dxa"/>
            <w:vAlign w:val="center"/>
          </w:tcPr>
          <w:p w14:paraId="6C3BAD36">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PMS2</w:t>
            </w:r>
          </w:p>
        </w:tc>
        <w:tc>
          <w:tcPr>
            <w:tcW w:w="2944" w:type="dxa"/>
            <w:vAlign w:val="center"/>
          </w:tcPr>
          <w:p w14:paraId="4092C2DB">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 immune_PMS2_result }}</w:t>
            </w:r>
          </w:p>
        </w:tc>
        <w:tc>
          <w:tcPr>
            <w:tcW w:w="3033" w:type="dxa"/>
            <w:vAlign w:val="center"/>
          </w:tcPr>
          <w:p w14:paraId="7388D49C">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1F1A8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06" w:type="dxa"/>
            <w:vAlign w:val="center"/>
          </w:tcPr>
          <w:p w14:paraId="4E612ABA">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POLE</w:t>
            </w:r>
          </w:p>
        </w:tc>
        <w:tc>
          <w:tcPr>
            <w:tcW w:w="2944" w:type="dxa"/>
            <w:vAlign w:val="center"/>
          </w:tcPr>
          <w:p w14:paraId="2AA95D4D">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 immune_POLE_result }}</w:t>
            </w:r>
          </w:p>
        </w:tc>
        <w:tc>
          <w:tcPr>
            <w:tcW w:w="3033" w:type="dxa"/>
            <w:vAlign w:val="center"/>
          </w:tcPr>
          <w:p w14:paraId="64F17A56">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50380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06" w:type="dxa"/>
            <w:vAlign w:val="center"/>
          </w:tcPr>
          <w:p w14:paraId="1BB6465B">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POLD1</w:t>
            </w:r>
          </w:p>
        </w:tc>
        <w:tc>
          <w:tcPr>
            <w:tcW w:w="2944" w:type="dxa"/>
            <w:vAlign w:val="center"/>
          </w:tcPr>
          <w:p w14:paraId="4B3E4779">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 immune_POLD1_result }}</w:t>
            </w:r>
          </w:p>
        </w:tc>
        <w:tc>
          <w:tcPr>
            <w:tcW w:w="3033" w:type="dxa"/>
            <w:vAlign w:val="center"/>
          </w:tcPr>
          <w:p w14:paraId="07FD8CE2">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05CC0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06" w:type="dxa"/>
            <w:vAlign w:val="center"/>
          </w:tcPr>
          <w:p w14:paraId="17470B40">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CD274（PD-L1）</w:t>
            </w:r>
          </w:p>
        </w:tc>
        <w:tc>
          <w:tcPr>
            <w:tcW w:w="2944" w:type="dxa"/>
            <w:vAlign w:val="center"/>
          </w:tcPr>
          <w:p w14:paraId="27A9B57E">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 immune_CD274_result }}</w:t>
            </w:r>
          </w:p>
        </w:tc>
        <w:tc>
          <w:tcPr>
            <w:tcW w:w="3033" w:type="dxa"/>
            <w:vAlign w:val="center"/>
          </w:tcPr>
          <w:p w14:paraId="789B8B5B">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3BFF9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06" w:type="dxa"/>
            <w:vAlign w:val="center"/>
          </w:tcPr>
          <w:p w14:paraId="787F2FD4">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PDCD1LG2（PD-L2）</w:t>
            </w:r>
          </w:p>
        </w:tc>
        <w:tc>
          <w:tcPr>
            <w:tcW w:w="2944" w:type="dxa"/>
            <w:vAlign w:val="center"/>
          </w:tcPr>
          <w:p w14:paraId="6FF3A0CD">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 immune_PDCD1LG2_result }}</w:t>
            </w:r>
          </w:p>
        </w:tc>
        <w:tc>
          <w:tcPr>
            <w:tcW w:w="3033" w:type="dxa"/>
            <w:vAlign w:val="center"/>
          </w:tcPr>
          <w:p w14:paraId="1C172642">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0FEBA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06" w:type="dxa"/>
            <w:vAlign w:val="center"/>
          </w:tcPr>
          <w:p w14:paraId="3D25BB71">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PBRM1</w:t>
            </w:r>
          </w:p>
        </w:tc>
        <w:tc>
          <w:tcPr>
            <w:tcW w:w="2944" w:type="dxa"/>
            <w:vAlign w:val="center"/>
          </w:tcPr>
          <w:p w14:paraId="61C76F53">
            <w:pPr>
              <w:keepNext w:val="0"/>
              <w:keepLines w:val="0"/>
              <w:widowControl/>
              <w:suppressLineNumbers w:val="0"/>
              <w:adjustRightInd w:val="0"/>
              <w:snapToGrid w:val="0"/>
              <w:spacing w:before="0" w:beforeAutospacing="0" w:after="0" w:afterAutospacing="0"/>
              <w:ind w:left="0" w:right="0"/>
              <w:jc w:val="center"/>
              <w:rPr>
                <w:rFonts w:hint="eastAsia" w:ascii="微软雅黑" w:hAnsi="微软雅黑" w:cs="微软雅黑"/>
                <w:color w:val="FF0000"/>
                <w:kern w:val="0"/>
                <w:sz w:val="20"/>
                <w:szCs w:val="20"/>
                <w:u w:val="none"/>
                <w:lang w:bidi="ar"/>
              </w:rPr>
            </w:pPr>
            <w:r>
              <w:rPr>
                <w:rFonts w:hint="eastAsia" w:ascii="微软雅黑" w:hAnsi="微软雅黑" w:cs="微软雅黑"/>
                <w:kern w:val="0"/>
                <w:sz w:val="20"/>
                <w:szCs w:val="20"/>
                <w:lang w:bidi="ar"/>
              </w:rPr>
              <w:t>{{ immune_PBRM1_result }}</w:t>
            </w:r>
          </w:p>
        </w:tc>
        <w:tc>
          <w:tcPr>
            <w:tcW w:w="3033" w:type="dxa"/>
            <w:vAlign w:val="center"/>
          </w:tcPr>
          <w:p w14:paraId="5BA391AB">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0CBF9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06" w:type="dxa"/>
            <w:vAlign w:val="center"/>
          </w:tcPr>
          <w:p w14:paraId="082F5F2E">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KRAS</w:t>
            </w:r>
          </w:p>
        </w:tc>
        <w:tc>
          <w:tcPr>
            <w:tcW w:w="2944" w:type="dxa"/>
            <w:vAlign w:val="center"/>
          </w:tcPr>
          <w:p w14:paraId="77CA3CBB">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auto"/>
              <w:rPr>
                <w:rFonts w:hint="default" w:ascii="微软雅黑" w:hAnsi="微软雅黑" w:cs="微软雅黑"/>
                <w:color w:val="FF0000"/>
                <w:kern w:val="0"/>
                <w:sz w:val="20"/>
                <w:szCs w:val="20"/>
                <w:lang w:bidi="ar"/>
              </w:rPr>
            </w:pPr>
            <w:r>
              <w:rPr>
                <w:rFonts w:hint="default" w:ascii="微软雅黑" w:hAnsi="微软雅黑" w:cs="微软雅黑"/>
                <w:color w:val="FF0000"/>
                <w:kern w:val="0"/>
                <w:sz w:val="20"/>
                <w:szCs w:val="20"/>
                <w:lang w:bidi="ar"/>
              </w:rPr>
              <w:t>{{ immune_KRAS_result }}</w:t>
            </w:r>
          </w:p>
        </w:tc>
        <w:tc>
          <w:tcPr>
            <w:tcW w:w="3033" w:type="dxa"/>
            <w:vAlign w:val="center"/>
          </w:tcPr>
          <w:p w14:paraId="3497EA19">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372FA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4" w:hRule="atLeast"/>
          <w:jc w:val="center"/>
        </w:trPr>
        <w:tc>
          <w:tcPr>
            <w:tcW w:w="2806" w:type="dxa"/>
            <w:vAlign w:val="center"/>
          </w:tcPr>
          <w:p w14:paraId="6FD8040B">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KRAS/TP53共突变</w:t>
            </w:r>
          </w:p>
        </w:tc>
        <w:tc>
          <w:tcPr>
            <w:tcW w:w="2944" w:type="dxa"/>
            <w:vAlign w:val="center"/>
          </w:tcPr>
          <w:p w14:paraId="007AAD2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20" w:lineRule="atLeast"/>
              <w:ind w:left="0" w:right="0"/>
              <w:jc w:val="center"/>
              <w:textAlignment w:val="auto"/>
              <w:rPr>
                <w:rFonts w:hint="default" w:ascii="微软雅黑" w:hAnsi="微软雅黑" w:cs="微软雅黑"/>
                <w:color w:val="FF0000"/>
                <w:kern w:val="0"/>
                <w:sz w:val="20"/>
                <w:szCs w:val="20"/>
                <w:lang w:bidi="ar"/>
              </w:rPr>
            </w:pPr>
            <w:r>
              <w:rPr>
                <w:rFonts w:hint="default" w:ascii="微软雅黑" w:hAnsi="微软雅黑" w:cs="微软雅黑"/>
                <w:color w:val="FF0000"/>
                <w:kern w:val="0"/>
                <w:sz w:val="20"/>
                <w:szCs w:val="20"/>
                <w:lang w:bidi="ar"/>
              </w:rPr>
              <w:t>{{ immune_KRAS_TP53_result }}</w:t>
            </w:r>
          </w:p>
        </w:tc>
        <w:tc>
          <w:tcPr>
            <w:tcW w:w="3033" w:type="dxa"/>
            <w:vAlign w:val="center"/>
          </w:tcPr>
          <w:p w14:paraId="57B146C4">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6BA07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06" w:type="dxa"/>
            <w:vAlign w:val="center"/>
          </w:tcPr>
          <w:p w14:paraId="5FFEE4D0">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TET1</w:t>
            </w:r>
          </w:p>
        </w:tc>
        <w:tc>
          <w:tcPr>
            <w:tcW w:w="2944" w:type="dxa"/>
            <w:vAlign w:val="center"/>
          </w:tcPr>
          <w:p w14:paraId="1694E83E">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 immune_TET1_result }}</w:t>
            </w:r>
          </w:p>
        </w:tc>
        <w:tc>
          <w:tcPr>
            <w:tcW w:w="3033" w:type="dxa"/>
            <w:vAlign w:val="center"/>
          </w:tcPr>
          <w:p w14:paraId="20620484">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23612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06" w:type="dxa"/>
            <w:vAlign w:val="center"/>
          </w:tcPr>
          <w:p w14:paraId="7808DE81">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SERPINB3</w:t>
            </w:r>
          </w:p>
        </w:tc>
        <w:tc>
          <w:tcPr>
            <w:tcW w:w="2944" w:type="dxa"/>
            <w:vAlign w:val="center"/>
          </w:tcPr>
          <w:p w14:paraId="715DBFD3">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 immune_SERPINB3_result }}</w:t>
            </w:r>
          </w:p>
        </w:tc>
        <w:tc>
          <w:tcPr>
            <w:tcW w:w="3033" w:type="dxa"/>
            <w:vAlign w:val="center"/>
          </w:tcPr>
          <w:p w14:paraId="730CE087">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6ABC0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06" w:type="dxa"/>
            <w:vAlign w:val="center"/>
          </w:tcPr>
          <w:p w14:paraId="344090C8">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SERPINB4</w:t>
            </w:r>
          </w:p>
        </w:tc>
        <w:tc>
          <w:tcPr>
            <w:tcW w:w="2944" w:type="dxa"/>
            <w:vAlign w:val="center"/>
          </w:tcPr>
          <w:p w14:paraId="4E9FFF99">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 immune_SERPINB4_result }}</w:t>
            </w:r>
          </w:p>
        </w:tc>
        <w:tc>
          <w:tcPr>
            <w:tcW w:w="3033" w:type="dxa"/>
            <w:vAlign w:val="center"/>
          </w:tcPr>
          <w:p w14:paraId="44963B33">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01DE8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exact"/>
          <w:jc w:val="center"/>
        </w:trPr>
        <w:tc>
          <w:tcPr>
            <w:tcW w:w="2806" w:type="dxa"/>
            <w:vAlign w:val="center"/>
          </w:tcPr>
          <w:p w14:paraId="27680538">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DDR基因</w:t>
            </w:r>
          </w:p>
          <w:p w14:paraId="1D2F6CE5">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（DNA损伤修复相关基因）</w:t>
            </w:r>
          </w:p>
        </w:tc>
        <w:tc>
          <w:tcPr>
            <w:tcW w:w="2944" w:type="dxa"/>
            <w:vAlign w:val="center"/>
          </w:tcPr>
          <w:p w14:paraId="77F140F5">
            <w:pPr>
              <w:keepNext w:val="0"/>
              <w:keepLines w:val="0"/>
              <w:widowControl/>
              <w:suppressLineNumbers w:val="0"/>
              <w:adjustRightInd w:val="0"/>
              <w:snapToGrid w:val="0"/>
              <w:spacing w:before="0" w:beforeAutospacing="0" w:after="0" w:afterAutospacing="0"/>
              <w:ind w:left="0" w:right="0"/>
              <w:jc w:val="center"/>
              <w:rPr>
                <w:rFonts w:hint="eastAsia" w:ascii="微软雅黑" w:hAnsi="微软雅黑" w:cs="微软雅黑"/>
                <w:color w:val="FF0000"/>
                <w:kern w:val="0"/>
                <w:sz w:val="20"/>
                <w:szCs w:val="20"/>
                <w:u w:val="none"/>
                <w:lang w:bidi="ar"/>
              </w:rPr>
            </w:pPr>
            <w:r>
              <w:rPr>
                <w:rFonts w:hint="eastAsia" w:ascii="微软雅黑" w:hAnsi="微软雅黑" w:cs="微软雅黑"/>
                <w:color w:val="FF0000"/>
                <w:kern w:val="0"/>
                <w:sz w:val="20"/>
                <w:szCs w:val="20"/>
                <w:u w:val="none"/>
                <w:lang w:bidi="ar"/>
              </w:rPr>
              <w:t>{{ immune_DDR_result }}</w:t>
            </w:r>
          </w:p>
        </w:tc>
        <w:tc>
          <w:tcPr>
            <w:tcW w:w="3033" w:type="dxa"/>
            <w:vAlign w:val="center"/>
          </w:tcPr>
          <w:p w14:paraId="2D75D23C">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bl>
    <w:p w14:paraId="56488F99">
      <w:pPr>
        <w:adjustRightInd/>
        <w:snapToGrid/>
        <w:spacing w:before="200" w:line="220" w:lineRule="atLeast"/>
        <w:ind w:firstLine="400" w:firstLineChars="200"/>
        <w:jc w:val="both"/>
        <w:rPr>
          <w:rFonts w:ascii="微软雅黑" w:hAnsi="微软雅黑" w:cs="微软雅黑"/>
          <w:color w:val="262626"/>
          <w:sz w:val="20"/>
          <w:szCs w:val="20"/>
          <w:lang w:bidi="ar"/>
        </w:rPr>
      </w:pPr>
      <w:r>
        <w:rPr>
          <w:rFonts w:hint="eastAsia" w:ascii="微软雅黑" w:hAnsi="微软雅黑" w:cs="微软雅黑"/>
          <w:sz w:val="20"/>
          <w:szCs w:val="20"/>
        </w:rPr>
        <w:t>免疫治疗正相关基因，指的是在免疫治疗过程中，携带该类基因突变的患者接受免疫治疗疗效可能较好，如</w:t>
      </w:r>
      <w:r>
        <w:rPr>
          <w:rFonts w:hint="eastAsia" w:ascii="微软雅黑" w:hAnsi="微软雅黑" w:cs="微软雅黑"/>
          <w:color w:val="262626"/>
          <w:sz w:val="20"/>
          <w:szCs w:val="20"/>
          <w:lang w:bidi="ar"/>
        </w:rPr>
        <w:t>PBRM1基因</w:t>
      </w:r>
      <w:r>
        <w:rPr>
          <w:rFonts w:hint="eastAsia" w:ascii="微软雅黑" w:hAnsi="微软雅黑" w:cs="微软雅黑"/>
          <w:color w:val="262626"/>
          <w:sz w:val="20"/>
          <w:szCs w:val="20"/>
          <w:vertAlign w:val="superscript"/>
          <w:lang w:bidi="ar"/>
        </w:rPr>
        <w:t>[1]</w:t>
      </w:r>
      <w:r>
        <w:rPr>
          <w:rFonts w:hint="eastAsia" w:ascii="微软雅黑" w:hAnsi="微软雅黑" w:cs="微软雅黑"/>
          <w:color w:val="262626"/>
          <w:sz w:val="20"/>
          <w:szCs w:val="20"/>
          <w:lang w:bidi="ar"/>
        </w:rPr>
        <w:t>。</w:t>
      </w:r>
    </w:p>
    <w:p w14:paraId="0DBB7570">
      <w:pPr>
        <w:pStyle w:val="29"/>
        <w:adjustRightInd/>
        <w:snapToGrid/>
        <w:spacing w:before="200"/>
        <w:ind w:firstLine="0" w:firstLineChars="0"/>
        <w:jc w:val="center"/>
        <w:rPr>
          <w:rFonts w:ascii="微软雅黑" w:hAnsi="微软雅黑" w:cs="LPJNJT+Arial Unicode MS"/>
          <w:b/>
          <w:color w:val="000000"/>
          <w:sz w:val="21"/>
          <w:szCs w:val="21"/>
          <w:lang w:bidi="ar"/>
        </w:rPr>
      </w:pPr>
      <w:r>
        <w:drawing>
          <wp:inline distT="0" distB="0" distL="114300" distR="114300">
            <wp:extent cx="947420" cy="1979930"/>
            <wp:effectExtent l="0" t="0" r="5080" b="1270"/>
            <wp:docPr id="102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 name="图片 3"/>
                    <pic:cNvPicPr>
                      <a:picLocks noChangeAspect="1"/>
                    </pic:cNvPicPr>
                  </pic:nvPicPr>
                  <pic:blipFill>
                    <a:blip r:embed="rId22"/>
                    <a:stretch>
                      <a:fillRect/>
                    </a:stretch>
                  </pic:blipFill>
                  <pic:spPr>
                    <a:xfrm>
                      <a:off x="0" y="0"/>
                      <a:ext cx="947420" cy="1979930"/>
                    </a:xfrm>
                    <a:prstGeom prst="rect">
                      <a:avLst/>
                    </a:prstGeom>
                    <a:noFill/>
                    <a:ln>
                      <a:noFill/>
                    </a:ln>
                  </pic:spPr>
                </pic:pic>
              </a:graphicData>
            </a:graphic>
          </wp:inline>
        </w:drawing>
      </w:r>
      <w:r>
        <w:rPr>
          <w:rFonts w:hint="eastAsia"/>
        </w:rPr>
        <w:t xml:space="preserve"> </w:t>
      </w:r>
      <w:r>
        <w:drawing>
          <wp:inline distT="0" distB="0" distL="114300" distR="114300">
            <wp:extent cx="3230245" cy="1979930"/>
            <wp:effectExtent l="0" t="0" r="8255" b="1270"/>
            <wp:docPr id="102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 name="图片 5"/>
                    <pic:cNvPicPr>
                      <a:picLocks noChangeAspect="1"/>
                    </pic:cNvPicPr>
                  </pic:nvPicPr>
                  <pic:blipFill>
                    <a:blip r:embed="rId23"/>
                    <a:stretch>
                      <a:fillRect/>
                    </a:stretch>
                  </pic:blipFill>
                  <pic:spPr>
                    <a:xfrm>
                      <a:off x="0" y="0"/>
                      <a:ext cx="3230245" cy="1979930"/>
                    </a:xfrm>
                    <a:prstGeom prst="rect">
                      <a:avLst/>
                    </a:prstGeom>
                    <a:noFill/>
                    <a:ln>
                      <a:noFill/>
                    </a:ln>
                  </pic:spPr>
                </pic:pic>
              </a:graphicData>
            </a:graphic>
          </wp:inline>
        </w:drawing>
      </w:r>
    </w:p>
    <w:p w14:paraId="192B2E71">
      <w:pPr>
        <w:numPr>
          <w:ilvl w:val="255"/>
          <w:numId w:val="0"/>
        </w:numPr>
        <w:spacing w:after="0" w:line="236" w:lineRule="auto"/>
        <w:ind w:firstLine="400" w:firstLineChars="200"/>
        <w:jc w:val="center"/>
        <w:rPr>
          <w:sz w:val="20"/>
          <w:szCs w:val="20"/>
        </w:rPr>
      </w:pPr>
      <w:r>
        <w:rPr>
          <w:rFonts w:hint="eastAsia" w:ascii="微软雅黑" w:hAnsi="微软雅黑" w:cs="微软雅黑"/>
          <w:sz w:val="20"/>
          <w:szCs w:val="20"/>
        </w:rPr>
        <w:t>图1  PBRM1基因突变的肾透明细胞癌患者免疫治疗获益</w:t>
      </w:r>
    </w:p>
    <w:p w14:paraId="02DEBBD1">
      <w:pPr>
        <w:pStyle w:val="29"/>
        <w:adjustRightInd/>
        <w:snapToGrid/>
        <w:spacing w:after="0"/>
        <w:ind w:firstLine="0" w:firstLineChars="0"/>
        <w:rPr>
          <w:rFonts w:ascii="微软雅黑" w:hAnsi="微软雅黑" w:cs="LPJNJT+Arial Unicode MS"/>
          <w:b/>
          <w:color w:val="000000"/>
          <w:sz w:val="21"/>
          <w:szCs w:val="21"/>
          <w:lang w:bidi="ar"/>
        </w:rPr>
      </w:pPr>
      <w:r>
        <w:rPr>
          <w:rFonts w:hint="eastAsia" w:ascii="微软雅黑" w:hAnsi="微软雅黑" w:cs="LPJNJT+Arial Unicode MS"/>
          <w:b/>
          <w:color w:val="000000"/>
          <w:sz w:val="21"/>
          <w:szCs w:val="21"/>
          <w:lang w:bidi="ar"/>
        </w:rPr>
        <w:t>参考文献：</w:t>
      </w:r>
    </w:p>
    <w:p w14:paraId="03C1BD3F">
      <w:pPr>
        <w:pStyle w:val="54"/>
        <w:numPr>
          <w:ilvl w:val="255"/>
          <w:numId w:val="0"/>
        </w:numPr>
        <w:spacing w:line="288" w:lineRule="auto"/>
        <w:ind w:right="-51"/>
        <w:jc w:val="both"/>
        <w:rPr>
          <w:rFonts w:hint="default" w:ascii="微软雅黑" w:hAnsi="微软雅黑" w:eastAsia="微软雅黑" w:cs="LPJNJT+Arial Unicode MS"/>
          <w:sz w:val="16"/>
          <w:szCs w:val="16"/>
        </w:rPr>
      </w:pPr>
      <w:r>
        <w:rPr>
          <w:rFonts w:ascii="微软雅黑" w:hAnsi="微软雅黑" w:eastAsia="微软雅黑" w:cs="LPJNJT+Arial Unicode MS"/>
          <w:sz w:val="16"/>
          <w:szCs w:val="16"/>
        </w:rPr>
        <w:t xml:space="preserve">[1] </w:t>
      </w:r>
      <w:r>
        <w:rPr>
          <w:rFonts w:hint="default" w:ascii="微软雅黑" w:hAnsi="微软雅黑" w:eastAsia="微软雅黑" w:cs="LPJNJT+Arial Unicode MS"/>
          <w:sz w:val="16"/>
          <w:szCs w:val="16"/>
        </w:rPr>
        <w:t>Miao D, Margolis C A, Gao W, et al. Genomic correlates of response to immune checkpoint therapies in clear cell renal cell carcinoma[J]. Science, 2018, 359(6377): 801-806.</w:t>
      </w:r>
    </w:p>
    <w:p w14:paraId="5BA68B57">
      <w:pPr>
        <w:pStyle w:val="29"/>
        <w:numPr>
          <w:ilvl w:val="0"/>
          <w:numId w:val="2"/>
        </w:numPr>
        <w:adjustRightInd/>
        <w:snapToGrid/>
        <w:spacing w:before="200"/>
        <w:ind w:firstLineChars="0"/>
        <w:rPr>
          <w:rFonts w:ascii="微软雅黑" w:hAnsi="微软雅黑"/>
          <w:b/>
          <w:color w:val="00C4D8"/>
          <w:sz w:val="28"/>
          <w:szCs w:val="28"/>
        </w:rPr>
      </w:pPr>
      <w:r>
        <w:rPr>
          <w:rFonts w:hint="eastAsia" w:ascii="微软雅黑" w:hAnsi="微软雅黑"/>
          <w:b/>
          <w:color w:val="00C4D8"/>
          <w:sz w:val="28"/>
          <w:szCs w:val="28"/>
        </w:rPr>
        <w:t>免疫治疗负相关基因检测结果</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51"/>
        <w:gridCol w:w="2656"/>
        <w:gridCol w:w="3215"/>
      </w:tblGrid>
      <w:tr w14:paraId="46129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651" w:type="dxa"/>
            <w:shd w:val="clear" w:color="auto" w:fill="00C4D8"/>
            <w:vAlign w:val="center"/>
          </w:tcPr>
          <w:p w14:paraId="6FD53ACF">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b/>
                <w:color w:val="FFFFFF" w:themeColor="background1"/>
                <w:kern w:val="2"/>
                <w:sz w:val="24"/>
                <w:szCs w:val="24"/>
                <w14:textFill>
                  <w14:solidFill>
                    <w14:schemeClr w14:val="bg1"/>
                  </w14:solidFill>
                </w14:textFill>
              </w:rPr>
            </w:pPr>
            <w:r>
              <w:rPr>
                <w:rFonts w:hint="eastAsia" w:ascii="微软雅黑" w:hAnsi="微软雅黑"/>
                <w:b/>
                <w:color w:val="FFFFFF" w:themeColor="background1"/>
                <w:kern w:val="2"/>
                <w:sz w:val="24"/>
                <w:szCs w:val="24"/>
                <w14:textFill>
                  <w14:solidFill>
                    <w14:schemeClr w14:val="bg1"/>
                  </w14:solidFill>
                </w14:textFill>
              </w:rPr>
              <w:t>基因</w:t>
            </w:r>
          </w:p>
        </w:tc>
        <w:tc>
          <w:tcPr>
            <w:tcW w:w="2656" w:type="dxa"/>
            <w:shd w:val="clear" w:color="auto" w:fill="00C4D8"/>
            <w:vAlign w:val="center"/>
          </w:tcPr>
          <w:p w14:paraId="4BF8E4C7">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b/>
                <w:color w:val="FFFFFF" w:themeColor="background1"/>
                <w:kern w:val="2"/>
                <w:sz w:val="24"/>
                <w:szCs w:val="24"/>
                <w14:textFill>
                  <w14:solidFill>
                    <w14:schemeClr w14:val="bg1"/>
                  </w14:solidFill>
                </w14:textFill>
              </w:rPr>
            </w:pPr>
            <w:r>
              <w:rPr>
                <w:rFonts w:hint="eastAsia" w:ascii="微软雅黑" w:hAnsi="微软雅黑"/>
                <w:b/>
                <w:color w:val="FFFFFF" w:themeColor="background1"/>
                <w:kern w:val="2"/>
                <w:sz w:val="24"/>
                <w:szCs w:val="24"/>
                <w14:textFill>
                  <w14:solidFill>
                    <w14:schemeClr w14:val="bg1"/>
                  </w14:solidFill>
                </w14:textFill>
              </w:rPr>
              <w:t>检测结果</w:t>
            </w:r>
          </w:p>
        </w:tc>
        <w:tc>
          <w:tcPr>
            <w:tcW w:w="3215" w:type="dxa"/>
            <w:shd w:val="clear" w:color="auto" w:fill="00C4D8"/>
            <w:vAlign w:val="center"/>
          </w:tcPr>
          <w:p w14:paraId="41A39688">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b/>
                <w:color w:val="FFFFFF" w:themeColor="background1"/>
                <w:kern w:val="2"/>
                <w:sz w:val="24"/>
                <w:szCs w:val="24"/>
                <w14:textFill>
                  <w14:solidFill>
                    <w14:schemeClr w14:val="bg1"/>
                  </w14:solidFill>
                </w14:textFill>
              </w:rPr>
            </w:pPr>
            <w:r>
              <w:rPr>
                <w:rFonts w:hint="eastAsia" w:ascii="微软雅黑" w:hAnsi="微软雅黑"/>
                <w:b/>
                <w:color w:val="FFFFFF" w:themeColor="background1"/>
                <w:kern w:val="2"/>
                <w:sz w:val="24"/>
                <w:szCs w:val="24"/>
                <w14:textFill>
                  <w14:solidFill>
                    <w14:schemeClr w14:val="bg1"/>
                  </w14:solidFill>
                </w14:textFill>
              </w:rPr>
              <w:t>临床解读</w:t>
            </w:r>
          </w:p>
        </w:tc>
      </w:tr>
      <w:tr w14:paraId="70D43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64A53989">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PTEN</w:t>
            </w:r>
          </w:p>
        </w:tc>
        <w:tc>
          <w:tcPr>
            <w:tcW w:w="2656" w:type="dxa"/>
            <w:vAlign w:val="center"/>
          </w:tcPr>
          <w:p w14:paraId="1DF03F00">
            <w:pPr>
              <w:keepNext w:val="0"/>
              <w:keepLines w:val="0"/>
              <w:widowControl/>
              <w:suppressLineNumbers w:val="0"/>
              <w:adjustRightInd/>
              <w:snapToGrid/>
              <w:spacing w:before="0" w:beforeAutospacing="0" w:after="0" w:afterAutospacing="0"/>
              <w:ind w:left="0" w:right="0"/>
              <w:jc w:val="center"/>
              <w:rPr>
                <w:rFonts w:hint="eastAsia" w:ascii="微软雅黑" w:hAnsi="微软雅黑" w:eastAsia="微软雅黑" w:cs="微软雅黑"/>
                <w:kern w:val="0"/>
                <w:sz w:val="20"/>
                <w:szCs w:val="20"/>
                <w:lang w:eastAsia="zh-CN" w:bidi="ar"/>
              </w:rPr>
            </w:pPr>
            <w:r>
              <w:rPr>
                <w:rFonts w:hint="eastAsia" w:ascii="微软雅黑" w:hAnsi="微软雅黑" w:cs="微软雅黑"/>
                <w:kern w:val="0"/>
                <w:sz w:val="20"/>
                <w:szCs w:val="20"/>
                <w:lang w:bidi="ar"/>
              </w:rPr>
              <w:t>{{ immune_PTEN_result }}</w:t>
            </w:r>
          </w:p>
        </w:tc>
        <w:tc>
          <w:tcPr>
            <w:tcW w:w="3215" w:type="dxa"/>
            <w:vAlign w:val="center"/>
          </w:tcPr>
          <w:p w14:paraId="1CEF4A3C">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检出有害变异时可能耐药。</w:t>
            </w:r>
          </w:p>
        </w:tc>
      </w:tr>
      <w:tr w14:paraId="1F996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4C0CAC85">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JAK1</w:t>
            </w:r>
          </w:p>
        </w:tc>
        <w:tc>
          <w:tcPr>
            <w:tcW w:w="2656" w:type="dxa"/>
            <w:vAlign w:val="center"/>
          </w:tcPr>
          <w:p w14:paraId="678B83D1">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 immune_JAK1_result }}</w:t>
            </w:r>
          </w:p>
        </w:tc>
        <w:tc>
          <w:tcPr>
            <w:tcW w:w="3215" w:type="dxa"/>
            <w:vAlign w:val="center"/>
          </w:tcPr>
          <w:p w14:paraId="0351ECAE">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检出有害变异时可能耐药。</w:t>
            </w:r>
          </w:p>
        </w:tc>
      </w:tr>
      <w:tr w14:paraId="476AA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2AE3CDA8">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JAK2</w:t>
            </w:r>
          </w:p>
        </w:tc>
        <w:tc>
          <w:tcPr>
            <w:tcW w:w="2656" w:type="dxa"/>
            <w:vAlign w:val="center"/>
          </w:tcPr>
          <w:p w14:paraId="4A75A6A8">
            <w:pPr>
              <w:keepNext w:val="0"/>
              <w:keepLines w:val="0"/>
              <w:widowControl/>
              <w:suppressLineNumbers w:val="0"/>
              <w:adjustRightInd/>
              <w:snapToGrid/>
              <w:spacing w:before="0" w:beforeAutospacing="0" w:after="0" w:afterAutospacing="0"/>
              <w:ind w:left="0" w:right="0"/>
              <w:jc w:val="center"/>
              <w:rPr>
                <w:rFonts w:hint="eastAsia" w:ascii="微软雅黑" w:hAnsi="微软雅黑" w:eastAsia="微软雅黑" w:cs="微软雅黑"/>
                <w:kern w:val="0"/>
                <w:sz w:val="20"/>
                <w:szCs w:val="20"/>
                <w:lang w:eastAsia="zh-CN" w:bidi="ar"/>
              </w:rPr>
            </w:pPr>
            <w:r>
              <w:rPr>
                <w:rFonts w:hint="eastAsia" w:ascii="微软雅黑" w:hAnsi="微软雅黑" w:cs="微软雅黑"/>
                <w:kern w:val="0"/>
                <w:sz w:val="20"/>
                <w:szCs w:val="20"/>
                <w:lang w:bidi="ar"/>
              </w:rPr>
              <w:t>{{ immune_JAK2_result }}</w:t>
            </w:r>
          </w:p>
        </w:tc>
        <w:tc>
          <w:tcPr>
            <w:tcW w:w="3215" w:type="dxa"/>
            <w:vAlign w:val="center"/>
          </w:tcPr>
          <w:p w14:paraId="03069C20">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检出有害变异时可能耐药。</w:t>
            </w:r>
          </w:p>
        </w:tc>
      </w:tr>
      <w:tr w14:paraId="252E3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2AE84D7D">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B2M</w:t>
            </w:r>
          </w:p>
        </w:tc>
        <w:tc>
          <w:tcPr>
            <w:tcW w:w="2656" w:type="dxa"/>
            <w:vAlign w:val="center"/>
          </w:tcPr>
          <w:p w14:paraId="0327FD0A">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 immune_B2M_result }}</w:t>
            </w:r>
          </w:p>
        </w:tc>
        <w:tc>
          <w:tcPr>
            <w:tcW w:w="3215" w:type="dxa"/>
            <w:vAlign w:val="center"/>
          </w:tcPr>
          <w:p w14:paraId="1A53A59F">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检出有害变异时可能耐药。</w:t>
            </w:r>
          </w:p>
        </w:tc>
      </w:tr>
      <w:tr w14:paraId="7F16A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50E48A65">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CTNNB1</w:t>
            </w:r>
          </w:p>
        </w:tc>
        <w:tc>
          <w:tcPr>
            <w:tcW w:w="2656" w:type="dxa"/>
            <w:vAlign w:val="center"/>
          </w:tcPr>
          <w:p w14:paraId="6B010132">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 immune_CTNNB1_result }}</w:t>
            </w:r>
          </w:p>
        </w:tc>
        <w:tc>
          <w:tcPr>
            <w:tcW w:w="3215" w:type="dxa"/>
            <w:vAlign w:val="center"/>
          </w:tcPr>
          <w:p w14:paraId="66B60724">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检出有害变异时可能耐药。</w:t>
            </w:r>
          </w:p>
        </w:tc>
      </w:tr>
      <w:tr w14:paraId="71E26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6F64042B">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EGFR（L858R/EX19del）</w:t>
            </w:r>
          </w:p>
        </w:tc>
        <w:tc>
          <w:tcPr>
            <w:tcW w:w="2656" w:type="dxa"/>
            <w:vAlign w:val="center"/>
          </w:tcPr>
          <w:p w14:paraId="5287D597">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 immune_neg_EGFR_result }}</w:t>
            </w:r>
          </w:p>
        </w:tc>
        <w:tc>
          <w:tcPr>
            <w:tcW w:w="3215" w:type="dxa"/>
            <w:vAlign w:val="center"/>
          </w:tcPr>
          <w:p w14:paraId="37CD2D75">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检出有害变异时可能疗效不佳。</w:t>
            </w:r>
          </w:p>
        </w:tc>
      </w:tr>
      <w:tr w14:paraId="3A66A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17BA4C1D">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ALK</w:t>
            </w:r>
          </w:p>
        </w:tc>
        <w:tc>
          <w:tcPr>
            <w:tcW w:w="2656" w:type="dxa"/>
            <w:vAlign w:val="center"/>
          </w:tcPr>
          <w:p w14:paraId="0AD440A2">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 immune_ALK_result }}</w:t>
            </w:r>
          </w:p>
        </w:tc>
        <w:tc>
          <w:tcPr>
            <w:tcW w:w="3215" w:type="dxa"/>
            <w:vAlign w:val="center"/>
          </w:tcPr>
          <w:p w14:paraId="5DDB118D">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检出有害变异时可能疗效不佳。</w:t>
            </w:r>
          </w:p>
        </w:tc>
      </w:tr>
      <w:tr w14:paraId="248C3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445790D7">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MET</w:t>
            </w:r>
          </w:p>
        </w:tc>
        <w:tc>
          <w:tcPr>
            <w:tcW w:w="2656" w:type="dxa"/>
            <w:vAlign w:val="center"/>
          </w:tcPr>
          <w:p w14:paraId="49C15730">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 immune_MET_result }}</w:t>
            </w:r>
          </w:p>
        </w:tc>
        <w:tc>
          <w:tcPr>
            <w:tcW w:w="3215" w:type="dxa"/>
            <w:vAlign w:val="center"/>
          </w:tcPr>
          <w:p w14:paraId="52DAE4D7">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检出有害变异时可能疗效不佳。</w:t>
            </w:r>
          </w:p>
        </w:tc>
      </w:tr>
      <w:tr w14:paraId="2F538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052B9AA0">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STK11</w:t>
            </w:r>
          </w:p>
        </w:tc>
        <w:tc>
          <w:tcPr>
            <w:tcW w:w="2656" w:type="dxa"/>
            <w:vAlign w:val="center"/>
          </w:tcPr>
          <w:p w14:paraId="1C34A896">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 immune_STK11_result }}</w:t>
            </w:r>
          </w:p>
        </w:tc>
        <w:tc>
          <w:tcPr>
            <w:tcW w:w="3215" w:type="dxa"/>
            <w:vAlign w:val="center"/>
          </w:tcPr>
          <w:p w14:paraId="51CE6893">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检出有害变异时可能疗效不佳。</w:t>
            </w:r>
          </w:p>
        </w:tc>
      </w:tr>
      <w:tr w14:paraId="2DE3D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04C41988">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KRAS/STK11共突变</w:t>
            </w:r>
          </w:p>
        </w:tc>
        <w:tc>
          <w:tcPr>
            <w:tcW w:w="2656" w:type="dxa"/>
            <w:vAlign w:val="center"/>
          </w:tcPr>
          <w:p w14:paraId="689CC9AC">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 immune_KRAS_STK11_result }}</w:t>
            </w:r>
          </w:p>
        </w:tc>
        <w:tc>
          <w:tcPr>
            <w:tcW w:w="3215" w:type="dxa"/>
            <w:vAlign w:val="center"/>
          </w:tcPr>
          <w:p w14:paraId="4433FDF8">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检出有害变异时可能疗效不佳。</w:t>
            </w:r>
          </w:p>
        </w:tc>
      </w:tr>
      <w:tr w14:paraId="38A16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3F723B6F">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KEAP1</w:t>
            </w:r>
          </w:p>
        </w:tc>
        <w:tc>
          <w:tcPr>
            <w:tcW w:w="2656" w:type="dxa"/>
            <w:vAlign w:val="center"/>
          </w:tcPr>
          <w:p w14:paraId="20D23E5F">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 immune_KEAP1_result }}</w:t>
            </w:r>
          </w:p>
        </w:tc>
        <w:tc>
          <w:tcPr>
            <w:tcW w:w="3215" w:type="dxa"/>
            <w:vAlign w:val="center"/>
          </w:tcPr>
          <w:p w14:paraId="3856F7D4">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检出有害变异时可能疗效不佳。</w:t>
            </w:r>
          </w:p>
        </w:tc>
      </w:tr>
      <w:tr w14:paraId="38F5B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079771EA">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IFNGR1/2</w:t>
            </w:r>
          </w:p>
        </w:tc>
        <w:tc>
          <w:tcPr>
            <w:tcW w:w="2656" w:type="dxa"/>
            <w:vAlign w:val="center"/>
          </w:tcPr>
          <w:p w14:paraId="7FECA3CF">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 immune_IFNGR_result }}</w:t>
            </w:r>
          </w:p>
        </w:tc>
        <w:tc>
          <w:tcPr>
            <w:tcW w:w="3215" w:type="dxa"/>
            <w:vAlign w:val="center"/>
          </w:tcPr>
          <w:p w14:paraId="4762A8BC">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检出有害变异时可能疗效不佳。</w:t>
            </w:r>
          </w:p>
        </w:tc>
      </w:tr>
    </w:tbl>
    <w:p w14:paraId="2773012B">
      <w:pPr>
        <w:adjustRightInd/>
        <w:snapToGrid/>
        <w:spacing w:before="200" w:line="220" w:lineRule="atLeast"/>
        <w:ind w:firstLine="400" w:firstLineChars="200"/>
        <w:jc w:val="both"/>
        <w:rPr>
          <w:rFonts w:ascii="微软雅黑" w:hAnsi="微软雅黑" w:cs="微软雅黑"/>
          <w:color w:val="000000"/>
          <w:sz w:val="20"/>
          <w:szCs w:val="20"/>
          <w:lang w:bidi="ar"/>
        </w:rPr>
      </w:pPr>
      <w:r>
        <w:rPr>
          <w:rFonts w:hint="eastAsia" w:ascii="微软雅黑" w:hAnsi="微软雅黑" w:cs="微软雅黑"/>
          <w:color w:val="000000"/>
          <w:sz w:val="20"/>
          <w:szCs w:val="20"/>
          <w:lang w:bidi="ar"/>
        </w:rPr>
        <w:t>免疫治疗负相关基因，指的是在免疫治疗过程中，携带该类基因突变的患者产生免疫治疗耐药/疗效不佳。这些特定基因突变引起通路的改变，可能导致肿瘤微环境中免疫细胞的浸润以及功能受到抑制，如JAK1/2失活突变</w:t>
      </w:r>
      <w:r>
        <w:rPr>
          <w:rFonts w:hint="eastAsia" w:ascii="微软雅黑" w:hAnsi="微软雅黑" w:cs="微软雅黑"/>
          <w:color w:val="000000"/>
          <w:sz w:val="20"/>
          <w:szCs w:val="20"/>
          <w:vertAlign w:val="superscript"/>
          <w:lang w:bidi="ar"/>
        </w:rPr>
        <w:t>[1]</w:t>
      </w:r>
      <w:r>
        <w:rPr>
          <w:rFonts w:hint="eastAsia" w:ascii="微软雅黑" w:hAnsi="微软雅黑" w:cs="微软雅黑"/>
          <w:color w:val="000000"/>
          <w:sz w:val="20"/>
          <w:szCs w:val="20"/>
          <w:lang w:bidi="ar"/>
        </w:rPr>
        <w:t>。</w:t>
      </w:r>
    </w:p>
    <w:p w14:paraId="517BD09B">
      <w:pPr>
        <w:adjustRightInd/>
        <w:snapToGrid/>
        <w:spacing w:before="200" w:line="220" w:lineRule="atLeast"/>
        <w:ind w:firstLine="440" w:firstLineChars="200"/>
        <w:jc w:val="center"/>
        <w:rPr>
          <w:rFonts w:ascii="微软雅黑" w:hAnsi="微软雅黑" w:cs="微软雅黑"/>
          <w:color w:val="262626"/>
          <w:sz w:val="20"/>
          <w:szCs w:val="20"/>
          <w:lang w:bidi="ar"/>
        </w:rPr>
      </w:pPr>
      <w:r>
        <w:drawing>
          <wp:inline distT="0" distB="0" distL="114300" distR="114300">
            <wp:extent cx="3832225" cy="2641600"/>
            <wp:effectExtent l="0" t="0" r="15875" b="6350"/>
            <wp:docPr id="102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 name="图片 6"/>
                    <pic:cNvPicPr>
                      <a:picLocks noChangeAspect="1"/>
                    </pic:cNvPicPr>
                  </pic:nvPicPr>
                  <pic:blipFill>
                    <a:blip r:embed="rId24"/>
                    <a:stretch>
                      <a:fillRect/>
                    </a:stretch>
                  </pic:blipFill>
                  <pic:spPr>
                    <a:xfrm>
                      <a:off x="0" y="0"/>
                      <a:ext cx="3832225" cy="2641600"/>
                    </a:xfrm>
                    <a:prstGeom prst="rect">
                      <a:avLst/>
                    </a:prstGeom>
                    <a:noFill/>
                    <a:ln>
                      <a:noFill/>
                    </a:ln>
                  </pic:spPr>
                </pic:pic>
              </a:graphicData>
            </a:graphic>
          </wp:inline>
        </w:drawing>
      </w:r>
    </w:p>
    <w:p w14:paraId="4A38A33A">
      <w:pPr>
        <w:numPr>
          <w:ilvl w:val="255"/>
          <w:numId w:val="0"/>
        </w:numPr>
        <w:spacing w:after="0" w:line="236" w:lineRule="auto"/>
        <w:ind w:firstLine="400" w:firstLineChars="200"/>
        <w:jc w:val="center"/>
        <w:rPr>
          <w:rFonts w:ascii="微软雅黑" w:hAnsi="微软雅黑" w:cs="微软雅黑"/>
          <w:sz w:val="21"/>
          <w:szCs w:val="21"/>
        </w:rPr>
      </w:pPr>
      <w:r>
        <w:rPr>
          <w:rFonts w:hint="eastAsia" w:ascii="微软雅黑" w:hAnsi="微软雅黑" w:cs="微软雅黑"/>
          <w:sz w:val="20"/>
          <w:szCs w:val="20"/>
        </w:rPr>
        <w:t>图1  JAK1/2失活免疫抑制机制</w:t>
      </w:r>
    </w:p>
    <w:p w14:paraId="686290C2">
      <w:pPr>
        <w:pStyle w:val="29"/>
        <w:adjustRightInd/>
        <w:snapToGrid/>
        <w:spacing w:before="200"/>
        <w:ind w:firstLine="0" w:firstLineChars="0"/>
        <w:rPr>
          <w:rFonts w:ascii="微软雅黑" w:hAnsi="微软雅黑" w:cs="LPJNJT+Arial Unicode MS"/>
          <w:color w:val="000000"/>
          <w:sz w:val="16"/>
          <w:szCs w:val="16"/>
          <w:lang w:bidi="ar"/>
        </w:rPr>
      </w:pPr>
      <w:r>
        <w:rPr>
          <w:rFonts w:hint="eastAsia" w:ascii="微软雅黑" w:hAnsi="微软雅黑" w:cs="LPJNJT+Arial Unicode MS"/>
          <w:b/>
          <w:color w:val="000000"/>
          <w:sz w:val="21"/>
          <w:szCs w:val="21"/>
          <w:lang w:bidi="ar"/>
        </w:rPr>
        <w:t>参考文献：</w:t>
      </w:r>
    </w:p>
    <w:p w14:paraId="3297A308">
      <w:pPr>
        <w:pStyle w:val="54"/>
        <w:numPr>
          <w:ilvl w:val="255"/>
          <w:numId w:val="0"/>
        </w:numPr>
        <w:spacing w:line="288" w:lineRule="auto"/>
        <w:ind w:right="-51"/>
        <w:jc w:val="both"/>
        <w:rPr>
          <w:rFonts w:hint="default" w:ascii="微软雅黑" w:hAnsi="微软雅黑" w:eastAsia="微软雅黑" w:cs="LPJNJT+Arial Unicode MS"/>
          <w:sz w:val="16"/>
          <w:szCs w:val="16"/>
        </w:rPr>
      </w:pPr>
      <w:r>
        <w:rPr>
          <w:rFonts w:ascii="微软雅黑" w:hAnsi="微软雅黑" w:eastAsia="微软雅黑" w:cs="LPJNJT+Arial Unicode MS"/>
          <w:sz w:val="16"/>
          <w:szCs w:val="16"/>
        </w:rPr>
        <w:t>[1] Kalbasi A, Ribas A. Tumour-intrinsic resistance to immune checkpoint blockade[J]. Nature Reviews Immunology, 2019: 1-15.</w:t>
      </w:r>
    </w:p>
    <w:p w14:paraId="2B48199F">
      <w:pPr>
        <w:pStyle w:val="29"/>
        <w:numPr>
          <w:ilvl w:val="0"/>
          <w:numId w:val="2"/>
        </w:numPr>
        <w:adjustRightInd/>
        <w:snapToGrid/>
        <w:spacing w:before="200"/>
        <w:ind w:firstLineChars="0"/>
        <w:rPr>
          <w:rFonts w:ascii="微软雅黑" w:hAnsi="微软雅黑"/>
          <w:b/>
          <w:color w:val="00C4D8"/>
          <w:sz w:val="28"/>
          <w:szCs w:val="28"/>
        </w:rPr>
      </w:pPr>
      <w:r>
        <w:rPr>
          <w:rFonts w:hint="eastAsia" w:ascii="微软雅黑" w:hAnsi="微软雅黑"/>
          <w:b/>
          <w:color w:val="00C4D8"/>
          <w:sz w:val="28"/>
          <w:szCs w:val="28"/>
        </w:rPr>
        <w:t>免疫治疗超进展基因检测结果</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51"/>
        <w:gridCol w:w="2793"/>
        <w:gridCol w:w="3478"/>
      </w:tblGrid>
      <w:tr w14:paraId="64AF8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2251" w:type="dxa"/>
            <w:shd w:val="clear" w:color="auto" w:fill="00C4D8"/>
            <w:vAlign w:val="center"/>
          </w:tcPr>
          <w:p w14:paraId="15EC3988">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b/>
                <w:color w:val="FFFFFF" w:themeColor="background1"/>
                <w:kern w:val="2"/>
                <w:sz w:val="24"/>
                <w:szCs w:val="24"/>
                <w14:textFill>
                  <w14:solidFill>
                    <w14:schemeClr w14:val="bg1"/>
                  </w14:solidFill>
                </w14:textFill>
              </w:rPr>
            </w:pPr>
            <w:r>
              <w:rPr>
                <w:rFonts w:hint="eastAsia" w:ascii="微软雅黑" w:hAnsi="微软雅黑"/>
                <w:b/>
                <w:color w:val="FFFFFF" w:themeColor="background1"/>
                <w:kern w:val="2"/>
                <w:sz w:val="24"/>
                <w:szCs w:val="24"/>
                <w14:textFill>
                  <w14:solidFill>
                    <w14:schemeClr w14:val="bg1"/>
                  </w14:solidFill>
                </w14:textFill>
              </w:rPr>
              <w:t>基因</w:t>
            </w:r>
          </w:p>
        </w:tc>
        <w:tc>
          <w:tcPr>
            <w:tcW w:w="2793" w:type="dxa"/>
            <w:shd w:val="clear" w:color="auto" w:fill="00C4D8"/>
            <w:vAlign w:val="center"/>
          </w:tcPr>
          <w:p w14:paraId="3744395A">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b/>
                <w:color w:val="FFFFFF" w:themeColor="background1"/>
                <w:kern w:val="2"/>
                <w:sz w:val="24"/>
                <w:szCs w:val="24"/>
                <w14:textFill>
                  <w14:solidFill>
                    <w14:schemeClr w14:val="bg1"/>
                  </w14:solidFill>
                </w14:textFill>
              </w:rPr>
            </w:pPr>
            <w:r>
              <w:rPr>
                <w:rFonts w:hint="eastAsia" w:ascii="微软雅黑" w:hAnsi="微软雅黑"/>
                <w:b/>
                <w:color w:val="FFFFFF" w:themeColor="background1"/>
                <w:kern w:val="2"/>
                <w:sz w:val="24"/>
                <w:szCs w:val="24"/>
                <w14:textFill>
                  <w14:solidFill>
                    <w14:schemeClr w14:val="bg1"/>
                  </w14:solidFill>
                </w14:textFill>
              </w:rPr>
              <w:t>检测结果</w:t>
            </w:r>
          </w:p>
        </w:tc>
        <w:tc>
          <w:tcPr>
            <w:tcW w:w="3478" w:type="dxa"/>
            <w:shd w:val="clear" w:color="auto" w:fill="00C4D8"/>
            <w:vAlign w:val="center"/>
          </w:tcPr>
          <w:p w14:paraId="540161B9">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b/>
                <w:color w:val="FFFFFF" w:themeColor="background1"/>
                <w:kern w:val="2"/>
                <w:sz w:val="24"/>
                <w:szCs w:val="24"/>
                <w14:textFill>
                  <w14:solidFill>
                    <w14:schemeClr w14:val="bg1"/>
                  </w14:solidFill>
                </w14:textFill>
              </w:rPr>
            </w:pPr>
            <w:r>
              <w:rPr>
                <w:rFonts w:hint="eastAsia" w:ascii="微软雅黑" w:hAnsi="微软雅黑"/>
                <w:b/>
                <w:color w:val="FFFFFF" w:themeColor="background1"/>
                <w:kern w:val="2"/>
                <w:sz w:val="24"/>
                <w:szCs w:val="24"/>
                <w14:textFill>
                  <w14:solidFill>
                    <w14:schemeClr w14:val="bg1"/>
                  </w14:solidFill>
                </w14:textFill>
              </w:rPr>
              <w:t>临床解读</w:t>
            </w:r>
          </w:p>
        </w:tc>
      </w:tr>
      <w:tr w14:paraId="649E9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exact"/>
        </w:trPr>
        <w:tc>
          <w:tcPr>
            <w:tcW w:w="2251" w:type="dxa"/>
            <w:vAlign w:val="center"/>
          </w:tcPr>
          <w:p w14:paraId="5B2F4FE2">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t>MDM2</w:t>
            </w:r>
          </w:p>
        </w:tc>
        <w:tc>
          <w:tcPr>
            <w:tcW w:w="2793" w:type="dxa"/>
            <w:vAlign w:val="center"/>
          </w:tcPr>
          <w:p w14:paraId="30EA82E7">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kern w:val="0"/>
                <w:sz w:val="20"/>
                <w:szCs w:val="20"/>
                <w:lang w:bidi="ar"/>
              </w:rPr>
              <w:t>{{ immune_MDM2_result }}</w:t>
            </w:r>
          </w:p>
        </w:tc>
        <w:tc>
          <w:tcPr>
            <w:tcW w:w="3478" w:type="dxa"/>
            <w:vAlign w:val="center"/>
          </w:tcPr>
          <w:p w14:paraId="42BB512B">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t>检出有害变异时可能与超进展相关。</w:t>
            </w:r>
          </w:p>
        </w:tc>
      </w:tr>
      <w:tr w14:paraId="207A2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exact"/>
        </w:trPr>
        <w:tc>
          <w:tcPr>
            <w:tcW w:w="2251" w:type="dxa"/>
            <w:vAlign w:val="center"/>
          </w:tcPr>
          <w:p w14:paraId="59D7AF41">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t>MDM4</w:t>
            </w:r>
          </w:p>
        </w:tc>
        <w:tc>
          <w:tcPr>
            <w:tcW w:w="2793" w:type="dxa"/>
            <w:vAlign w:val="center"/>
          </w:tcPr>
          <w:p w14:paraId="2226F51E">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kern w:val="0"/>
                <w:sz w:val="20"/>
                <w:szCs w:val="20"/>
                <w:lang w:bidi="ar"/>
              </w:rPr>
              <w:t>{{ immune_MDM4_result }}</w:t>
            </w:r>
          </w:p>
        </w:tc>
        <w:tc>
          <w:tcPr>
            <w:tcW w:w="3478" w:type="dxa"/>
            <w:vAlign w:val="center"/>
          </w:tcPr>
          <w:p w14:paraId="7720A3F5">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t>检出有害变异时可能与超进展相关。</w:t>
            </w:r>
          </w:p>
        </w:tc>
      </w:tr>
      <w:tr w14:paraId="12EC1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exact"/>
        </w:trPr>
        <w:tc>
          <w:tcPr>
            <w:tcW w:w="2251" w:type="dxa"/>
            <w:vAlign w:val="center"/>
          </w:tcPr>
          <w:p w14:paraId="1279DC36">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t>DNMT3A</w:t>
            </w:r>
          </w:p>
        </w:tc>
        <w:tc>
          <w:tcPr>
            <w:tcW w:w="2793" w:type="dxa"/>
            <w:vAlign w:val="center"/>
          </w:tcPr>
          <w:p w14:paraId="4C290626">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kern w:val="0"/>
                <w:sz w:val="20"/>
                <w:szCs w:val="20"/>
                <w:lang w:bidi="ar"/>
              </w:rPr>
              <w:t>{{ immune_DNMT3A_result }}</w:t>
            </w:r>
          </w:p>
        </w:tc>
        <w:tc>
          <w:tcPr>
            <w:tcW w:w="3478" w:type="dxa"/>
            <w:vAlign w:val="center"/>
          </w:tcPr>
          <w:p w14:paraId="7086F587">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t>检出有害变异时可能与超进展相关。</w:t>
            </w:r>
          </w:p>
        </w:tc>
      </w:tr>
      <w:tr w14:paraId="04188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exact"/>
        </w:trPr>
        <w:tc>
          <w:tcPr>
            <w:tcW w:w="2251" w:type="dxa"/>
            <w:vAlign w:val="center"/>
          </w:tcPr>
          <w:p w14:paraId="498AA481">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default" w:ascii="微软雅黑" w:hAnsi="微软雅黑" w:cs="微软雅黑"/>
                <w:color w:val="000000" w:themeColor="text1"/>
                <w:kern w:val="0"/>
                <w:sz w:val="20"/>
                <w:szCs w:val="20"/>
                <w:lang w:bidi="ar"/>
                <w14:textFill>
                  <w14:solidFill>
                    <w14:schemeClr w14:val="tx1"/>
                  </w14:solidFill>
                </w14:textFill>
              </w:rPr>
              <w:t>EGFR</w:t>
            </w:r>
            <w:r>
              <w:rPr>
                <w:rFonts w:hint="eastAsia" w:ascii="微软雅黑" w:hAnsi="微软雅黑" w:cs="微软雅黑"/>
                <w:color w:val="000000" w:themeColor="text1"/>
                <w:kern w:val="0"/>
                <w:sz w:val="20"/>
                <w:szCs w:val="20"/>
                <w:lang w:bidi="ar"/>
                <w14:textFill>
                  <w14:solidFill>
                    <w14:schemeClr w14:val="tx1"/>
                  </w14:solidFill>
                </w14:textFill>
              </w:rPr>
              <w:t>（扩增）</w:t>
            </w:r>
          </w:p>
        </w:tc>
        <w:tc>
          <w:tcPr>
            <w:tcW w:w="2793" w:type="dxa"/>
            <w:vAlign w:val="center"/>
          </w:tcPr>
          <w:p w14:paraId="2BB761B6">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kern w:val="0"/>
                <w:sz w:val="20"/>
                <w:szCs w:val="20"/>
                <w:lang w:bidi="ar"/>
              </w:rPr>
              <w:t>{{ immune_hyper_EGFR_result }}</w:t>
            </w:r>
          </w:p>
        </w:tc>
        <w:tc>
          <w:tcPr>
            <w:tcW w:w="3478" w:type="dxa"/>
            <w:vAlign w:val="center"/>
          </w:tcPr>
          <w:p w14:paraId="3281C3C9">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t>检出有害变异时可能与超进展相关。</w:t>
            </w:r>
          </w:p>
        </w:tc>
      </w:tr>
      <w:tr w14:paraId="1F6A1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exact"/>
        </w:trPr>
        <w:tc>
          <w:tcPr>
            <w:tcW w:w="2251" w:type="dxa"/>
            <w:vAlign w:val="center"/>
          </w:tcPr>
          <w:p w14:paraId="75B9E144">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default" w:ascii="微软雅黑" w:hAnsi="微软雅黑" w:cs="微软雅黑"/>
                <w:color w:val="000000" w:themeColor="text1"/>
                <w:kern w:val="0"/>
                <w:sz w:val="20"/>
                <w:szCs w:val="20"/>
                <w:lang w:bidi="ar"/>
                <w14:textFill>
                  <w14:solidFill>
                    <w14:schemeClr w14:val="tx1"/>
                  </w14:solidFill>
                </w14:textFill>
              </w:rPr>
              <w:t>CCND1</w:t>
            </w:r>
          </w:p>
        </w:tc>
        <w:tc>
          <w:tcPr>
            <w:tcW w:w="2793" w:type="dxa"/>
            <w:vAlign w:val="center"/>
          </w:tcPr>
          <w:p w14:paraId="0C261D95">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kern w:val="0"/>
                <w:sz w:val="20"/>
                <w:szCs w:val="20"/>
                <w:lang w:bidi="ar"/>
              </w:rPr>
              <w:t>{{ immune_CCND1_result }}</w:t>
            </w:r>
          </w:p>
        </w:tc>
        <w:tc>
          <w:tcPr>
            <w:tcW w:w="3478" w:type="dxa"/>
            <w:vAlign w:val="center"/>
          </w:tcPr>
          <w:p w14:paraId="2D168637">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t>检出有害变异时可能与超进展相关。</w:t>
            </w:r>
          </w:p>
        </w:tc>
      </w:tr>
      <w:tr w14:paraId="26744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exact"/>
        </w:trPr>
        <w:tc>
          <w:tcPr>
            <w:tcW w:w="2251" w:type="dxa"/>
            <w:vAlign w:val="center"/>
          </w:tcPr>
          <w:p w14:paraId="3D053A40">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default" w:ascii="微软雅黑" w:hAnsi="微软雅黑" w:cs="微软雅黑"/>
                <w:color w:val="000000" w:themeColor="text1"/>
                <w:kern w:val="0"/>
                <w:sz w:val="20"/>
                <w:szCs w:val="20"/>
                <w:lang w:bidi="ar"/>
                <w14:textFill>
                  <w14:solidFill>
                    <w14:schemeClr w14:val="tx1"/>
                  </w14:solidFill>
                </w14:textFill>
              </w:rPr>
              <w:t>FGF3</w:t>
            </w:r>
          </w:p>
        </w:tc>
        <w:tc>
          <w:tcPr>
            <w:tcW w:w="2793" w:type="dxa"/>
            <w:vAlign w:val="center"/>
          </w:tcPr>
          <w:p w14:paraId="38E67C35">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kern w:val="0"/>
                <w:sz w:val="20"/>
                <w:szCs w:val="20"/>
                <w:lang w:bidi="ar"/>
              </w:rPr>
              <w:t>{{ immune_FGF3_result }}</w:t>
            </w:r>
          </w:p>
        </w:tc>
        <w:tc>
          <w:tcPr>
            <w:tcW w:w="3478" w:type="dxa"/>
            <w:vAlign w:val="center"/>
          </w:tcPr>
          <w:p w14:paraId="22CAFC44">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t>检出有害变异时可能与超进展相关。</w:t>
            </w:r>
          </w:p>
        </w:tc>
      </w:tr>
      <w:tr w14:paraId="479D1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exact"/>
        </w:trPr>
        <w:tc>
          <w:tcPr>
            <w:tcW w:w="2251" w:type="dxa"/>
            <w:vAlign w:val="center"/>
          </w:tcPr>
          <w:p w14:paraId="46168B12">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default" w:ascii="微软雅黑" w:hAnsi="微软雅黑" w:cs="微软雅黑"/>
                <w:color w:val="000000" w:themeColor="text1"/>
                <w:kern w:val="0"/>
                <w:sz w:val="20"/>
                <w:szCs w:val="20"/>
                <w:lang w:bidi="ar"/>
                <w14:textFill>
                  <w14:solidFill>
                    <w14:schemeClr w14:val="tx1"/>
                  </w14:solidFill>
                </w14:textFill>
              </w:rPr>
              <w:t>FGF4</w:t>
            </w:r>
          </w:p>
        </w:tc>
        <w:tc>
          <w:tcPr>
            <w:tcW w:w="2793" w:type="dxa"/>
            <w:vAlign w:val="center"/>
          </w:tcPr>
          <w:p w14:paraId="24F0F5C1">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kern w:val="0"/>
                <w:sz w:val="20"/>
                <w:szCs w:val="20"/>
                <w:lang w:bidi="ar"/>
              </w:rPr>
              <w:t>{{ immune_FGF4_result }}</w:t>
            </w:r>
          </w:p>
        </w:tc>
        <w:tc>
          <w:tcPr>
            <w:tcW w:w="3478" w:type="dxa"/>
            <w:vAlign w:val="center"/>
          </w:tcPr>
          <w:p w14:paraId="1279FEDF">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t>检出有害变异时可能与超进展相关。</w:t>
            </w:r>
          </w:p>
        </w:tc>
      </w:tr>
      <w:tr w14:paraId="20162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exact"/>
        </w:trPr>
        <w:tc>
          <w:tcPr>
            <w:tcW w:w="2251" w:type="dxa"/>
            <w:vAlign w:val="center"/>
          </w:tcPr>
          <w:p w14:paraId="18C3A94C">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default" w:ascii="微软雅黑" w:hAnsi="微软雅黑" w:cs="微软雅黑"/>
                <w:color w:val="000000" w:themeColor="text1"/>
                <w:kern w:val="0"/>
                <w:sz w:val="20"/>
                <w:szCs w:val="20"/>
                <w:lang w:bidi="ar"/>
                <w14:textFill>
                  <w14:solidFill>
                    <w14:schemeClr w14:val="tx1"/>
                  </w14:solidFill>
                </w14:textFill>
              </w:rPr>
              <w:t>FGF19</w:t>
            </w:r>
          </w:p>
        </w:tc>
        <w:tc>
          <w:tcPr>
            <w:tcW w:w="2793" w:type="dxa"/>
            <w:vAlign w:val="center"/>
          </w:tcPr>
          <w:p w14:paraId="435812B0">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kern w:val="0"/>
                <w:sz w:val="20"/>
                <w:szCs w:val="20"/>
                <w:lang w:bidi="ar"/>
              </w:rPr>
              <w:t>{{ immune_FGF19_result }}</w:t>
            </w:r>
          </w:p>
        </w:tc>
        <w:tc>
          <w:tcPr>
            <w:tcW w:w="3478" w:type="dxa"/>
            <w:vAlign w:val="center"/>
          </w:tcPr>
          <w:p w14:paraId="4A93A177">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t>检出有害变异时可能与超进展相关。</w:t>
            </w:r>
          </w:p>
        </w:tc>
      </w:tr>
    </w:tbl>
    <w:p w14:paraId="21CA29B9">
      <w:pPr>
        <w:adjustRightInd/>
        <w:snapToGrid/>
        <w:spacing w:before="200" w:line="220" w:lineRule="atLeast"/>
        <w:ind w:firstLine="400" w:firstLineChars="200"/>
        <w:jc w:val="both"/>
        <w:rPr>
          <w:rFonts w:ascii="微软雅黑" w:hAnsi="微软雅黑" w:cs="微软雅黑"/>
          <w:sz w:val="21"/>
          <w:szCs w:val="21"/>
        </w:rPr>
      </w:pPr>
      <w:r>
        <w:rPr>
          <w:rFonts w:hint="eastAsia" w:ascii="微软雅黑" w:hAnsi="微软雅黑" w:cs="微软雅黑"/>
          <w:sz w:val="20"/>
          <w:szCs w:val="20"/>
        </w:rPr>
        <w:t>有研究表明，MDM2/4基因的有害突变与疾病超进展（HPD）密切相关</w:t>
      </w:r>
      <w:r>
        <w:rPr>
          <w:rFonts w:hint="eastAsia" w:ascii="微软雅黑" w:hAnsi="微软雅黑" w:cs="微软雅黑"/>
          <w:sz w:val="20"/>
          <w:szCs w:val="20"/>
          <w:vertAlign w:val="superscript"/>
        </w:rPr>
        <w:t>[1-2]</w:t>
      </w:r>
      <w:r>
        <w:rPr>
          <w:rFonts w:hint="eastAsia" w:ascii="微软雅黑" w:hAnsi="微软雅黑" w:cs="微软雅黑"/>
          <w:sz w:val="20"/>
          <w:szCs w:val="20"/>
        </w:rPr>
        <w:t>。HPD被定义为治疗后肿瘤反常地加速生长，包括：（1）在免疫检查点抑制剂治疗后第一次评价时进展，或至治疗失败时间（TTF）&lt;2月；（2）肿瘤体积增加&gt;50%；(3)肿瘤增长速度（TGR）增加&gt;2倍。</w:t>
      </w:r>
    </w:p>
    <w:p w14:paraId="7AC3CDC5">
      <w:pPr>
        <w:adjustRightInd/>
        <w:snapToGrid/>
        <w:spacing w:before="200" w:line="220" w:lineRule="atLeast"/>
        <w:jc w:val="center"/>
        <w:rPr>
          <w:rFonts w:ascii="微软雅黑" w:hAnsi="微软雅黑"/>
          <w:b/>
          <w:color w:val="FF0000"/>
          <w:sz w:val="28"/>
          <w:szCs w:val="28"/>
        </w:rPr>
      </w:pPr>
      <w:r>
        <w:drawing>
          <wp:inline distT="0" distB="0" distL="114300" distR="114300">
            <wp:extent cx="4568190" cy="2336800"/>
            <wp:effectExtent l="0" t="0" r="3810" b="6350"/>
            <wp:docPr id="102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 name="图片 2"/>
                    <pic:cNvPicPr>
                      <a:picLocks noChangeAspect="1"/>
                    </pic:cNvPicPr>
                  </pic:nvPicPr>
                  <pic:blipFill>
                    <a:blip r:embed="rId25"/>
                    <a:stretch>
                      <a:fillRect/>
                    </a:stretch>
                  </pic:blipFill>
                  <pic:spPr>
                    <a:xfrm>
                      <a:off x="0" y="0"/>
                      <a:ext cx="4568190" cy="2336800"/>
                    </a:xfrm>
                    <a:prstGeom prst="rect">
                      <a:avLst/>
                    </a:prstGeom>
                    <a:noFill/>
                    <a:ln>
                      <a:noFill/>
                    </a:ln>
                  </pic:spPr>
                </pic:pic>
              </a:graphicData>
            </a:graphic>
          </wp:inline>
        </w:drawing>
      </w:r>
    </w:p>
    <w:p w14:paraId="14CA6F52">
      <w:pPr>
        <w:numPr>
          <w:ilvl w:val="255"/>
          <w:numId w:val="0"/>
        </w:numPr>
        <w:spacing w:after="0" w:line="236" w:lineRule="auto"/>
        <w:ind w:firstLine="400" w:firstLineChars="200"/>
        <w:jc w:val="center"/>
      </w:pPr>
      <w:r>
        <w:rPr>
          <w:rFonts w:hint="eastAsia" w:ascii="微软雅黑" w:hAnsi="微软雅黑" w:cs="微软雅黑"/>
          <w:sz w:val="20"/>
          <w:szCs w:val="20"/>
        </w:rPr>
        <w:t>图1  疾病超进展图示</w:t>
      </w:r>
    </w:p>
    <w:p w14:paraId="284402D5">
      <w:pPr>
        <w:pStyle w:val="14"/>
        <w:widowControl w:val="0"/>
        <w:autoSpaceDE w:val="0"/>
        <w:autoSpaceDN w:val="0"/>
        <w:snapToGrid/>
        <w:spacing w:beforeAutospacing="0" w:afterAutospacing="0" w:line="312" w:lineRule="auto"/>
        <w:ind w:right="-51"/>
        <w:jc w:val="both"/>
        <w:rPr>
          <w:rFonts w:ascii="微软雅黑" w:hAnsi="微软雅黑" w:cs="LPJNJT+Arial Unicode MS"/>
          <w:b/>
          <w:color w:val="000000"/>
          <w:sz w:val="21"/>
          <w:szCs w:val="21"/>
          <w:lang w:bidi="ar"/>
        </w:rPr>
      </w:pPr>
    </w:p>
    <w:p w14:paraId="026C51A3">
      <w:pPr>
        <w:pStyle w:val="14"/>
        <w:widowControl w:val="0"/>
        <w:autoSpaceDE w:val="0"/>
        <w:autoSpaceDN w:val="0"/>
        <w:snapToGrid/>
        <w:spacing w:beforeAutospacing="0" w:afterAutospacing="0" w:line="312" w:lineRule="auto"/>
        <w:ind w:right="-51"/>
        <w:jc w:val="both"/>
        <w:rPr>
          <w:rFonts w:ascii="微软雅黑" w:hAnsi="微软雅黑" w:cs="LPJNJT+Arial Unicode MS"/>
          <w:b/>
          <w:color w:val="000000"/>
          <w:sz w:val="21"/>
          <w:szCs w:val="21"/>
          <w:lang w:bidi="ar"/>
        </w:rPr>
      </w:pPr>
    </w:p>
    <w:p w14:paraId="0BB6BC9E">
      <w:pPr>
        <w:pStyle w:val="14"/>
        <w:widowControl w:val="0"/>
        <w:autoSpaceDE w:val="0"/>
        <w:autoSpaceDN w:val="0"/>
        <w:snapToGrid/>
        <w:spacing w:beforeAutospacing="0" w:afterAutospacing="0" w:line="312" w:lineRule="auto"/>
        <w:ind w:right="-51"/>
        <w:jc w:val="both"/>
        <w:rPr>
          <w:rFonts w:ascii="微软雅黑" w:hAnsi="微软雅黑" w:cs="LPJNJT+Arial Unicode MS"/>
          <w:b/>
          <w:color w:val="000000"/>
          <w:sz w:val="21"/>
          <w:szCs w:val="21"/>
          <w:lang w:bidi="ar"/>
        </w:rPr>
      </w:pPr>
      <w:r>
        <w:rPr>
          <w:rFonts w:hint="eastAsia" w:ascii="微软雅黑" w:hAnsi="微软雅黑" w:cs="LPJNJT+Arial Unicode MS"/>
          <w:b/>
          <w:color w:val="000000"/>
          <w:sz w:val="21"/>
          <w:szCs w:val="21"/>
          <w:lang w:bidi="ar"/>
        </w:rPr>
        <w:t>参考文献：</w:t>
      </w:r>
    </w:p>
    <w:p w14:paraId="0419CC47">
      <w:pPr>
        <w:pStyle w:val="14"/>
        <w:widowControl w:val="0"/>
        <w:autoSpaceDE w:val="0"/>
        <w:autoSpaceDN w:val="0"/>
        <w:snapToGrid/>
        <w:spacing w:beforeAutospacing="0" w:afterAutospacing="0" w:line="288" w:lineRule="auto"/>
        <w:ind w:right="-51"/>
        <w:jc w:val="both"/>
        <w:rPr>
          <w:rFonts w:ascii="微软雅黑" w:hAnsi="微软雅黑" w:cs="LPJNJT+Arial Unicode MS"/>
          <w:color w:val="000000"/>
          <w:sz w:val="16"/>
          <w:szCs w:val="16"/>
          <w:lang w:bidi="ar"/>
        </w:rPr>
      </w:pPr>
      <w:r>
        <w:rPr>
          <w:rFonts w:hint="eastAsia" w:ascii="微软雅黑" w:hAnsi="微软雅黑" w:cs="LPJNJT+Arial Unicode MS"/>
          <w:color w:val="000000"/>
          <w:sz w:val="16"/>
          <w:szCs w:val="16"/>
          <w:lang w:bidi="ar"/>
        </w:rPr>
        <w:t>[1] Kato S , Goodman A M , Walavalkar V , et al. Hyper-progressors after Immunotherapy: Analysis of Genomic Alterations Associated with Accelerated Growth Rate[J]. Clinical Cancer Research, 2017: clincanres. 3133.2016.</w:t>
      </w:r>
    </w:p>
    <w:p w14:paraId="76A93F45">
      <w:pPr>
        <w:pStyle w:val="14"/>
        <w:widowControl w:val="0"/>
        <w:autoSpaceDE w:val="0"/>
        <w:autoSpaceDN w:val="0"/>
        <w:snapToGrid/>
        <w:spacing w:beforeAutospacing="0" w:afterAutospacing="0" w:line="288" w:lineRule="auto"/>
        <w:ind w:right="-51"/>
        <w:jc w:val="both"/>
        <w:rPr>
          <w:rFonts w:ascii="微软雅黑" w:hAnsi="微软雅黑" w:cs="LPJNJT+Arial Unicode MS"/>
          <w:color w:val="000000"/>
          <w:sz w:val="16"/>
          <w:szCs w:val="16"/>
          <w:lang w:bidi="ar"/>
        </w:rPr>
      </w:pPr>
      <w:r>
        <w:rPr>
          <w:rFonts w:hint="eastAsia" w:ascii="微软雅黑" w:hAnsi="微软雅黑" w:cs="LPJNJT+Arial Unicode MS"/>
          <w:color w:val="000000"/>
          <w:sz w:val="16"/>
          <w:szCs w:val="16"/>
          <w:lang w:bidi="ar"/>
        </w:rPr>
        <w:t>[2] Hyperprogressive Disease in Patients With Advanced Non-Small Cell Lung Cancer Treated With PD-1/PD-L1 Inhibitors or With Single-Agent Chemotherapy.[J]. JAMA oncology, 2018.</w:t>
      </w:r>
    </w:p>
    <w:p w14:paraId="3738B207">
      <w:pPr>
        <w:adjustRightInd/>
        <w:snapToGrid/>
        <w:spacing w:after="0" w:line="312" w:lineRule="auto"/>
        <w:jc w:val="both"/>
        <w:rPr>
          <w:rFonts w:ascii="微软雅黑" w:hAnsi="微软雅黑"/>
          <w:b/>
          <w:color w:val="00C4D8"/>
          <w:sz w:val="28"/>
          <w:szCs w:val="28"/>
        </w:rPr>
      </w:pPr>
    </w:p>
    <w:p w14:paraId="4634BE55">
      <w:pPr>
        <w:numPr>
          <w:ilvl w:val="0"/>
          <w:numId w:val="7"/>
        </w:numPr>
        <w:adjustRightInd/>
        <w:snapToGrid/>
        <w:spacing w:before="200" w:line="220" w:lineRule="atLeast"/>
        <w:jc w:val="both"/>
        <w:rPr>
          <w:rFonts w:ascii="微软雅黑" w:hAnsi="微软雅黑" w:cs="LPJNJT+Arial Unicode MS"/>
          <w:color w:val="000000"/>
          <w:sz w:val="16"/>
          <w:szCs w:val="16"/>
        </w:rPr>
      </w:pPr>
      <w:r>
        <w:rPr>
          <w:rFonts w:hint="eastAsia" w:ascii="微软雅黑" w:hAnsi="微软雅黑" w:cs="LPJNJT+Arial Unicode MS"/>
          <w:color w:val="000000"/>
          <w:sz w:val="16"/>
          <w:szCs w:val="16"/>
        </w:rPr>
        <w:br w:type="page"/>
      </w:r>
    </w:p>
    <w:bookmarkEnd w:id="119"/>
    <w:bookmarkEnd w:id="120"/>
    <w:bookmarkEnd w:id="123"/>
    <w:bookmarkEnd w:id="124"/>
    <w:bookmarkEnd w:id="125"/>
    <w:bookmarkEnd w:id="126"/>
    <w:bookmarkEnd w:id="127"/>
    <w:bookmarkEnd w:id="128"/>
    <w:bookmarkEnd w:id="129"/>
    <w:bookmarkEnd w:id="130"/>
    <w:bookmarkEnd w:id="131"/>
    <w:bookmarkEnd w:id="132"/>
    <w:bookmarkEnd w:id="133"/>
    <w:p w14:paraId="2BC1F0D3">
      <w:pPr>
        <w:numPr>
          <w:ilvl w:val="255"/>
          <w:numId w:val="0"/>
        </w:numPr>
        <w:jc w:val="both"/>
        <w:outlineLvl w:val="0"/>
        <w:rPr>
          <w:rFonts w:ascii="微软雅黑" w:hAnsi="微软雅黑"/>
          <w:b/>
          <w:color w:val="00C4D8"/>
          <w:sz w:val="32"/>
          <w:szCs w:val="32"/>
        </w:rPr>
      </w:pPr>
      <w:bookmarkStart w:id="135" w:name="_Toc6736"/>
      <w:bookmarkStart w:id="136" w:name="_Toc14090"/>
      <w:bookmarkStart w:id="137" w:name="_Toc16388"/>
      <w:bookmarkStart w:id="138" w:name="_Toc27819"/>
      <w:bookmarkStart w:id="139" w:name="_Toc29647"/>
      <w:bookmarkStart w:id="140" w:name="_Toc2916"/>
      <w:bookmarkStart w:id="141" w:name="_Toc24294"/>
      <w:bookmarkStart w:id="142" w:name="_Toc3246"/>
      <w:bookmarkStart w:id="143" w:name="_Toc27301"/>
      <w:bookmarkStart w:id="144" w:name="_Toc7238"/>
      <w:bookmarkStart w:id="145" w:name="_Toc29075"/>
      <w:bookmarkStart w:id="146" w:name="_Toc2749"/>
      <w:r>
        <w:rPr>
          <w:rFonts w:hint="eastAsia" w:ascii="微软雅黑" w:hAnsi="微软雅黑"/>
          <w:b/>
          <w:color w:val="00C4D8"/>
          <w:sz w:val="32"/>
          <w:szCs w:val="32"/>
          <w:lang w:val="en-US" w:eastAsia="zh-CN"/>
        </w:rPr>
        <w:t>4</w:t>
      </w:r>
      <w:r>
        <w:rPr>
          <w:rFonts w:hint="eastAsia" w:ascii="微软雅黑" w:hAnsi="微软雅黑"/>
          <w:b/>
          <w:color w:val="00C4D8"/>
          <w:sz w:val="32"/>
          <w:szCs w:val="32"/>
        </w:rPr>
        <w:t>. 检测结果说明</w:t>
      </w:r>
      <w:bookmarkEnd w:id="135"/>
      <w:bookmarkEnd w:id="136"/>
      <w:bookmarkEnd w:id="137"/>
      <w:bookmarkEnd w:id="138"/>
      <w:bookmarkEnd w:id="139"/>
      <w:bookmarkEnd w:id="140"/>
      <w:bookmarkEnd w:id="141"/>
      <w:bookmarkEnd w:id="142"/>
      <w:bookmarkEnd w:id="143"/>
      <w:bookmarkEnd w:id="144"/>
      <w:bookmarkEnd w:id="145"/>
      <w:bookmarkEnd w:id="146"/>
    </w:p>
    <w:p w14:paraId="39789A30">
      <w:pPr>
        <w:pStyle w:val="29"/>
        <w:numPr>
          <w:ilvl w:val="0"/>
          <w:numId w:val="8"/>
        </w:numPr>
        <w:adjustRightInd/>
        <w:snapToGrid/>
        <w:spacing w:after="0" w:line="360" w:lineRule="auto"/>
        <w:ind w:firstLineChars="0"/>
        <w:jc w:val="both"/>
        <w:rPr>
          <w:rFonts w:ascii="微软雅黑" w:hAnsi="微软雅黑"/>
          <w:color w:val="000000"/>
          <w:sz w:val="24"/>
          <w:szCs w:val="24"/>
        </w:rPr>
      </w:pPr>
      <w:r>
        <w:rPr>
          <w:rFonts w:ascii="微软雅黑" w:hAnsi="微软雅黑"/>
          <w:color w:val="000000"/>
          <w:sz w:val="24"/>
          <w:szCs w:val="24"/>
        </w:rPr>
        <w:t>本报告结果只对送检样品负责，所得结论来自于目前世界上最前沿的科学研究进展。</w:t>
      </w:r>
    </w:p>
    <w:p w14:paraId="6892D3F2">
      <w:pPr>
        <w:pStyle w:val="29"/>
        <w:numPr>
          <w:ilvl w:val="0"/>
          <w:numId w:val="8"/>
        </w:numPr>
        <w:adjustRightInd/>
        <w:snapToGrid/>
        <w:spacing w:after="0" w:line="360" w:lineRule="auto"/>
        <w:ind w:firstLineChars="0"/>
        <w:jc w:val="both"/>
        <w:rPr>
          <w:rFonts w:ascii="微软雅黑" w:hAnsi="微软雅黑"/>
          <w:color w:val="000000"/>
          <w:sz w:val="24"/>
          <w:szCs w:val="24"/>
        </w:rPr>
      </w:pPr>
      <w:r>
        <w:rPr>
          <w:rFonts w:ascii="微软雅黑" w:hAnsi="微软雅黑"/>
          <w:color w:val="000000"/>
          <w:sz w:val="24"/>
          <w:szCs w:val="24"/>
        </w:rPr>
        <w:t>本检测报告仅为受检者相关疾病的临床诊断、治疗、监测提供参考。具体医学问题，请咨询相关执业医师。</w:t>
      </w:r>
    </w:p>
    <w:p w14:paraId="38CF8F07">
      <w:pPr>
        <w:pStyle w:val="29"/>
        <w:numPr>
          <w:ilvl w:val="0"/>
          <w:numId w:val="8"/>
        </w:numPr>
        <w:adjustRightInd/>
        <w:snapToGrid/>
        <w:spacing w:after="0" w:line="360" w:lineRule="auto"/>
        <w:ind w:firstLineChars="0"/>
        <w:jc w:val="both"/>
        <w:rPr>
          <w:rFonts w:ascii="微软雅黑" w:hAnsi="微软雅黑"/>
          <w:color w:val="000000"/>
          <w:sz w:val="24"/>
          <w:szCs w:val="24"/>
        </w:rPr>
      </w:pPr>
      <w:r>
        <w:rPr>
          <w:rFonts w:hint="eastAsia" w:ascii="微软雅黑" w:hAnsi="微软雅黑"/>
          <w:color w:val="000000"/>
          <w:sz w:val="24"/>
          <w:szCs w:val="24"/>
        </w:rPr>
        <w:t>本检测结果仅供临床科研参考，不代表最终诊断意见。请结合临床实际情况及其他检测结果综合使用本结果。</w:t>
      </w:r>
    </w:p>
    <w:p w14:paraId="2381842E">
      <w:pPr>
        <w:pStyle w:val="29"/>
        <w:numPr>
          <w:ilvl w:val="0"/>
          <w:numId w:val="8"/>
        </w:numPr>
        <w:adjustRightInd/>
        <w:snapToGrid/>
        <w:spacing w:after="0" w:line="360" w:lineRule="auto"/>
        <w:ind w:firstLineChars="0"/>
        <w:jc w:val="both"/>
        <w:rPr>
          <w:rFonts w:ascii="微软雅黑" w:hAnsi="微软雅黑"/>
          <w:color w:val="000000"/>
          <w:sz w:val="24"/>
          <w:szCs w:val="24"/>
        </w:rPr>
      </w:pPr>
      <w:r>
        <w:rPr>
          <w:rFonts w:ascii="微软雅黑" w:hAnsi="微软雅黑"/>
          <w:color w:val="000000"/>
          <w:sz w:val="24"/>
          <w:szCs w:val="24"/>
        </w:rPr>
        <w:t>本</w:t>
      </w:r>
      <w:r>
        <w:rPr>
          <w:rFonts w:hint="eastAsia" w:ascii="微软雅黑" w:hAnsi="微软雅黑"/>
          <w:color w:val="000000"/>
          <w:sz w:val="24"/>
          <w:szCs w:val="24"/>
        </w:rPr>
        <w:t>公司对以上检测结果保留最终解释权，电子版报告仅供参考，以加盖红章的纸质报告为准，无章无效。如有疑义，请在收到结果后的三个工作日内与我们联系</w:t>
      </w:r>
      <w:r>
        <w:rPr>
          <w:rFonts w:ascii="微软雅黑" w:hAnsi="微软雅黑"/>
          <w:color w:val="000000"/>
          <w:sz w:val="24"/>
          <w:szCs w:val="24"/>
        </w:rPr>
        <w:t>。</w:t>
      </w:r>
    </w:p>
    <w:p w14:paraId="3EF05F79">
      <w:pPr>
        <w:pStyle w:val="29"/>
        <w:numPr>
          <w:ilvl w:val="255"/>
          <w:numId w:val="0"/>
        </w:numPr>
        <w:adjustRightInd/>
        <w:snapToGrid/>
        <w:spacing w:after="0" w:line="360" w:lineRule="auto"/>
        <w:jc w:val="both"/>
        <w:rPr>
          <w:rFonts w:ascii="微软雅黑" w:hAnsi="微软雅黑"/>
          <w:color w:val="000000"/>
          <w:sz w:val="21"/>
          <w:szCs w:val="21"/>
        </w:rPr>
      </w:pPr>
      <w:r>
        <w:drawing>
          <wp:anchor distT="0" distB="0" distL="114300" distR="114300" simplePos="0" relativeHeight="251693056" behindDoc="0" locked="0" layoutInCell="1" allowOverlap="1">
            <wp:simplePos x="0" y="0"/>
            <wp:positionH relativeFrom="column">
              <wp:posOffset>628650</wp:posOffset>
            </wp:positionH>
            <wp:positionV relativeFrom="paragraph">
              <wp:posOffset>233680</wp:posOffset>
            </wp:positionV>
            <wp:extent cx="762635" cy="407035"/>
            <wp:effectExtent l="0" t="0" r="12065" b="1206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6"/>
                    <a:stretch>
                      <a:fillRect/>
                    </a:stretch>
                  </pic:blipFill>
                  <pic:spPr>
                    <a:xfrm>
                      <a:off x="0" y="0"/>
                      <a:ext cx="762635" cy="407035"/>
                    </a:xfrm>
                    <a:prstGeom prst="rect">
                      <a:avLst/>
                    </a:prstGeom>
                    <a:noFill/>
                    <a:ln>
                      <a:noFill/>
                    </a:ln>
                  </pic:spPr>
                </pic:pic>
              </a:graphicData>
            </a:graphic>
          </wp:anchor>
        </w:drawing>
      </w:r>
      <w:r>
        <w:rPr>
          <w:rFonts w:hint="eastAsia" w:eastAsiaTheme="minorEastAsia"/>
        </w:rPr>
        <w:drawing>
          <wp:anchor distT="0" distB="0" distL="114300" distR="114300" simplePos="0" relativeHeight="251691008" behindDoc="0" locked="0" layoutInCell="1" allowOverlap="1">
            <wp:simplePos x="0" y="0"/>
            <wp:positionH relativeFrom="column">
              <wp:posOffset>2604770</wp:posOffset>
            </wp:positionH>
            <wp:positionV relativeFrom="paragraph">
              <wp:posOffset>288925</wp:posOffset>
            </wp:positionV>
            <wp:extent cx="762000" cy="317500"/>
            <wp:effectExtent l="0" t="0" r="0" b="7620"/>
            <wp:wrapNone/>
            <wp:docPr id="1026" name="图片 19" descr="C:/Users/Wonzer/Desktop/微信图片_20241230095914.png微信图片_20241230095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图片 19" descr="C:/Users/Wonzer/Desktop/微信图片_20241230095914.png微信图片_20241230095914"/>
                    <pic:cNvPicPr>
                      <a:picLocks noChangeAspect="1"/>
                    </pic:cNvPicPr>
                  </pic:nvPicPr>
                  <pic:blipFill>
                    <a:blip r:embed="rId27"/>
                    <a:srcRect t="8167" b="8167"/>
                    <a:stretch>
                      <a:fillRect/>
                    </a:stretch>
                  </pic:blipFill>
                  <pic:spPr>
                    <a:xfrm>
                      <a:off x="0" y="0"/>
                      <a:ext cx="762000" cy="317500"/>
                    </a:xfrm>
                    <a:prstGeom prst="rect">
                      <a:avLst/>
                    </a:prstGeom>
                  </pic:spPr>
                </pic:pic>
              </a:graphicData>
            </a:graphic>
          </wp:anchor>
        </w:drawing>
      </w:r>
    </w:p>
    <w:p w14:paraId="6D6F9AD0">
      <w:pPr>
        <w:adjustRightInd/>
        <w:snapToGrid/>
        <w:spacing w:line="360" w:lineRule="auto"/>
        <w:rPr>
          <w:rFonts w:hint="default" w:ascii="微软雅黑" w:hAnsi="微软雅黑" w:eastAsia="微软雅黑"/>
          <w:sz w:val="24"/>
          <w:szCs w:val="24"/>
          <w:lang w:val="en-US" w:eastAsia="zh-CN"/>
        </w:rPr>
      </w:pPr>
      <w:r>
        <w:rPr>
          <w:rFonts w:hint="eastAsia" w:ascii="微软雅黑" w:hAnsi="微软雅黑"/>
          <w:b/>
          <w:color w:val="000000"/>
          <w:sz w:val="24"/>
          <w:szCs w:val="24"/>
        </w:rPr>
        <w:t>检测</w:t>
      </w:r>
      <w:r>
        <w:rPr>
          <w:rFonts w:ascii="微软雅黑" w:hAnsi="微软雅黑"/>
          <w:b/>
          <w:color w:val="000000"/>
          <w:sz w:val="24"/>
          <w:szCs w:val="24"/>
        </w:rPr>
        <w:t>者：</w:t>
      </w:r>
      <w:r>
        <w:rPr>
          <w:rFonts w:hint="eastAsia" w:ascii="微软雅黑" w:hAnsi="微软雅黑"/>
          <w:b/>
          <w:color w:val="000000"/>
          <w:sz w:val="24"/>
          <w:szCs w:val="24"/>
        </w:rPr>
        <w:t xml:space="preserve">    </w:t>
      </w:r>
      <w:r>
        <w:rPr>
          <w:rFonts w:hint="eastAsia" w:ascii="微软雅黑" w:hAnsi="微软雅黑"/>
          <w:bCs/>
          <w:color w:val="000000"/>
          <w:sz w:val="24"/>
          <w:szCs w:val="24"/>
        </w:rPr>
        <w:t xml:space="preserve">            </w:t>
      </w:r>
      <w:r>
        <w:rPr>
          <w:rFonts w:ascii="微软雅黑" w:hAnsi="微软雅黑"/>
          <w:b/>
          <w:color w:val="000000"/>
          <w:sz w:val="24"/>
          <w:szCs w:val="24"/>
        </w:rPr>
        <w:t>审核者：</w:t>
      </w:r>
      <w:r>
        <w:rPr>
          <w:rFonts w:hint="eastAsia" w:ascii="微软雅黑" w:hAnsi="微软雅黑"/>
          <w:b/>
          <w:color w:val="000000"/>
          <w:sz w:val="24"/>
          <w:szCs w:val="24"/>
        </w:rPr>
        <w:t xml:space="preserve">       </w:t>
      </w:r>
      <w:r>
        <w:rPr>
          <w:rFonts w:hint="eastAsia" w:ascii="微软雅黑" w:hAnsi="微软雅黑"/>
          <w:bCs/>
          <w:color w:val="000000"/>
          <w:sz w:val="24"/>
          <w:szCs w:val="24"/>
        </w:rPr>
        <w:t xml:space="preserve">      </w:t>
      </w:r>
      <w:r>
        <w:rPr>
          <w:rFonts w:hint="eastAsia" w:ascii="微软雅黑" w:hAnsi="微软雅黑"/>
          <w:bCs/>
          <w:color w:val="000000"/>
          <w:sz w:val="24"/>
          <w:szCs w:val="24"/>
          <w:lang w:val="en-US" w:eastAsia="zh-CN"/>
        </w:rPr>
        <w:t xml:space="preserve"> </w:t>
      </w:r>
      <w:r>
        <w:rPr>
          <w:rFonts w:ascii="微软雅黑" w:hAnsi="微软雅黑"/>
          <w:b/>
          <w:color w:val="000000"/>
          <w:sz w:val="24"/>
          <w:szCs w:val="24"/>
        </w:rPr>
        <w:t>报告日期：</w:t>
      </w:r>
      <w:r>
        <w:rPr>
          <w:rFonts w:ascii="微软雅黑" w:hAnsi="微软雅黑"/>
          <w:sz w:val="24"/>
          <w:szCs w:val="24"/>
        </w:rPr>
        <w:t>2025.</w:t>
      </w:r>
      <w:r>
        <w:rPr>
          <w:rFonts w:hint="eastAsia" w:ascii="微软雅黑" w:hAnsi="微软雅黑"/>
          <w:sz w:val="24"/>
          <w:szCs w:val="24"/>
          <w:lang w:val="en-US" w:eastAsia="zh-CN"/>
        </w:rPr>
        <w:t>12</w:t>
      </w:r>
      <w:r>
        <w:rPr>
          <w:rFonts w:ascii="微软雅黑" w:hAnsi="微软雅黑"/>
          <w:sz w:val="24"/>
          <w:szCs w:val="24"/>
        </w:rPr>
        <w:t>.</w:t>
      </w:r>
      <w:r>
        <w:rPr>
          <w:rFonts w:hint="eastAsia" w:ascii="微软雅黑" w:hAnsi="微软雅黑"/>
          <w:sz w:val="24"/>
          <w:szCs w:val="24"/>
          <w:lang w:val="en-US" w:eastAsia="zh-CN"/>
        </w:rPr>
        <w:t>04</w:t>
      </w:r>
    </w:p>
    <w:p w14:paraId="7D9AEFBF"/>
    <w:p w14:paraId="0D994C33"/>
    <w:p w14:paraId="66D19B44"/>
    <w:p w14:paraId="42E5FAD5"/>
    <w:p w14:paraId="404555B1"/>
    <w:p w14:paraId="62FB4799"/>
    <w:p w14:paraId="66E0B589">
      <w:pPr>
        <w:tabs>
          <w:tab w:val="left" w:pos="3071"/>
        </w:tabs>
        <w:sectPr>
          <w:headerReference r:id="rId9" w:type="default"/>
          <w:footerReference r:id="rId10" w:type="default"/>
          <w:pgSz w:w="11906" w:h="16838"/>
          <w:pgMar w:top="1440" w:right="1800" w:bottom="1440" w:left="1800" w:header="708" w:footer="708" w:gutter="0"/>
          <w:pgNumType w:start="1"/>
          <w:cols w:space="708" w:num="1"/>
          <w:docGrid w:linePitch="360" w:charSpace="0"/>
        </w:sectPr>
      </w:pPr>
    </w:p>
    <w:p w14:paraId="52A9245A">
      <w:pPr>
        <w:jc w:val="center"/>
        <w:outlineLvl w:val="0"/>
        <w:rPr>
          <w:rFonts w:ascii="微软雅黑" w:hAnsi="微软雅黑"/>
          <w:b/>
          <w:sz w:val="30"/>
          <w:szCs w:val="30"/>
        </w:rPr>
      </w:pPr>
      <w:bookmarkStart w:id="147" w:name="_Toc7183"/>
      <w:bookmarkStart w:id="148" w:name="_Toc5394"/>
      <w:bookmarkStart w:id="149" w:name="_Toc6684"/>
      <w:bookmarkStart w:id="150" w:name="_Toc350"/>
      <w:bookmarkStart w:id="151" w:name="_Toc6828"/>
      <w:bookmarkStart w:id="152" w:name="_Toc20456"/>
      <w:bookmarkStart w:id="153" w:name="_Toc23181"/>
      <w:bookmarkStart w:id="154" w:name="_Toc9132"/>
      <w:bookmarkStart w:id="155" w:name="_Toc13707"/>
      <w:bookmarkStart w:id="156" w:name="_Toc8942"/>
      <w:bookmarkStart w:id="157" w:name="_Toc15791"/>
      <w:bookmarkStart w:id="158" w:name="_Toc10825"/>
      <w:bookmarkStart w:id="159" w:name="_Toc8090"/>
      <w:r>
        <w:rPr>
          <w:rFonts w:hint="eastAsia" w:ascii="微软雅黑" w:hAnsi="微软雅黑"/>
          <w:b/>
          <w:sz w:val="30"/>
          <w:szCs w:val="30"/>
        </w:rPr>
        <w:t>第三部分：</w:t>
      </w:r>
      <w:bookmarkEnd w:id="0"/>
      <w:bookmarkEnd w:id="1"/>
      <w:bookmarkEnd w:id="2"/>
      <w:bookmarkEnd w:id="3"/>
      <w:bookmarkEnd w:id="4"/>
      <w:bookmarkEnd w:id="5"/>
      <w:bookmarkEnd w:id="6"/>
      <w:bookmarkEnd w:id="7"/>
      <w:bookmarkEnd w:id="8"/>
      <w:bookmarkEnd w:id="9"/>
      <w:bookmarkEnd w:id="10"/>
      <w:bookmarkEnd w:id="11"/>
      <w:r>
        <w:rPr>
          <w:rFonts w:hint="eastAsia" w:ascii="微软雅黑" w:hAnsi="微软雅黑"/>
          <w:b/>
          <w:sz w:val="30"/>
          <w:szCs w:val="30"/>
        </w:rPr>
        <w:t>基因变异及相应靶向</w:t>
      </w:r>
      <w:r>
        <w:rPr>
          <w:rFonts w:ascii="微软雅黑" w:hAnsi="微软雅黑"/>
          <w:b/>
          <w:sz w:val="30"/>
          <w:szCs w:val="30"/>
        </w:rPr>
        <w:t>/</w:t>
      </w:r>
      <w:r>
        <w:rPr>
          <w:rFonts w:hint="eastAsia" w:ascii="微软雅黑" w:hAnsi="微软雅黑"/>
          <w:b/>
          <w:sz w:val="30"/>
          <w:szCs w:val="30"/>
        </w:rPr>
        <w:t>免疫药物解析</w:t>
      </w:r>
      <w:bookmarkEnd w:id="12"/>
      <w:bookmarkEnd w:id="13"/>
      <w:bookmarkEnd w:id="147"/>
      <w:bookmarkEnd w:id="148"/>
      <w:bookmarkEnd w:id="149"/>
      <w:bookmarkEnd w:id="150"/>
      <w:bookmarkEnd w:id="151"/>
      <w:bookmarkEnd w:id="152"/>
      <w:bookmarkEnd w:id="153"/>
      <w:bookmarkEnd w:id="154"/>
      <w:bookmarkEnd w:id="155"/>
      <w:bookmarkEnd w:id="156"/>
      <w:bookmarkEnd w:id="157"/>
      <w:bookmarkEnd w:id="158"/>
      <w:bookmarkEnd w:id="159"/>
    </w:p>
    <w:p w14:paraId="1A07FF19">
      <w:pPr>
        <w:numPr>
          <w:ilvl w:val="0"/>
          <w:numId w:val="9"/>
        </w:numPr>
        <w:outlineLvl w:val="0"/>
        <w:rPr>
          <w:rFonts w:ascii="微软雅黑" w:hAnsi="微软雅黑"/>
          <w:b/>
          <w:sz w:val="24"/>
          <w:szCs w:val="24"/>
        </w:rPr>
      </w:pPr>
      <w:bookmarkStart w:id="160" w:name="_Toc6727"/>
      <w:bookmarkStart w:id="161" w:name="_Toc4690"/>
      <w:bookmarkStart w:id="162" w:name="_Toc7612"/>
      <w:bookmarkStart w:id="163" w:name="_Toc20363"/>
      <w:bookmarkStart w:id="164" w:name="_Toc13243"/>
      <w:bookmarkStart w:id="165" w:name="_Toc28597"/>
      <w:bookmarkStart w:id="166" w:name="_Toc8230"/>
      <w:bookmarkStart w:id="167" w:name="_Toc24256"/>
      <w:bookmarkStart w:id="168" w:name="_Toc17360"/>
      <w:bookmarkStart w:id="169" w:name="_Toc15599"/>
      <w:bookmarkStart w:id="170" w:name="_Toc11477"/>
      <w:bookmarkStart w:id="171" w:name="_Toc9120"/>
      <w:bookmarkStart w:id="172" w:name="潜在获益靶向药物解析"/>
      <w:bookmarkStart w:id="173" w:name="_Toc10990"/>
      <w:bookmarkStart w:id="174" w:name="_Toc9236"/>
      <w:bookmarkStart w:id="175" w:name="_Toc6679"/>
      <w:bookmarkStart w:id="176" w:name="_Toc26457"/>
      <w:r>
        <w:rPr>
          <w:rFonts w:ascii="微软雅黑" w:hAnsi="微软雅黑"/>
          <w:b/>
          <w:sz w:val="24"/>
          <w:szCs w:val="24"/>
        </w:rPr>
        <w:t>基因</w:t>
      </w:r>
      <w:r>
        <w:rPr>
          <w:rFonts w:hint="eastAsia" w:ascii="微软雅黑" w:hAnsi="微软雅黑"/>
          <w:b/>
          <w:sz w:val="24"/>
          <w:szCs w:val="24"/>
        </w:rPr>
        <w:t>变异</w:t>
      </w:r>
      <w:r>
        <w:rPr>
          <w:rFonts w:ascii="微软雅黑" w:hAnsi="微软雅黑"/>
          <w:b/>
          <w:sz w:val="24"/>
          <w:szCs w:val="24"/>
        </w:rPr>
        <w:t>解析</w:t>
      </w:r>
      <w:bookmarkEnd w:id="160"/>
      <w:r>
        <w:commentReference w:id="24"/>
      </w:r>
    </w:p>
    <w:p w14:paraId="5F21ACF6">
      <w:pPr>
        <w:numPr>
          <w:ilvl w:val="0"/>
          <w:numId w:val="10"/>
        </w:numPr>
        <w:jc w:val="both"/>
        <w:rPr>
          <w:rFonts w:ascii="微软雅黑" w:hAnsi="微软雅黑" w:cs="Arial Unicode MS"/>
          <w:kern w:val="2"/>
          <w:sz w:val="21"/>
          <w:szCs w:val="21"/>
        </w:rPr>
      </w:pPr>
      <w:r>
        <w:rPr>
          <w:rFonts w:hint="eastAsia" w:ascii="微软雅黑" w:hAnsi="微软雅黑" w:cs="微软雅黑"/>
          <w:sz w:val="21"/>
          <w:szCs w:val="21"/>
        </w:rPr>
        <w:t>在本次检测范围内，检出体细胞变异：</w:t>
      </w:r>
      <w:r>
        <w:rPr>
          <w:rFonts w:hint="eastAsia" w:ascii="微软雅黑" w:hAnsi="微软雅黑" w:cs="微软雅黑"/>
          <w:sz w:val="21"/>
          <w:szCs w:val="21"/>
          <w:lang w:val="en-US" w:eastAsia="zh-CN"/>
        </w:rPr>
        <w:t>8</w:t>
      </w:r>
      <w:r>
        <w:rPr>
          <w:rFonts w:hint="eastAsia" w:ascii="微软雅黑" w:hAnsi="微软雅黑" w:cs="微软雅黑"/>
          <w:sz w:val="21"/>
          <w:szCs w:val="21"/>
        </w:rPr>
        <w:t>个，其中与靶向/免疫药物相关的变异：</w:t>
      </w:r>
      <w:r>
        <w:rPr>
          <w:rFonts w:hint="eastAsia" w:ascii="微软雅黑" w:hAnsi="微软雅黑" w:cs="微软雅黑"/>
          <w:sz w:val="21"/>
          <w:szCs w:val="21"/>
          <w:lang w:val="en-US" w:eastAsia="zh-CN"/>
        </w:rPr>
        <w:t>4</w:t>
      </w:r>
      <w:r>
        <w:rPr>
          <w:rFonts w:hint="eastAsia" w:ascii="微软雅黑" w:hAnsi="微软雅黑" w:cs="微软雅黑"/>
          <w:sz w:val="21"/>
          <w:szCs w:val="21"/>
        </w:rPr>
        <w:t>个。（下面红色标注的为有对应靶向/免疫药物的基因变异。）</w:t>
      </w:r>
      <w:bookmarkStart w:id="177" w:name="KRAS侯"/>
    </w:p>
    <w:bookmarkEnd w:id="177"/>
    <w:p w14:paraId="243891A8">
      <w:pPr>
        <w:spacing w:before="200"/>
        <w:jc w:val="both"/>
        <w:rPr>
          <w:rFonts w:hint="eastAsia" w:ascii="微软雅黑" w:hAnsi="微软雅黑" w:cs="微软雅黑"/>
          <w:b/>
          <w:color w:val="FF0000"/>
          <w:sz w:val="24"/>
          <w:u w:val="single"/>
        </w:rPr>
      </w:pPr>
      <w:r>
        <w:rPr>
          <w:rFonts w:ascii="Wingdings" w:hAnsi="Wingdings" w:eastAsia="Wingdings" w:cs="Wingdings"/>
          <w:sz w:val="24"/>
        </w:rPr>
        <w:t>u</w:t>
      </w:r>
      <w:r>
        <w:rPr>
          <w:rFonts w:hint="eastAsia" w:ascii="Wingdings" w:hAnsi="Wingdings" w:eastAsia="宋体" w:cs="Wingdings"/>
          <w:sz w:val="24"/>
        </w:rPr>
        <w:t xml:space="preserve"> </w:t>
      </w:r>
      <w:r>
        <w:rPr>
          <w:rFonts w:hint="eastAsia" w:ascii="微软雅黑" w:hAnsi="微软雅黑" w:eastAsia="宋体" w:cs="微软雅黑"/>
          <w:b/>
          <w:color w:val="FF0000"/>
          <w:sz w:val="24"/>
          <w:u w:val="single"/>
        </w:rPr>
        <w:t>TP53</w:t>
      </w:r>
      <w:r>
        <w:rPr>
          <w:rFonts w:ascii="微软雅黑" w:hAnsi="微软雅黑" w:cs="微软雅黑"/>
          <w:b/>
          <w:color w:val="FF0000"/>
          <w:sz w:val="24"/>
          <w:u w:val="single"/>
        </w:rPr>
        <w:t>：</w:t>
      </w:r>
      <w:r>
        <w:rPr>
          <w:rFonts w:hint="eastAsia" w:ascii="微软雅黑" w:hAnsi="微软雅黑" w:cs="微软雅黑"/>
          <w:b/>
          <w:color w:val="FF0000"/>
          <w:sz w:val="24"/>
          <w:u w:val="single"/>
        </w:rPr>
        <w:t>c.844C&gt;T，p.R282W；67.29%</w:t>
      </w:r>
      <w:r>
        <w:commentReference w:id="25"/>
      </w:r>
    </w:p>
    <w:p w14:paraId="50CD55D4">
      <w:pPr>
        <w:spacing w:after="0"/>
      </w:pPr>
      <w:r>
        <w:rPr>
          <w:rFonts w:ascii="微软雅黑" w:hAnsi="微软雅黑" w:cs="微软雅黑"/>
          <w:b/>
        </w:rPr>
        <w:t>基因简介：</w:t>
      </w:r>
    </w:p>
    <w:p w14:paraId="6C0691F2">
      <w:pPr>
        <w:spacing w:after="0"/>
        <w:ind w:firstLine="400"/>
        <w:jc w:val="both"/>
        <w:rPr>
          <w:rFonts w:ascii="微软雅黑" w:hAnsi="微软雅黑" w:cs="微软雅黑"/>
          <w:sz w:val="21"/>
        </w:rPr>
      </w:pPr>
      <w:r>
        <w:rPr>
          <w:rFonts w:hint="eastAsia" w:ascii="微软雅黑" w:hAnsi="微软雅黑" w:cs="微软雅黑"/>
          <w:sz w:val="21"/>
        </w:rPr>
        <w:t>TP53基因是重要的抑癌基因之一，其编码蛋白为p53，大约有一半人类肿瘤呈现出TP53的失活突变，其余的恶性肿瘤中通过活化p53抑制因子、降低p53活化因子，使p53信号通路失活。p53通过其在细胞核中转录依赖和胞浆中转录不依赖两种途径发挥抑癌作用。p53作为转录因子可靶向结合特定的DNA序列，使与细胞周期停滞、凋亡、细胞代谢改变等功能相关的基因转录活化。除了细胞核内的活性，p53在胞浆中表现出转录非依赖的生物活性，研究表明细胞质中p53的活化有促进细胞凋亡的作用[19407794]。其作用机制为：DNA受损时，p53蛋白活化DNA修复蛋白并阻滞细胞生长周期的进行[22872685]。当细胞DNA受损严重不能修复时，p53蛋白与特定DNA结合，激活WAF1/CIP1等多种基因，启动细胞凋亡程序，抑制细胞分裂，从而避免携带异常遗传信息的细胞继续生长、分裂[21728981]。</w:t>
      </w:r>
    </w:p>
    <w:p w14:paraId="3C1CACC8">
      <w:pPr>
        <w:spacing w:after="0"/>
      </w:pPr>
      <w:r>
        <w:rPr>
          <w:rFonts w:ascii="微软雅黑" w:hAnsi="微软雅黑" w:cs="微软雅黑"/>
          <w:b/>
        </w:rPr>
        <w:t>基因变异说明：</w:t>
      </w:r>
    </w:p>
    <w:p w14:paraId="62D2B214">
      <w:pPr>
        <w:spacing w:after="0"/>
        <w:ind w:firstLine="400"/>
        <w:jc w:val="both"/>
        <w:rPr>
          <w:rFonts w:ascii="微软雅黑" w:hAnsi="微软雅黑" w:cs="微软雅黑"/>
          <w:sz w:val="21"/>
        </w:rPr>
      </w:pPr>
      <w:commentRangeStart w:id="26"/>
      <w:r>
        <w:rPr>
          <w:rFonts w:hint="eastAsia" w:ascii="微软雅黑" w:hAnsi="微软雅黑" w:cs="微软雅黑"/>
          <w:sz w:val="21"/>
        </w:rPr>
        <w:t>该样本检出TP53基因c.844C&gt;T，p.R282W错义突变，第844位核苷酸由C突变为T，导致相应蛋白序列中第282位氨基酸由精氨酸突变为色氨酸，此突变在样本中的突变丰度为67.29%。</w:t>
      </w:r>
      <w:commentRangeEnd w:id="26"/>
      <w:r>
        <w:commentReference w:id="26"/>
      </w:r>
    </w:p>
    <w:p w14:paraId="4643BAA1">
      <w:pPr>
        <w:spacing w:after="0"/>
      </w:pPr>
      <w:r>
        <w:rPr>
          <w:rFonts w:ascii="微软雅黑" w:hAnsi="微软雅黑" w:cs="微软雅黑"/>
          <w:b/>
        </w:rPr>
        <w:t xml:space="preserve">基因变异解析： </w:t>
      </w:r>
    </w:p>
    <w:p w14:paraId="4DFF7FB7">
      <w:pPr>
        <w:spacing w:after="0"/>
        <w:ind w:firstLine="400"/>
        <w:jc w:val="both"/>
        <w:rPr>
          <w:rFonts w:hint="eastAsia" w:ascii="微软雅黑" w:hAnsi="微软雅黑" w:cs="微软雅黑"/>
          <w:sz w:val="21"/>
        </w:rPr>
      </w:pPr>
      <w:r>
        <w:rPr>
          <w:rFonts w:hint="eastAsia" w:ascii="微软雅黑" w:hAnsi="微软雅黑" w:cs="微软雅黑"/>
          <w:sz w:val="21"/>
        </w:rPr>
        <w:t>TP53基因编码的蛋白p53全长393个氨基酸，包含3个结构域：反式激活结构域（5-29位氨基酸）、DNA结合结构域（95-289位氨基酸）和四聚化结构域（318-359位氨基酸）。根据报道TP53突变主要发生在175、245、248、273和282这五个热点突变密码子区[19810096，10612830，12619105]，而TP53基因的K132、C135、P151、V157、R158、Y163、V173、C176、H179、H193、Y205、Y220、Y234、M237、C238、S241、C242、M246、R249、G266、P278、R280、D281和E285也是较为常见的突变密码子区[19336573]。这些位点均处于p53蛋白的DNA结合结构域，均可能会对蛋白功能产生影响。</w:t>
      </w:r>
      <w:commentRangeStart w:id="27"/>
      <w:r>
        <w:rPr>
          <w:rFonts w:hint="eastAsia" w:ascii="微软雅黑" w:hAnsi="微软雅黑" w:cs="微软雅黑"/>
          <w:sz w:val="21"/>
        </w:rPr>
        <w:t>该样本检出的p.R282W 突变位于DNA结合结构域</w:t>
      </w:r>
      <w:r>
        <w:rPr>
          <w:rFonts w:hint="eastAsia" w:ascii="微软雅黑" w:hAnsi="微软雅黑" w:cs="微软雅黑"/>
          <w:sz w:val="21"/>
          <w:lang w:eastAsia="zh-CN"/>
        </w:rPr>
        <w:t>，</w:t>
      </w:r>
      <w:r>
        <w:rPr>
          <w:rFonts w:hint="eastAsia" w:ascii="微软雅黑" w:hAnsi="微软雅黑" w:cs="微软雅黑"/>
          <w:sz w:val="21"/>
        </w:rPr>
        <w:t>研究表明，该突变抑制 AMPK 信号传导，导致细胞侵袭性生长，促进小鼠模型中的肿瘤发展[24857548]。</w:t>
      </w:r>
      <w:commentRangeEnd w:id="27"/>
      <w:r>
        <w:commentReference w:id="27"/>
      </w:r>
    </w:p>
    <w:p w14:paraId="403D4904">
      <w:pPr>
        <w:spacing w:after="0"/>
        <w:ind w:firstLine="400"/>
        <w:jc w:val="both"/>
        <w:rPr>
          <w:rFonts w:hint="eastAsia" w:ascii="微软雅黑" w:hAnsi="微软雅黑" w:cs="微软雅黑"/>
          <w:b/>
          <w:color w:val="FF0000"/>
          <w:sz w:val="24"/>
          <w:u w:val="single"/>
        </w:rPr>
      </w:pPr>
      <w:commentRangeStart w:id="28"/>
      <w:r>
        <w:rPr>
          <w:rFonts w:hint="eastAsia" w:ascii="微软雅黑" w:hAnsi="微软雅黑" w:cs="微软雅黑"/>
          <w:sz w:val="21"/>
        </w:rPr>
        <w:t>一项研究在389名Ⅲ期结肠癌患者中检测TP53的突变状态，结果表明TP53的突变频率为33%[26425688]。在一项包含276个结直肠癌样本的分子突变分析研究中，发现165个非高频突变的结直肠癌样本中有59%检测到TP53突变，导致TP53信号通路失活[22810696]，说明TP53在结直肠癌的发生发展中具有重要作用。因此，该样本检出的突变可能与疾病的发生发展相关。</w:t>
      </w:r>
      <w:commentRangeEnd w:id="28"/>
      <w:r>
        <w:commentReference w:id="28"/>
      </w:r>
    </w:p>
    <w:p w14:paraId="20131506">
      <w:pPr>
        <w:spacing w:before="200"/>
        <w:jc w:val="both"/>
        <w:rPr>
          <w:rFonts w:hint="eastAsia" w:ascii="微软雅黑" w:hAnsi="微软雅黑" w:cs="微软雅黑"/>
          <w:b/>
          <w:color w:val="FF0000"/>
          <w:sz w:val="24"/>
          <w:u w:val="single"/>
        </w:rPr>
      </w:pPr>
      <w:r>
        <w:rPr>
          <w:rFonts w:ascii="Wingdings" w:hAnsi="Wingdings" w:eastAsia="Wingdings" w:cs="Wingdings"/>
          <w:sz w:val="24"/>
        </w:rPr>
        <w:t>u</w:t>
      </w:r>
      <w:r>
        <w:rPr>
          <w:rFonts w:hint="eastAsia" w:ascii="Wingdings" w:hAnsi="Wingdings" w:eastAsia="宋体" w:cs="Wingdings"/>
          <w:sz w:val="24"/>
        </w:rPr>
        <w:t xml:space="preserve"> </w:t>
      </w:r>
      <w:r>
        <w:rPr>
          <w:rFonts w:hint="eastAsia" w:ascii="微软雅黑" w:hAnsi="微软雅黑" w:eastAsia="宋体" w:cs="微软雅黑"/>
          <w:b/>
          <w:color w:val="FF0000"/>
          <w:sz w:val="24"/>
          <w:u w:val="single"/>
        </w:rPr>
        <w:t>KRAS</w:t>
      </w:r>
      <w:r>
        <w:rPr>
          <w:rFonts w:ascii="微软雅黑" w:hAnsi="微软雅黑" w:cs="微软雅黑"/>
          <w:b/>
          <w:color w:val="FF0000"/>
          <w:sz w:val="24"/>
          <w:u w:val="single"/>
        </w:rPr>
        <w:t>：</w:t>
      </w:r>
      <w:r>
        <w:rPr>
          <w:rFonts w:hint="eastAsia" w:ascii="微软雅黑" w:hAnsi="微软雅黑" w:cs="微软雅黑"/>
          <w:b/>
          <w:color w:val="FF0000"/>
          <w:sz w:val="24"/>
          <w:u w:val="single"/>
        </w:rPr>
        <w:t>{{ immune_KRAS_result }}；46.29%</w:t>
      </w:r>
    </w:p>
    <w:p w14:paraId="41D8986D">
      <w:pPr>
        <w:spacing w:after="0"/>
      </w:pPr>
      <w:r>
        <w:rPr>
          <w:rFonts w:ascii="微软雅黑" w:hAnsi="微软雅黑" w:cs="微软雅黑"/>
          <w:b/>
        </w:rPr>
        <w:t>基因简介：</w:t>
      </w:r>
    </w:p>
    <w:p w14:paraId="0A1BA969">
      <w:pPr>
        <w:spacing w:after="0"/>
        <w:ind w:firstLine="400"/>
        <w:jc w:val="both"/>
        <w:rPr>
          <w:rFonts w:ascii="微软雅黑" w:hAnsi="微软雅黑" w:cs="微软雅黑"/>
          <w:sz w:val="21"/>
        </w:rPr>
      </w:pPr>
      <w:r>
        <w:rPr>
          <w:rFonts w:hint="eastAsia" w:ascii="微软雅黑" w:hAnsi="微软雅黑" w:cs="微软雅黑"/>
          <w:sz w:val="21"/>
        </w:rPr>
        <w:t>KRAS基因是致癌基因，属于RAS基因家族成员，编码P21蛋白。该蛋白在MAPK信号通路中起作用，能够与GDP/GTP结合并促进GTP酶活性。当KRAS基因发生突变时不能被水解酶水解失活，而处于持续激活状态，引起RAF/MAPK的上调，传递多种生存通路信号，从而使细胞过度生长、增殖，抵抗EGFR-TKIs的作用。KRAS突变可以导致肺癌、黏蛋白腺瘤、胰腺导管癌和结肠癌等多种恶性肿瘤。KRAS基因被激活最常见的方式是点突变，多发生在N端的第12、13、61和146密码子，其中以第12密码子突变最常见。不同突变位点对P21蛋白的活化机制不同，第12密码子突变可以减弱P21内在的GTP酶活性，并使细胞凋亡减少，细胞间接触抑制减弱。RAS家族基因在癌症中没有可用的药物直接拮抗靶点，主要影响信号通路上下游靶点药物的使用效果，突变主要导致EGFR靶药和BRAF靶药的耐药性。</w:t>
      </w:r>
    </w:p>
    <w:p w14:paraId="2A5782EA">
      <w:pPr>
        <w:spacing w:after="0"/>
      </w:pPr>
      <w:r>
        <w:rPr>
          <w:rFonts w:ascii="微软雅黑" w:hAnsi="微软雅黑" w:cs="微软雅黑"/>
          <w:b/>
        </w:rPr>
        <w:t>基因变异说明：</w:t>
      </w:r>
    </w:p>
    <w:p w14:paraId="4CF37066">
      <w:pPr>
        <w:spacing w:after="0"/>
        <w:ind w:firstLine="400"/>
        <w:jc w:val="both"/>
        <w:rPr>
          <w:rFonts w:ascii="微软雅黑" w:hAnsi="微软雅黑" w:cs="微软雅黑"/>
          <w:sz w:val="21"/>
        </w:rPr>
      </w:pPr>
      <w:r>
        <w:rPr>
          <w:rFonts w:hint="eastAsia" w:ascii="微软雅黑" w:hAnsi="微软雅黑" w:cs="微软雅黑"/>
          <w:sz w:val="21"/>
        </w:rPr>
        <w:t>该样本检出KRAS基因{{ immune_KRAS_result }}错义突变，第34位核苷酸由G突变为A，导致相应蛋白序列中第12位氨基酸由甘氨酸突变为丝氨酸，此突变在样本中的突变丰度为46.29%。</w:t>
      </w:r>
    </w:p>
    <w:p w14:paraId="64CDA2B2">
      <w:pPr>
        <w:spacing w:after="0"/>
      </w:pPr>
      <w:r>
        <w:rPr>
          <w:rFonts w:ascii="微软雅黑" w:hAnsi="微软雅黑" w:cs="微软雅黑"/>
          <w:b/>
        </w:rPr>
        <w:t xml:space="preserve">基因变异解析： </w:t>
      </w:r>
    </w:p>
    <w:p w14:paraId="45791A43">
      <w:pPr>
        <w:spacing w:after="0"/>
        <w:ind w:firstLine="400"/>
        <w:jc w:val="both"/>
        <w:rPr>
          <w:rFonts w:hint="eastAsia" w:ascii="微软雅黑" w:hAnsi="微软雅黑" w:cs="微软雅黑"/>
          <w:sz w:val="21"/>
        </w:rPr>
      </w:pPr>
      <w:r>
        <w:rPr>
          <w:rFonts w:hint="eastAsia" w:ascii="微软雅黑" w:hAnsi="微软雅黑" w:cs="微软雅黑"/>
          <w:sz w:val="21"/>
        </w:rPr>
        <w:t>KRAS基因编码的蛋白全长为189个氨基酸，主要包含RAS结构域（1-166位氨基酸）。该样本检出的p.G12</w:t>
      </w:r>
      <w:r>
        <w:rPr>
          <w:rFonts w:hint="eastAsia" w:ascii="微软雅黑" w:hAnsi="微软雅黑" w:cs="微软雅黑"/>
          <w:sz w:val="21"/>
          <w:lang w:val="en-US" w:eastAsia="zh-CN"/>
        </w:rPr>
        <w:t>S</w:t>
      </w:r>
      <w:r>
        <w:rPr>
          <w:rFonts w:hint="eastAsia" w:ascii="微软雅黑" w:hAnsi="微软雅黑" w:cs="微软雅黑"/>
          <w:sz w:val="21"/>
        </w:rPr>
        <w:t>突变位于上述结构域</w:t>
      </w:r>
      <w:r>
        <w:rPr>
          <w:rFonts w:hint="eastAsia" w:ascii="微软雅黑" w:hAnsi="微软雅黑" w:cs="微软雅黑"/>
          <w:sz w:val="21"/>
          <w:lang w:val="en-US" w:eastAsia="zh-CN"/>
        </w:rPr>
        <w:t>之</w:t>
      </w:r>
      <w:r>
        <w:rPr>
          <w:rFonts w:hint="eastAsia" w:ascii="微软雅黑" w:hAnsi="微软雅黑" w:cs="微软雅黑"/>
          <w:sz w:val="21"/>
        </w:rPr>
        <w:t>内，为已知激活突变，对蛋白功能有重要影响。</w:t>
      </w:r>
    </w:p>
    <w:p w14:paraId="05B21F62">
      <w:pPr>
        <w:spacing w:after="0"/>
        <w:ind w:firstLine="400"/>
        <w:jc w:val="both"/>
        <w:rPr>
          <w:rFonts w:hint="eastAsia" w:ascii="微软雅黑" w:hAnsi="微软雅黑" w:cs="微软雅黑"/>
          <w:b/>
          <w:color w:val="FF0000"/>
          <w:sz w:val="24"/>
          <w:u w:val="single"/>
        </w:rPr>
      </w:pPr>
      <w:r>
        <w:rPr>
          <w:rFonts w:hint="eastAsia" w:ascii="微软雅黑" w:hAnsi="微软雅黑" w:cs="微软雅黑"/>
          <w:sz w:val="21"/>
        </w:rPr>
        <w:t>KRAS突变在人体肿瘤发生过程中起着重要的作用，并在胰腺癌、甲状腺癌、结直肠癌和肺癌中普遍存在[23066310]。研究显示，大约有35%-45%的结直肠癌患者携带原癌基因KRAS的突变。常见的KRAS突变多发生在N端第12、13、61和第146号密码子。这些突变会导致KRAS蛋白处于激活状态，并激活下游的信号通路，且已被证实是anti-EGFR抗体药物（如西妥昔单抗、帕尼单抗）耐药的标志[20100961]。因此，该样本检出的突变可能与疾病的发生发展</w:t>
      </w:r>
      <w:r>
        <w:rPr>
          <w:rFonts w:hint="eastAsia" w:ascii="微软雅黑" w:hAnsi="微软雅黑" w:cs="微软雅黑"/>
          <w:sz w:val="21"/>
          <w:lang w:val="en-US" w:eastAsia="zh-CN"/>
        </w:rPr>
        <w:t>及用药</w:t>
      </w:r>
      <w:r>
        <w:rPr>
          <w:rFonts w:hint="eastAsia" w:ascii="微软雅黑" w:hAnsi="微软雅黑" w:cs="微软雅黑"/>
          <w:sz w:val="21"/>
        </w:rPr>
        <w:t>相关。</w:t>
      </w:r>
    </w:p>
    <w:p w14:paraId="6E8559E3">
      <w:pPr>
        <w:spacing w:before="200"/>
        <w:jc w:val="both"/>
        <w:rPr>
          <w:rFonts w:ascii="微软雅黑" w:hAnsi="微软雅黑" w:cs="微软雅黑"/>
          <w:sz w:val="21"/>
        </w:rPr>
      </w:pPr>
      <w:r>
        <w:rPr>
          <w:rFonts w:ascii="Wingdings" w:hAnsi="Wingdings" w:eastAsia="Wingdings" w:cs="Wingdings"/>
          <w:sz w:val="24"/>
        </w:rPr>
        <w:t>u</w:t>
      </w:r>
      <w:r>
        <w:rPr>
          <w:rFonts w:hint="eastAsia" w:ascii="Wingdings" w:hAnsi="Wingdings" w:eastAsia="宋体" w:cs="Wingdings"/>
          <w:sz w:val="24"/>
        </w:rPr>
        <w:t xml:space="preserve"> </w:t>
      </w:r>
      <w:r>
        <w:rPr>
          <w:rFonts w:hint="eastAsia" w:ascii="微软雅黑" w:hAnsi="微软雅黑" w:cs="微软雅黑"/>
          <w:b/>
          <w:color w:val="0000FF"/>
          <w:sz w:val="24"/>
          <w:u w:val="single"/>
        </w:rPr>
        <w:t>APC：c.4348C&gt;T，p.R1450*；41.12%</w:t>
      </w:r>
    </w:p>
    <w:p w14:paraId="20B44021">
      <w:pPr>
        <w:spacing w:after="0"/>
      </w:pPr>
      <w:r>
        <w:rPr>
          <w:rFonts w:ascii="微软雅黑" w:hAnsi="微软雅黑" w:cs="微软雅黑"/>
          <w:b/>
        </w:rPr>
        <w:t>基因简介：</w:t>
      </w:r>
    </w:p>
    <w:p w14:paraId="38BA68E0">
      <w:pPr>
        <w:spacing w:after="0"/>
        <w:ind w:firstLine="400"/>
        <w:jc w:val="both"/>
        <w:rPr>
          <w:rFonts w:ascii="微软雅黑" w:hAnsi="微软雅黑" w:cs="微软雅黑"/>
          <w:sz w:val="21"/>
        </w:rPr>
      </w:pPr>
      <w:r>
        <w:rPr>
          <w:rFonts w:hint="eastAsia" w:ascii="微软雅黑" w:hAnsi="微软雅黑" w:cs="微软雅黑"/>
          <w:sz w:val="21"/>
        </w:rPr>
        <w:t>APC基因能够编码肿瘤抑制蛋白，并在经典WNT信号通路中起拮抗作用，APC作为β-链蛋白（β-catenin）信号传导的负调节因子，与β-链蛋白的稳定性密切相关。β-链蛋白参与E-钙粘蛋白细胞粘附系统和Wnt信号传导途径[10959075]。APC基因突变导致其不能有效地与β-catenin、GSK-3β和Axin结合而形成复合物，失去了调节表达水平的能力，信号通路下游相关基因转录激活，从而导致细胞增殖异常和肿瘤的发生。研究显示，APC突变在胰腺癌、胃癌中也频繁发生，可能与其疾病的发生发展相关[1338691，12378616，1423316]。对APC的功能研究还发现APC通过其基本结构域与微管细胞骨架结合，参与细胞迁移过程。有助于微管网络的组装和重组，这与细胞分裂密切相关。APC可以间接调节肌动蛋白丝网络的组织，并因此影响细胞形态、极性和迁移[8033082，8698812]。APC-hDLG复合物形成在APC细胞周期阻断信号转导中起重要作用[10656683]。</w:t>
      </w:r>
    </w:p>
    <w:p w14:paraId="37D81575">
      <w:pPr>
        <w:spacing w:after="0"/>
      </w:pPr>
      <w:r>
        <w:rPr>
          <w:rFonts w:ascii="微软雅黑" w:hAnsi="微软雅黑" w:cs="微软雅黑"/>
          <w:b/>
        </w:rPr>
        <w:t>基因变异说明：</w:t>
      </w:r>
    </w:p>
    <w:p w14:paraId="5DB70BD0">
      <w:pPr>
        <w:spacing w:after="0"/>
        <w:ind w:firstLine="400"/>
        <w:jc w:val="both"/>
        <w:rPr>
          <w:rFonts w:ascii="微软雅黑" w:hAnsi="微软雅黑" w:cs="微软雅黑"/>
          <w:sz w:val="21"/>
        </w:rPr>
      </w:pPr>
      <w:r>
        <w:rPr>
          <w:rFonts w:hint="eastAsia" w:ascii="微软雅黑" w:hAnsi="微软雅黑" w:cs="微软雅黑"/>
          <w:sz w:val="21"/>
        </w:rPr>
        <w:t>该样本检出APC基因c.4348C&gt;T，p.R1450*无义突变，第4348位核苷酸由C突变为T，导致相应蛋白序列中第1450位氨基酸由精氨酸突变为终止密码子，此突变在样本中的突变丰度为41.12%。</w:t>
      </w:r>
    </w:p>
    <w:p w14:paraId="40C2F624">
      <w:pPr>
        <w:spacing w:after="0"/>
      </w:pPr>
      <w:r>
        <w:rPr>
          <w:rFonts w:ascii="微软雅黑" w:hAnsi="微软雅黑" w:cs="微软雅黑"/>
          <w:b/>
        </w:rPr>
        <w:t xml:space="preserve">基因变异解析： </w:t>
      </w:r>
    </w:p>
    <w:p w14:paraId="3E7C71F6">
      <w:pPr>
        <w:spacing w:after="0"/>
        <w:ind w:firstLine="400"/>
        <w:jc w:val="both"/>
        <w:rPr>
          <w:rFonts w:hint="eastAsia" w:ascii="微软雅黑" w:hAnsi="微软雅黑" w:cs="微软雅黑"/>
          <w:sz w:val="21"/>
        </w:rPr>
      </w:pPr>
      <w:r>
        <w:rPr>
          <w:rFonts w:hint="eastAsia" w:ascii="微软雅黑" w:hAnsi="微软雅黑" w:cs="微软雅黑"/>
          <w:sz w:val="21"/>
        </w:rPr>
        <w:t>APC基因编码的蛋白全长为2843个氨基酸，主要包含2个卷曲螺旋结构域（2-59位、1869-1893位氨基酸）、1个Suppressor_APC结构域（126-208位氨基酸）、6个ARM结构域（340-392位、459-510位、512-553位、556-597位、599-644位和649-689位氨基酸）、1个Armadillo/beta-catenin-like repeat结构域（691-731位氨基酸）、4个APC_15aa结构域、7个APC_crr结构域、3个SAMP结构域、1个APC基础结构域（2223-2579位氨基酸）以及1个EB-1结合结构域（2670-2843位氨基酸）。该样本检出的p.R1450*突变导致蛋白翻译提前终止，产生截短的蛋白，可能导致蛋白功能缺失。</w:t>
      </w:r>
    </w:p>
    <w:p w14:paraId="4C034EC9">
      <w:pPr>
        <w:spacing w:after="0"/>
        <w:ind w:firstLine="400"/>
        <w:jc w:val="both"/>
        <w:rPr>
          <w:rFonts w:hint="eastAsia" w:ascii="微软雅黑" w:hAnsi="微软雅黑" w:cs="微软雅黑"/>
          <w:sz w:val="21"/>
        </w:rPr>
      </w:pPr>
      <w:r>
        <w:rPr>
          <w:rFonts w:hint="eastAsia" w:ascii="微软雅黑" w:hAnsi="微软雅黑" w:cs="微软雅黑"/>
          <w:sz w:val="21"/>
        </w:rPr>
        <w:t>APC作为看家基因，参与DNA修复，它的突变会导致DNA修复减缓，增加周边其它细胞突变的风险，从而促进癌症的进展[24200292]。有研究表明，结直肠癌患者存在APC基因缺失，从而导致Wnt信号通路失调和C-Myc的反式激活，是潜在的治疗靶点[18593890]。</w:t>
      </w:r>
      <w:r>
        <w:rPr>
          <w:rFonts w:hint="eastAsia" w:ascii="微软雅黑" w:hAnsi="微软雅黑" w:cs="Arial Unicode MS"/>
          <w:kern w:val="2"/>
          <w:sz w:val="21"/>
          <w:szCs w:val="21"/>
          <w:lang w:val="en-US" w:eastAsia="zh-CN"/>
        </w:rPr>
        <w:t>因此，该样本检出的突变可能与疾病的发生发展相关。</w:t>
      </w:r>
      <w:r>
        <w:rPr>
          <w:rFonts w:hint="eastAsia" w:ascii="微软雅黑" w:hAnsi="微软雅黑" w:cs="微软雅黑"/>
          <w:sz w:val="21"/>
        </w:rPr>
        <w:t xml:space="preserve">  </w:t>
      </w:r>
    </w:p>
    <w:p w14:paraId="664D8C6F">
      <w:pPr>
        <w:spacing w:before="200"/>
        <w:jc w:val="both"/>
        <w:rPr>
          <w:rFonts w:ascii="微软雅黑" w:hAnsi="微软雅黑" w:cs="微软雅黑"/>
          <w:sz w:val="21"/>
        </w:rPr>
      </w:pPr>
      <w:r>
        <w:rPr>
          <w:rFonts w:ascii="Wingdings" w:hAnsi="Wingdings" w:eastAsia="Wingdings" w:cs="Wingdings"/>
          <w:sz w:val="24"/>
        </w:rPr>
        <w:t>u</w:t>
      </w:r>
      <w:r>
        <w:rPr>
          <w:rFonts w:hint="eastAsia" w:ascii="Wingdings" w:hAnsi="Wingdings" w:eastAsia="宋体" w:cs="Wingdings"/>
          <w:sz w:val="24"/>
        </w:rPr>
        <w:t xml:space="preserve"> </w:t>
      </w:r>
      <w:r>
        <w:rPr>
          <w:rFonts w:hint="eastAsia" w:ascii="微软雅黑" w:hAnsi="微软雅黑" w:cs="微软雅黑"/>
          <w:b/>
          <w:color w:val="0000FF"/>
          <w:sz w:val="24"/>
          <w:u w:val="single"/>
        </w:rPr>
        <w:t>APC：c.2387_2388del，p.Y796Wfs*2；37.52%</w:t>
      </w:r>
    </w:p>
    <w:p w14:paraId="07F959AF">
      <w:pPr>
        <w:spacing w:after="0"/>
      </w:pPr>
      <w:r>
        <w:rPr>
          <w:rFonts w:ascii="微软雅黑" w:hAnsi="微软雅黑" w:cs="微软雅黑"/>
          <w:b/>
        </w:rPr>
        <w:t>基因简介：</w:t>
      </w:r>
    </w:p>
    <w:p w14:paraId="2321AE8A">
      <w:pPr>
        <w:spacing w:after="0"/>
        <w:ind w:firstLine="400"/>
        <w:jc w:val="both"/>
        <w:rPr>
          <w:rFonts w:ascii="微软雅黑" w:hAnsi="微软雅黑" w:cs="微软雅黑"/>
          <w:sz w:val="21"/>
        </w:rPr>
      </w:pPr>
      <w:r>
        <w:rPr>
          <w:rFonts w:hint="eastAsia" w:ascii="微软雅黑" w:hAnsi="微软雅黑" w:cs="微软雅黑"/>
          <w:sz w:val="21"/>
        </w:rPr>
        <w:t>APC基因能够编码肿瘤抑制蛋白，并在经典WNT信号通路中起拮抗作用，APC作为β-链蛋白（β-catenin）信号传导的负调节因子，与β-链蛋白的稳定性密切相关。β-链蛋白参与E-钙粘蛋白细胞粘附系统和Wnt信号传导途径[10959075]。APC基因突变导致其不能有效地与β-catenin、GSK-3β和Axin结合而形成复合物，失去了调节表达水平的能力，信号通路下游相关基因转录激活，从而导致细胞增殖异常和肿瘤的发生。研究显示，APC突变在胰腺癌、胃癌中也频繁发生，可能与其疾病的发生发展相关[1338691，12378616，1423316]。对APC的功能研究还发现APC通过其基本结构域与微管细胞骨架结合，参与细胞迁移过程。有助于微管网络的组装和重组，这与细胞分裂密切相关。APC可以间接调节肌动蛋白丝网络的组织，并因此影响细胞形态、极性和迁移[8033082，8698812]。APC-hDLG复合物形成在APC细胞周期阻断信号转导中起重要作用[10656683]。</w:t>
      </w:r>
    </w:p>
    <w:p w14:paraId="716B65A7">
      <w:pPr>
        <w:spacing w:after="0"/>
      </w:pPr>
      <w:r>
        <w:rPr>
          <w:rFonts w:ascii="微软雅黑" w:hAnsi="微软雅黑" w:cs="微软雅黑"/>
          <w:b/>
        </w:rPr>
        <w:t>基因变异说明：</w:t>
      </w:r>
    </w:p>
    <w:p w14:paraId="4339EAC3">
      <w:pPr>
        <w:spacing w:after="0"/>
        <w:ind w:firstLine="400"/>
        <w:jc w:val="both"/>
        <w:rPr>
          <w:rFonts w:ascii="微软雅黑" w:hAnsi="微软雅黑" w:cs="微软雅黑"/>
          <w:sz w:val="21"/>
        </w:rPr>
      </w:pPr>
      <w:r>
        <w:rPr>
          <w:rFonts w:hint="eastAsia" w:ascii="微软雅黑" w:hAnsi="微软雅黑" w:cs="微软雅黑"/>
          <w:sz w:val="21"/>
        </w:rPr>
        <w:t>该样本检出APC基因c.2387_2388del，p.Y796Wfs*2碱基缺失引起的移码突变，第2387位至第2388位核苷酸缺失，导致相应蛋白序列中第796位氨基酸由酪氨酸突变为色氨酸，并开始发生移码，于此后第2位氨基酸处翻译终止，此突变在样本中的突变丰度为37.52%。</w:t>
      </w:r>
    </w:p>
    <w:p w14:paraId="547DAF2E">
      <w:pPr>
        <w:spacing w:after="0"/>
      </w:pPr>
      <w:r>
        <w:rPr>
          <w:rFonts w:ascii="微软雅黑" w:hAnsi="微软雅黑" w:cs="微软雅黑"/>
          <w:b/>
        </w:rPr>
        <w:t xml:space="preserve">基因变异解析： </w:t>
      </w:r>
    </w:p>
    <w:p w14:paraId="0DB53F77">
      <w:pPr>
        <w:spacing w:after="0"/>
        <w:ind w:firstLine="400"/>
        <w:jc w:val="both"/>
        <w:rPr>
          <w:rFonts w:hint="eastAsia" w:ascii="微软雅黑" w:hAnsi="微软雅黑" w:cs="微软雅黑"/>
          <w:sz w:val="21"/>
        </w:rPr>
      </w:pPr>
      <w:r>
        <w:rPr>
          <w:rFonts w:hint="eastAsia" w:ascii="微软雅黑" w:hAnsi="微软雅黑" w:cs="微软雅黑"/>
          <w:sz w:val="21"/>
        </w:rPr>
        <w:t>APC基因编码的蛋白全长为2843个氨基酸，主要包含2个卷曲螺旋结构域（2-59位、1869-1893位氨基酸）、1个Suppressor_APC结构域（126-208位氨基酸）、6个ARM结构域（340-392位、459-510位、512-553位、556-597位、599-644位和649-689位氨基酸）、1个Armadillo/beta-catenin-like repeat结构域（691-731位氨基酸）、4个APC_15aa结构域、7个APC_crr结构域、3个SAMP结构域、1个APC基础结构域（2223-2579位氨基酸）以及1个EB-1结合结构域（2670-2843位氨基酸）。该样本检出的p.Y796Wfs*2突变导致蛋白翻译提前终止，产生截短的蛋白，可能导致蛋白功能缺失。</w:t>
      </w:r>
    </w:p>
    <w:p w14:paraId="455FFDDD">
      <w:pPr>
        <w:spacing w:after="0"/>
        <w:ind w:firstLine="400"/>
        <w:jc w:val="both"/>
        <w:rPr>
          <w:rFonts w:hint="eastAsia" w:ascii="微软雅黑" w:hAnsi="微软雅黑" w:cs="微软雅黑"/>
          <w:sz w:val="21"/>
        </w:rPr>
      </w:pPr>
      <w:r>
        <w:rPr>
          <w:rFonts w:hint="eastAsia" w:ascii="微软雅黑" w:hAnsi="微软雅黑" w:cs="微软雅黑"/>
          <w:sz w:val="21"/>
        </w:rPr>
        <w:t>APC作为看家基因，参与DNA修复，它的突变会导致DNA修复减缓，增加周边其它细胞突变的风险，从而促进癌症的进展[24200292]。有研究表明，结直肠癌患者存在APC基因缺失，从而导致Wnt信号通路失调和C-Myc的反式激活，是潜在的治疗靶点[18593890]。</w:t>
      </w:r>
      <w:r>
        <w:rPr>
          <w:rFonts w:hint="eastAsia" w:ascii="微软雅黑" w:hAnsi="微软雅黑" w:cs="Arial Unicode MS"/>
          <w:kern w:val="2"/>
          <w:sz w:val="21"/>
          <w:szCs w:val="21"/>
          <w:lang w:val="en-US" w:eastAsia="zh-CN"/>
        </w:rPr>
        <w:t>因此，该样本检出的突变可能与疾病的发生发展相关。</w:t>
      </w:r>
      <w:r>
        <w:rPr>
          <w:rFonts w:hint="eastAsia" w:ascii="微软雅黑" w:hAnsi="微软雅黑" w:cs="微软雅黑"/>
          <w:sz w:val="21"/>
        </w:rPr>
        <w:t xml:space="preserve">  </w:t>
      </w:r>
    </w:p>
    <w:p w14:paraId="503F804B">
      <w:pPr>
        <w:spacing w:before="200"/>
        <w:jc w:val="both"/>
        <w:rPr>
          <w:rFonts w:hint="eastAsia" w:ascii="微软雅黑" w:hAnsi="微软雅黑" w:cs="微软雅黑"/>
          <w:b/>
          <w:color w:val="FF0000"/>
          <w:sz w:val="24"/>
          <w:u w:val="single"/>
        </w:rPr>
      </w:pPr>
      <w:r>
        <w:rPr>
          <w:rFonts w:ascii="Wingdings" w:hAnsi="Wingdings" w:eastAsia="Wingdings" w:cs="Wingdings"/>
          <w:sz w:val="24"/>
        </w:rPr>
        <w:t>u</w:t>
      </w:r>
      <w:r>
        <w:rPr>
          <w:rFonts w:hint="eastAsia" w:ascii="Wingdings" w:hAnsi="Wingdings" w:eastAsia="宋体" w:cs="Wingdings"/>
          <w:sz w:val="24"/>
        </w:rPr>
        <w:t xml:space="preserve"> </w:t>
      </w:r>
      <w:r>
        <w:rPr>
          <w:rFonts w:hint="eastAsia" w:ascii="微软雅黑" w:hAnsi="微软雅黑" w:eastAsia="宋体" w:cs="微软雅黑"/>
          <w:b/>
          <w:color w:val="FF0000"/>
          <w:sz w:val="24"/>
          <w:u w:val="single"/>
        </w:rPr>
        <w:t>SETD2</w:t>
      </w:r>
      <w:r>
        <w:rPr>
          <w:rFonts w:ascii="微软雅黑" w:hAnsi="微软雅黑" w:cs="微软雅黑"/>
          <w:b/>
          <w:color w:val="FF0000"/>
          <w:sz w:val="24"/>
          <w:u w:val="single"/>
        </w:rPr>
        <w:t>：</w:t>
      </w:r>
      <w:r>
        <w:rPr>
          <w:rFonts w:hint="eastAsia" w:ascii="微软雅黑" w:hAnsi="微软雅黑" w:cs="微软雅黑"/>
          <w:b/>
          <w:color w:val="FF0000"/>
          <w:sz w:val="24"/>
          <w:u w:val="single"/>
        </w:rPr>
        <w:t>c.4930G&gt;T，p.G1644*；22.15%</w:t>
      </w:r>
    </w:p>
    <w:p w14:paraId="6FFBAC27">
      <w:pPr>
        <w:spacing w:after="0"/>
      </w:pPr>
      <w:r>
        <w:rPr>
          <w:rFonts w:ascii="微软雅黑" w:hAnsi="微软雅黑" w:cs="微软雅黑"/>
          <w:b/>
        </w:rPr>
        <w:t>基因简介：</w:t>
      </w:r>
    </w:p>
    <w:p w14:paraId="48F51615">
      <w:pPr>
        <w:spacing w:after="0"/>
        <w:ind w:firstLine="420" w:firstLineChars="200"/>
        <w:jc w:val="both"/>
        <w:outlineLvl w:val="9"/>
        <w:rPr>
          <w:rFonts w:hint="eastAsia" w:ascii="微软雅黑" w:hAnsi="微软雅黑" w:cs="Arial Unicode MS"/>
          <w:kern w:val="2"/>
          <w:sz w:val="21"/>
          <w:szCs w:val="21"/>
        </w:rPr>
      </w:pPr>
      <w:r>
        <w:rPr>
          <w:rFonts w:hint="eastAsia" w:ascii="微软雅黑" w:hAnsi="微软雅黑" w:cs="Arial Unicode MS"/>
          <w:kern w:val="2"/>
          <w:sz w:val="21"/>
          <w:szCs w:val="21"/>
        </w:rPr>
        <w:t>SETD2基因又名KMT3A或HYPB，该基因编码的蛋白是一个含有SET结构域的组蛋白H3K36特异性三甲基转移酶，最早是由人造血干细胞分离的，也是与亨廷顿病的发病机制相关的蛋白[9700202]。在人体中，SETD2是H3K36唯一的三甲基转移酶，参与调节H3K36三甲基化过程（H3K36me3）[12730288</w:t>
      </w:r>
      <w:r>
        <w:rPr>
          <w:rFonts w:hint="eastAsia" w:ascii="微软雅黑" w:hAnsi="微软雅黑" w:cs="Arial Unicode MS"/>
          <w:kern w:val="2"/>
          <w:sz w:val="21"/>
          <w:szCs w:val="21"/>
          <w:lang w:eastAsia="zh-CN"/>
        </w:rPr>
        <w:t>，</w:t>
      </w:r>
      <w:r>
        <w:rPr>
          <w:rFonts w:hint="eastAsia" w:ascii="微软雅黑" w:hAnsi="微软雅黑" w:cs="Arial Unicode MS"/>
          <w:kern w:val="2"/>
          <w:sz w:val="21"/>
          <w:szCs w:val="21"/>
        </w:rPr>
        <w:t>18157086]。SETD2蛋白主要包含WW结构域和AWS-SET-postSET三联结构域，负责与H3K36的特异性结合发挥甲基转移酶活性；保守的低电荷区域( low charge region) ，被认为是富有谷氨酰胺和脯氨酸的转录激活结构域；SETD2通过羧基端与高度磷酸化的RNA聚合酶Ⅱ相结合[16118227</w:t>
      </w:r>
      <w:r>
        <w:rPr>
          <w:rFonts w:hint="eastAsia" w:ascii="微软雅黑" w:hAnsi="微软雅黑" w:cs="Arial Unicode MS"/>
          <w:kern w:val="2"/>
          <w:sz w:val="21"/>
          <w:szCs w:val="21"/>
          <w:lang w:val="en-US" w:eastAsia="zh-CN"/>
        </w:rPr>
        <w:t>]</w:t>
      </w:r>
      <w:r>
        <w:rPr>
          <w:rFonts w:hint="eastAsia" w:ascii="微软雅黑" w:hAnsi="微软雅黑" w:cs="Arial Unicode MS"/>
          <w:kern w:val="2"/>
          <w:sz w:val="21"/>
          <w:szCs w:val="21"/>
        </w:rPr>
        <w:t>。因此SETD2可能是组蛋白甲基化修饰与基因转录调控之间的桥梁。SETD2通过抑制转录起始、激活转录因子p53、参与DNA修复过程和对细胞凋亡基因的调节等防止肿瘤的发生。目前，已在肾透明细胞癌、结直肠癌、乳腺癌、急性淋巴细胞性白血病和晚期脑胶质细胞瘤等多种肿瘤中发现SETD2基因发生突变，而绝大多数突变导致H3K36me3水平降低，表明SETD2的突变导致其编码蛋白失活[20501857</w:t>
      </w:r>
      <w:r>
        <w:rPr>
          <w:rFonts w:hint="eastAsia" w:ascii="微软雅黑" w:hAnsi="微软雅黑" w:cs="Arial Unicode MS"/>
          <w:kern w:val="2"/>
          <w:sz w:val="21"/>
          <w:szCs w:val="21"/>
          <w:lang w:eastAsia="zh-CN"/>
        </w:rPr>
        <w:t>，</w:t>
      </w:r>
      <w:r>
        <w:rPr>
          <w:rFonts w:hint="eastAsia" w:ascii="微软雅黑" w:hAnsi="微软雅黑" w:cs="Arial Unicode MS"/>
          <w:kern w:val="2"/>
          <w:sz w:val="21"/>
          <w:szCs w:val="21"/>
        </w:rPr>
        <w:t>20944102</w:t>
      </w:r>
      <w:r>
        <w:rPr>
          <w:rFonts w:hint="eastAsia" w:ascii="微软雅黑" w:hAnsi="微软雅黑" w:cs="Arial Unicode MS"/>
          <w:kern w:val="2"/>
          <w:sz w:val="21"/>
          <w:szCs w:val="21"/>
          <w:lang w:eastAsia="zh-CN"/>
        </w:rPr>
        <w:t>，</w:t>
      </w:r>
      <w:r>
        <w:rPr>
          <w:rFonts w:hint="eastAsia" w:ascii="微软雅黑" w:hAnsi="微软雅黑" w:cs="Arial Unicode MS"/>
          <w:kern w:val="2"/>
          <w:sz w:val="21"/>
          <w:szCs w:val="21"/>
        </w:rPr>
        <w:t>24509477]。</w:t>
      </w:r>
    </w:p>
    <w:p w14:paraId="5702E89C">
      <w:pPr>
        <w:spacing w:after="0"/>
      </w:pPr>
      <w:r>
        <w:rPr>
          <w:rFonts w:ascii="微软雅黑" w:hAnsi="微软雅黑" w:cs="微软雅黑"/>
          <w:b/>
        </w:rPr>
        <w:t>基因变异说明：</w:t>
      </w:r>
    </w:p>
    <w:p w14:paraId="6139506B">
      <w:pPr>
        <w:spacing w:after="0"/>
        <w:ind w:firstLine="400"/>
        <w:jc w:val="both"/>
        <w:rPr>
          <w:rFonts w:ascii="微软雅黑" w:hAnsi="微软雅黑" w:cs="微软雅黑"/>
          <w:sz w:val="21"/>
        </w:rPr>
      </w:pPr>
      <w:r>
        <w:rPr>
          <w:rFonts w:hint="eastAsia" w:ascii="微软雅黑" w:hAnsi="微软雅黑" w:cs="微软雅黑"/>
          <w:sz w:val="21"/>
        </w:rPr>
        <w:t>该样本检出SETD2基因c.4930G&gt;T，p.G1644*无义突变，第4930位核苷酸由G突变为T，导致相应蛋白序列中第1644位氨基酸由甘氨酸突变为终止密码子，此突变在样本中的突变丰度为22.15%。</w:t>
      </w:r>
    </w:p>
    <w:p w14:paraId="638F7D83">
      <w:pPr>
        <w:spacing w:after="0"/>
      </w:pPr>
      <w:r>
        <w:rPr>
          <w:rFonts w:ascii="微软雅黑" w:hAnsi="微软雅黑" w:cs="微软雅黑"/>
          <w:b/>
        </w:rPr>
        <w:t xml:space="preserve">基因变异解析： </w:t>
      </w:r>
    </w:p>
    <w:p w14:paraId="0BF9D77D">
      <w:pPr>
        <w:numPr>
          <w:ilvl w:val="-1"/>
          <w:numId w:val="0"/>
        </w:numPr>
        <w:spacing w:before="0" w:beforeLines="-2147483648" w:after="0" w:afterLines="-2147483648"/>
        <w:ind w:left="0" w:leftChars="0" w:firstLine="420" w:firstLineChars="200"/>
        <w:jc w:val="both"/>
        <w:outlineLvl w:val="9"/>
        <w:rPr>
          <w:rFonts w:hint="eastAsia" w:ascii="微软雅黑" w:hAnsi="微软雅黑" w:cs="Arial Unicode MS"/>
          <w:b w:val="0"/>
          <w:bCs w:val="0"/>
          <w:kern w:val="2"/>
          <w:sz w:val="21"/>
          <w:szCs w:val="21"/>
          <w:highlight w:val="none"/>
          <w:lang w:val="en-US" w:eastAsia="zh-CN"/>
        </w:rPr>
      </w:pPr>
      <w:r>
        <w:rPr>
          <w:rFonts w:hint="eastAsia" w:ascii="微软雅黑" w:hAnsi="微软雅黑" w:cs="Arial Unicode MS"/>
          <w:kern w:val="2"/>
          <w:sz w:val="21"/>
          <w:szCs w:val="21"/>
          <w:highlight w:val="none"/>
        </w:rPr>
        <w:t>SETD2</w:t>
      </w:r>
      <w:r>
        <w:rPr>
          <w:rFonts w:hint="eastAsia" w:ascii="微软雅黑" w:hAnsi="微软雅黑" w:cs="Arial Unicode MS"/>
          <w:kern w:val="2"/>
          <w:sz w:val="21"/>
          <w:szCs w:val="21"/>
          <w:highlight w:val="none"/>
          <w:lang w:eastAsia="zh-CN"/>
        </w:rPr>
        <w:t>基因编码的蛋</w:t>
      </w:r>
      <w:r>
        <w:rPr>
          <w:rFonts w:hint="eastAsia" w:ascii="微软雅黑" w:hAnsi="微软雅黑" w:cs="Arial Unicode MS"/>
          <w:kern w:val="2"/>
          <w:sz w:val="21"/>
          <w:szCs w:val="21"/>
          <w:lang w:eastAsia="zh-CN"/>
        </w:rPr>
        <w:t>白</w:t>
      </w:r>
      <w:r>
        <w:rPr>
          <w:rFonts w:hint="eastAsia" w:ascii="微软雅黑" w:hAnsi="微软雅黑" w:cs="Arial Unicode MS"/>
          <w:kern w:val="2"/>
          <w:sz w:val="21"/>
          <w:szCs w:val="21"/>
          <w:lang w:val="en-US" w:eastAsia="zh-CN"/>
        </w:rPr>
        <w:t>全长为2564个氨基酸，</w:t>
      </w:r>
      <w:r>
        <w:rPr>
          <w:rFonts w:hint="eastAsia" w:ascii="微软雅黑" w:hAnsi="微软雅黑" w:cs="Arial Unicode MS"/>
          <w:kern w:val="2"/>
          <w:sz w:val="21"/>
          <w:szCs w:val="21"/>
          <w:lang w:eastAsia="zh-CN"/>
        </w:rPr>
        <w:t>主要包含</w:t>
      </w:r>
      <w:r>
        <w:rPr>
          <w:rFonts w:hint="eastAsia" w:ascii="微软雅黑" w:hAnsi="微软雅黑" w:cs="Arial Unicode MS"/>
          <w:kern w:val="2"/>
          <w:sz w:val="21"/>
          <w:szCs w:val="21"/>
          <w:lang w:val="en-US" w:eastAsia="zh-CN"/>
        </w:rPr>
        <w:t>AWS结构域（第1494-1549位氨基酸）、SET结构域（第1550-1673位氨基酸）和SRI结构域（第2465-2559位氨基酸）。</w:t>
      </w:r>
      <w:r>
        <w:rPr>
          <w:rFonts w:hint="eastAsia" w:ascii="微软雅黑" w:hAnsi="微软雅黑" w:cs="Arial Unicode MS"/>
          <w:b w:val="0"/>
          <w:bCs w:val="0"/>
          <w:kern w:val="2"/>
          <w:sz w:val="21"/>
          <w:szCs w:val="21"/>
          <w:highlight w:val="none"/>
          <w:lang w:val="en-US" w:eastAsia="zh-CN"/>
        </w:rPr>
        <w:t>该样本检出的</w:t>
      </w:r>
      <w:r>
        <w:rPr>
          <w:rFonts w:hint="eastAsia" w:ascii="微软雅黑" w:hAnsi="微软雅黑" w:cs="微软雅黑"/>
          <w:sz w:val="21"/>
        </w:rPr>
        <w:t>p.G1644*</w:t>
      </w:r>
      <w:r>
        <w:rPr>
          <w:rFonts w:hint="eastAsia" w:ascii="微软雅黑" w:hAnsi="微软雅黑" w:cs="Arial Unicode MS"/>
          <w:kern w:val="2"/>
          <w:sz w:val="21"/>
          <w:szCs w:val="21"/>
          <w:highlight w:val="none"/>
          <w:lang w:eastAsia="zh-CN"/>
        </w:rPr>
        <w:t>突变导致蛋白翻译提前终止</w:t>
      </w:r>
      <w:r>
        <w:rPr>
          <w:rFonts w:hint="eastAsia" w:ascii="微软雅黑" w:hAnsi="微软雅黑" w:cs="Arial Unicode MS"/>
          <w:b w:val="0"/>
          <w:bCs w:val="0"/>
          <w:kern w:val="2"/>
          <w:sz w:val="21"/>
          <w:szCs w:val="21"/>
          <w:highlight w:val="none"/>
          <w:lang w:val="en-US" w:eastAsia="zh-CN"/>
        </w:rPr>
        <w:t>，产生截短的蛋白，可能导致蛋白功能缺失。</w:t>
      </w:r>
    </w:p>
    <w:p w14:paraId="6C5D8E05">
      <w:pPr>
        <w:numPr>
          <w:ilvl w:val="-1"/>
          <w:numId w:val="0"/>
        </w:numPr>
        <w:spacing w:before="0" w:beforeLines="-2147483648" w:after="0" w:afterLines="-2147483648"/>
        <w:ind w:left="0" w:leftChars="0" w:firstLine="420" w:firstLineChars="200"/>
        <w:jc w:val="both"/>
        <w:outlineLvl w:val="9"/>
        <w:rPr>
          <w:rFonts w:hint="eastAsia" w:ascii="微软雅黑" w:hAnsi="微软雅黑" w:cs="Arial Unicode MS"/>
          <w:kern w:val="2"/>
          <w:sz w:val="21"/>
          <w:szCs w:val="21"/>
          <w:lang w:val="en-US" w:eastAsia="zh-CN"/>
        </w:rPr>
      </w:pPr>
      <w:r>
        <w:rPr>
          <w:rFonts w:hint="eastAsia" w:ascii="微软雅黑" w:hAnsi="微软雅黑" w:cs="Arial Unicode MS"/>
          <w:kern w:val="2"/>
          <w:sz w:val="21"/>
          <w:szCs w:val="21"/>
          <w:lang w:val="en-US" w:eastAsia="zh-CN"/>
        </w:rPr>
        <w:t>有研究表明，SETD2缺失与WEE1抑制剂具有“合成致死”作用[29955114]。因此，该样本检出的突变可能与疾病的发生发展及用药相关。</w:t>
      </w:r>
    </w:p>
    <w:p w14:paraId="02C2BA7A">
      <w:pPr>
        <w:spacing w:before="200"/>
        <w:jc w:val="both"/>
        <w:rPr>
          <w:rFonts w:ascii="微软雅黑" w:hAnsi="微软雅黑" w:cs="微软雅黑"/>
          <w:sz w:val="21"/>
        </w:rPr>
      </w:pPr>
      <w:r>
        <w:rPr>
          <w:rFonts w:ascii="Wingdings" w:hAnsi="Wingdings" w:eastAsia="Wingdings" w:cs="Wingdings"/>
          <w:sz w:val="24"/>
        </w:rPr>
        <w:t>u</w:t>
      </w:r>
      <w:r>
        <w:rPr>
          <w:rFonts w:hint="eastAsia" w:ascii="Wingdings" w:hAnsi="Wingdings" w:eastAsia="宋体" w:cs="Wingdings"/>
          <w:sz w:val="24"/>
        </w:rPr>
        <w:t xml:space="preserve"> </w:t>
      </w:r>
      <w:r>
        <w:rPr>
          <w:rFonts w:hint="eastAsia" w:ascii="微软雅黑" w:hAnsi="微软雅黑" w:cs="微软雅黑"/>
          <w:b/>
          <w:color w:val="0000FF"/>
          <w:sz w:val="24"/>
          <w:u w:val="single"/>
        </w:rPr>
        <w:t>EPHA2：c.153+2T&gt;C；3.33%</w:t>
      </w:r>
    </w:p>
    <w:p w14:paraId="31DFD8D9">
      <w:pPr>
        <w:spacing w:after="0"/>
      </w:pPr>
      <w:r>
        <w:rPr>
          <w:rFonts w:ascii="微软雅黑" w:hAnsi="微软雅黑" w:cs="微软雅黑"/>
          <w:b/>
        </w:rPr>
        <w:t>基因简介：</w:t>
      </w:r>
    </w:p>
    <w:p w14:paraId="7A2AC3E0">
      <w:pPr>
        <w:keepNext w:val="0"/>
        <w:keepLines w:val="0"/>
        <w:pageBreakBefore w:val="0"/>
        <w:widowControl/>
        <w:kinsoku/>
        <w:wordWrap/>
        <w:overflowPunct/>
        <w:topLinePunct w:val="0"/>
        <w:autoSpaceDE/>
        <w:autoSpaceDN/>
        <w:bidi w:val="0"/>
        <w:adjustRightInd w:val="0"/>
        <w:snapToGrid w:val="0"/>
        <w:spacing w:after="0"/>
        <w:ind w:firstLine="420" w:firstLineChars="200"/>
        <w:jc w:val="both"/>
        <w:textAlignment w:val="auto"/>
        <w:rPr>
          <w:rFonts w:hint="eastAsia" w:ascii="微软雅黑" w:hAnsi="微软雅黑" w:cs="Arial Unicode MS"/>
          <w:kern w:val="2"/>
          <w:sz w:val="21"/>
          <w:szCs w:val="21"/>
          <w:highlight w:val="none"/>
        </w:rPr>
      </w:pPr>
      <w:r>
        <w:rPr>
          <w:rFonts w:hint="eastAsia" w:ascii="微软雅黑" w:hAnsi="微软雅黑" w:cs="Arial Unicode MS"/>
          <w:kern w:val="2"/>
          <w:sz w:val="21"/>
          <w:szCs w:val="21"/>
          <w:highlight w:val="none"/>
        </w:rPr>
        <w:t>EPHA2是EPH亚家族的成员之一，编码蛋白含有一个976个氨基酸多肽，相对分子质量为130000，为膜结合Ⅰ型糖蛋白。研究表明，EPHA2广泛高表达于许多肿瘤组织中，包括乳腺癌、脑癌、前列腺癌、非小细胞肺癌和结肠癌等[28165374]。对大肠癌的研究发现，EPHA2在癌组织中高表达，并与肿瘤组织血管形成呈正相关。EPHA2能促进肿瘤血管内皮细胞的迁移，并通过影响细胞骨架、基质粘附和细胞粘附而促进毛细血管结构的形成。EPHA2在内皮和卵巢癌细胞中的过表达与涉及血管发生和侵袭的关键因素密切相关。这些结果表明EPHA2过表达的患者的临床结局通常较差[17154180]。</w:t>
      </w:r>
    </w:p>
    <w:p w14:paraId="55922ACA">
      <w:pPr>
        <w:spacing w:after="0"/>
      </w:pPr>
      <w:r>
        <w:rPr>
          <w:rFonts w:ascii="微软雅黑" w:hAnsi="微软雅黑" w:cs="微软雅黑"/>
          <w:b/>
        </w:rPr>
        <w:t>基因变异说明：</w:t>
      </w:r>
    </w:p>
    <w:p w14:paraId="0DD5ECB4">
      <w:pPr>
        <w:spacing w:after="0"/>
        <w:ind w:firstLine="400"/>
        <w:jc w:val="both"/>
        <w:rPr>
          <w:rFonts w:ascii="微软雅黑" w:hAnsi="微软雅黑" w:cs="微软雅黑"/>
          <w:sz w:val="21"/>
        </w:rPr>
      </w:pPr>
      <w:r>
        <w:rPr>
          <w:rFonts w:hint="eastAsia" w:ascii="微软雅黑" w:hAnsi="微软雅黑" w:cs="微软雅黑"/>
          <w:sz w:val="21"/>
        </w:rPr>
        <w:t>该样本检出EPHA2基因c.153+2T&gt;C剪接突变，第153位核苷酸下游第2位核苷酸由T突变为C，此突变在样本中的突变丰度为3.33%。</w:t>
      </w:r>
    </w:p>
    <w:p w14:paraId="6467F40F">
      <w:pPr>
        <w:spacing w:after="0"/>
      </w:pPr>
      <w:r>
        <w:rPr>
          <w:rFonts w:ascii="微软雅黑" w:hAnsi="微软雅黑" w:cs="微软雅黑"/>
          <w:b/>
        </w:rPr>
        <w:t xml:space="preserve">基因变异解析： </w:t>
      </w:r>
    </w:p>
    <w:p w14:paraId="6B1957D5">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val="0"/>
        <w:snapToGrid w:val="0"/>
        <w:spacing w:before="0" w:after="0" w:line="240" w:lineRule="auto"/>
        <w:ind w:firstLine="400"/>
        <w:jc w:val="both"/>
        <w:textAlignment w:val="auto"/>
        <w:rPr>
          <w:rFonts w:hint="eastAsia" w:ascii="微软雅黑" w:hAnsi="微软雅黑" w:cs="Arial Unicode MS"/>
          <w:kern w:val="2"/>
          <w:sz w:val="21"/>
          <w:szCs w:val="21"/>
          <w:highlight w:val="yellow"/>
        </w:rPr>
      </w:pPr>
      <w:r>
        <w:rPr>
          <w:rFonts w:hint="eastAsia" w:ascii="微软雅黑" w:hAnsi="微软雅黑" w:cs="Arial Unicode MS"/>
          <w:kern w:val="2"/>
          <w:sz w:val="21"/>
          <w:szCs w:val="21"/>
          <w:highlight w:val="none"/>
        </w:rPr>
        <w:t>EPHA2基因编码的蛋白</w:t>
      </w:r>
      <w:r>
        <w:rPr>
          <w:rFonts w:hint="eastAsia" w:ascii="微软雅黑" w:hAnsi="微软雅黑" w:cs="Arial Unicode MS"/>
          <w:kern w:val="2"/>
          <w:sz w:val="21"/>
          <w:szCs w:val="21"/>
          <w:highlight w:val="none"/>
          <w:lang w:val="en-US" w:eastAsia="zh-CN"/>
        </w:rPr>
        <w:t>全长为976个氨基酸，</w:t>
      </w:r>
      <w:r>
        <w:rPr>
          <w:rFonts w:hint="eastAsia" w:ascii="微软雅黑" w:hAnsi="微软雅黑" w:cs="Arial Unicode MS"/>
          <w:kern w:val="2"/>
          <w:sz w:val="21"/>
          <w:szCs w:val="21"/>
          <w:highlight w:val="none"/>
        </w:rPr>
        <w:t>主要包含1个信号肽区域</w:t>
      </w:r>
      <w:r>
        <w:rPr>
          <w:rFonts w:hint="eastAsia" w:ascii="微软雅黑" w:hAnsi="微软雅黑" w:cs="Arial Unicode MS"/>
          <w:kern w:val="2"/>
          <w:sz w:val="21"/>
          <w:szCs w:val="21"/>
          <w:highlight w:val="none"/>
          <w:lang w:eastAsia="zh-CN"/>
        </w:rPr>
        <w:t>（</w:t>
      </w:r>
      <w:r>
        <w:rPr>
          <w:rFonts w:hint="eastAsia" w:ascii="微软雅黑" w:hAnsi="微软雅黑" w:cs="Arial Unicode MS"/>
          <w:kern w:val="2"/>
          <w:sz w:val="21"/>
          <w:szCs w:val="21"/>
          <w:highlight w:val="none"/>
          <w:lang w:val="en-US" w:eastAsia="zh-CN"/>
        </w:rPr>
        <w:t>1-24位氨基酸</w:t>
      </w:r>
      <w:r>
        <w:rPr>
          <w:rFonts w:hint="eastAsia" w:ascii="微软雅黑" w:hAnsi="微软雅黑" w:cs="Arial Unicode MS"/>
          <w:kern w:val="2"/>
          <w:sz w:val="21"/>
          <w:szCs w:val="21"/>
          <w:highlight w:val="none"/>
          <w:lang w:eastAsia="zh-CN"/>
        </w:rPr>
        <w:t>）</w:t>
      </w:r>
      <w:r>
        <w:rPr>
          <w:rFonts w:hint="eastAsia" w:ascii="微软雅黑" w:hAnsi="微软雅黑" w:cs="Arial Unicode MS"/>
          <w:kern w:val="2"/>
          <w:sz w:val="21"/>
          <w:szCs w:val="21"/>
          <w:highlight w:val="none"/>
        </w:rPr>
        <w:t>、1个胞外配体结合结构域</w:t>
      </w:r>
      <w:r>
        <w:rPr>
          <w:rFonts w:hint="eastAsia" w:ascii="微软雅黑" w:hAnsi="微软雅黑" w:cs="Arial Unicode MS"/>
          <w:kern w:val="2"/>
          <w:sz w:val="21"/>
          <w:szCs w:val="21"/>
          <w:highlight w:val="none"/>
          <w:lang w:eastAsia="zh-CN"/>
        </w:rPr>
        <w:t>（</w:t>
      </w:r>
      <w:r>
        <w:rPr>
          <w:rFonts w:hint="eastAsia" w:ascii="微软雅黑" w:hAnsi="微软雅黑" w:cs="Arial Unicode MS"/>
          <w:kern w:val="2"/>
          <w:sz w:val="21"/>
          <w:szCs w:val="21"/>
          <w:highlight w:val="none"/>
          <w:lang w:val="en-US" w:eastAsia="zh-CN"/>
        </w:rPr>
        <w:t>28-201位氨基酸</w:t>
      </w:r>
      <w:r>
        <w:rPr>
          <w:rFonts w:hint="eastAsia" w:ascii="微软雅黑" w:hAnsi="微软雅黑" w:cs="Arial Unicode MS"/>
          <w:kern w:val="2"/>
          <w:sz w:val="21"/>
          <w:szCs w:val="21"/>
          <w:highlight w:val="none"/>
          <w:lang w:eastAsia="zh-CN"/>
        </w:rPr>
        <w:t>）</w:t>
      </w:r>
      <w:r>
        <w:rPr>
          <w:rFonts w:hint="eastAsia" w:ascii="微软雅黑" w:hAnsi="微软雅黑" w:cs="Arial Unicode MS"/>
          <w:kern w:val="2"/>
          <w:sz w:val="21"/>
          <w:szCs w:val="21"/>
          <w:highlight w:val="none"/>
        </w:rPr>
        <w:t>、1个跨膜结构域</w:t>
      </w:r>
      <w:r>
        <w:rPr>
          <w:rFonts w:hint="eastAsia" w:ascii="微软雅黑" w:hAnsi="微软雅黑" w:cs="Arial Unicode MS"/>
          <w:kern w:val="2"/>
          <w:sz w:val="21"/>
          <w:szCs w:val="21"/>
          <w:highlight w:val="none"/>
          <w:lang w:eastAsia="zh-CN"/>
        </w:rPr>
        <w:t>（</w:t>
      </w:r>
      <w:r>
        <w:rPr>
          <w:rFonts w:hint="eastAsia" w:ascii="微软雅黑" w:hAnsi="微软雅黑" w:cs="Arial Unicode MS"/>
          <w:kern w:val="2"/>
          <w:sz w:val="21"/>
          <w:szCs w:val="21"/>
          <w:highlight w:val="none"/>
          <w:lang w:val="en-US" w:eastAsia="zh-CN"/>
        </w:rPr>
        <w:t>536-558位氨基酸</w:t>
      </w:r>
      <w:r>
        <w:rPr>
          <w:rFonts w:hint="eastAsia" w:ascii="微软雅黑" w:hAnsi="微软雅黑" w:cs="Arial Unicode MS"/>
          <w:kern w:val="2"/>
          <w:sz w:val="21"/>
          <w:szCs w:val="21"/>
          <w:highlight w:val="none"/>
          <w:lang w:eastAsia="zh-CN"/>
        </w:rPr>
        <w:t>）</w:t>
      </w:r>
      <w:r>
        <w:rPr>
          <w:rFonts w:hint="eastAsia" w:ascii="微软雅黑" w:hAnsi="微软雅黑" w:cs="Arial Unicode MS"/>
          <w:kern w:val="2"/>
          <w:sz w:val="21"/>
          <w:szCs w:val="21"/>
          <w:highlight w:val="none"/>
        </w:rPr>
        <w:t>、2个FN3结构域</w:t>
      </w:r>
      <w:r>
        <w:rPr>
          <w:rFonts w:hint="eastAsia" w:ascii="微软雅黑" w:hAnsi="微软雅黑" w:cs="Arial Unicode MS"/>
          <w:kern w:val="2"/>
          <w:sz w:val="21"/>
          <w:szCs w:val="21"/>
          <w:highlight w:val="none"/>
          <w:lang w:eastAsia="zh-CN"/>
        </w:rPr>
        <w:t>（</w:t>
      </w:r>
      <w:r>
        <w:rPr>
          <w:rFonts w:hint="eastAsia" w:ascii="微软雅黑" w:hAnsi="微软雅黑" w:cs="Arial Unicode MS"/>
          <w:kern w:val="2"/>
          <w:sz w:val="21"/>
          <w:szCs w:val="21"/>
          <w:highlight w:val="none"/>
          <w:lang w:val="en-US" w:eastAsia="zh-CN"/>
        </w:rPr>
        <w:t>329-419位氨基酸和436-516位氨基酸</w:t>
      </w:r>
      <w:r>
        <w:rPr>
          <w:rFonts w:hint="eastAsia" w:ascii="微软雅黑" w:hAnsi="微软雅黑" w:cs="Arial Unicode MS"/>
          <w:kern w:val="2"/>
          <w:sz w:val="21"/>
          <w:szCs w:val="21"/>
          <w:highlight w:val="none"/>
          <w:lang w:eastAsia="zh-CN"/>
        </w:rPr>
        <w:t>）</w:t>
      </w:r>
      <w:r>
        <w:rPr>
          <w:rFonts w:hint="eastAsia" w:ascii="微软雅黑" w:hAnsi="微软雅黑" w:cs="Arial Unicode MS"/>
          <w:kern w:val="2"/>
          <w:sz w:val="21"/>
          <w:szCs w:val="21"/>
          <w:highlight w:val="none"/>
        </w:rPr>
        <w:t>、1个酪氨酸激酶结构域</w:t>
      </w:r>
      <w:r>
        <w:rPr>
          <w:rFonts w:hint="eastAsia" w:ascii="微软雅黑" w:hAnsi="微软雅黑" w:cs="Arial Unicode MS"/>
          <w:kern w:val="2"/>
          <w:sz w:val="21"/>
          <w:szCs w:val="21"/>
          <w:highlight w:val="none"/>
          <w:lang w:eastAsia="zh-CN"/>
        </w:rPr>
        <w:t>（</w:t>
      </w:r>
      <w:r>
        <w:rPr>
          <w:rFonts w:hint="eastAsia" w:ascii="微软雅黑" w:hAnsi="微软雅黑" w:cs="Arial Unicode MS"/>
          <w:kern w:val="2"/>
          <w:sz w:val="21"/>
          <w:szCs w:val="21"/>
          <w:highlight w:val="none"/>
          <w:lang w:val="en-US" w:eastAsia="zh-CN"/>
        </w:rPr>
        <w:t>613-871位氨基酸</w:t>
      </w:r>
      <w:r>
        <w:rPr>
          <w:rFonts w:hint="eastAsia" w:ascii="微软雅黑" w:hAnsi="微软雅黑" w:cs="Arial Unicode MS"/>
          <w:kern w:val="2"/>
          <w:sz w:val="21"/>
          <w:szCs w:val="21"/>
          <w:highlight w:val="none"/>
          <w:lang w:eastAsia="zh-CN"/>
        </w:rPr>
        <w:t>）</w:t>
      </w:r>
      <w:r>
        <w:rPr>
          <w:rFonts w:hint="eastAsia" w:ascii="微软雅黑" w:hAnsi="微软雅黑" w:cs="Arial Unicode MS"/>
          <w:kern w:val="2"/>
          <w:sz w:val="21"/>
          <w:szCs w:val="21"/>
          <w:highlight w:val="none"/>
        </w:rPr>
        <w:t>以及1个SAM结构域</w:t>
      </w:r>
      <w:r>
        <w:rPr>
          <w:rFonts w:hint="eastAsia" w:ascii="微软雅黑" w:hAnsi="微软雅黑" w:cs="Arial Unicode MS"/>
          <w:kern w:val="2"/>
          <w:sz w:val="21"/>
          <w:szCs w:val="21"/>
          <w:highlight w:val="none"/>
          <w:lang w:eastAsia="zh-CN"/>
        </w:rPr>
        <w:t>（</w:t>
      </w:r>
      <w:r>
        <w:rPr>
          <w:rFonts w:hint="eastAsia" w:ascii="微软雅黑" w:hAnsi="微软雅黑" w:cs="Arial Unicode MS"/>
          <w:kern w:val="2"/>
          <w:sz w:val="21"/>
          <w:szCs w:val="21"/>
          <w:highlight w:val="none"/>
          <w:lang w:val="en-US" w:eastAsia="zh-CN"/>
        </w:rPr>
        <w:t>901-968位氨基酸</w:t>
      </w:r>
      <w:r>
        <w:rPr>
          <w:rFonts w:hint="eastAsia" w:ascii="微软雅黑" w:hAnsi="微软雅黑" w:cs="Arial Unicode MS"/>
          <w:kern w:val="2"/>
          <w:sz w:val="21"/>
          <w:szCs w:val="21"/>
          <w:highlight w:val="none"/>
          <w:lang w:eastAsia="zh-CN"/>
        </w:rPr>
        <w:t>）</w:t>
      </w:r>
      <w:r>
        <w:rPr>
          <w:rFonts w:hint="eastAsia" w:ascii="微软雅黑" w:hAnsi="微软雅黑" w:cs="Arial Unicode MS"/>
          <w:kern w:val="2"/>
          <w:sz w:val="21"/>
          <w:szCs w:val="21"/>
          <w:highlight w:val="none"/>
        </w:rPr>
        <w:t>。该样本检出的</w:t>
      </w:r>
      <w:r>
        <w:rPr>
          <w:rFonts w:hint="eastAsia" w:ascii="微软雅黑" w:hAnsi="微软雅黑" w:cs="微软雅黑"/>
          <w:sz w:val="21"/>
        </w:rPr>
        <w:t>c.153+2T&gt;C突变位于内含子与外显子交界处，可能导致mRNA剪接异常，进而导致蛋白功能缺失</w:t>
      </w:r>
      <w:r>
        <w:rPr>
          <w:rFonts w:hint="eastAsia" w:ascii="微软雅黑" w:hAnsi="微软雅黑" w:cs="微软雅黑"/>
          <w:sz w:val="21"/>
          <w:lang w:eastAsia="zh-CN"/>
        </w:rPr>
        <w:t>。</w:t>
      </w:r>
    </w:p>
    <w:p w14:paraId="3ECEB9BF">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val="0"/>
        <w:snapToGrid w:val="0"/>
        <w:spacing w:before="0" w:after="0" w:line="240" w:lineRule="auto"/>
        <w:ind w:firstLine="400"/>
        <w:jc w:val="both"/>
        <w:textAlignment w:val="auto"/>
        <w:rPr>
          <w:rFonts w:hint="eastAsia" w:ascii="微软雅黑" w:hAnsi="微软雅黑" w:cs="Arial Unicode MS"/>
          <w:kern w:val="2"/>
          <w:sz w:val="21"/>
          <w:szCs w:val="21"/>
          <w:highlight w:val="none"/>
        </w:rPr>
      </w:pPr>
      <w:r>
        <w:rPr>
          <w:rFonts w:hint="eastAsia" w:ascii="微软雅黑" w:hAnsi="微软雅黑" w:cs="Arial Unicode MS"/>
          <w:kern w:val="2"/>
          <w:sz w:val="21"/>
          <w:szCs w:val="21"/>
          <w:highlight w:val="none"/>
        </w:rPr>
        <w:t>人类EPHA2在前列腺癌、肺癌、食管癌、结直肠癌、宫颈癌、卵巢癌、乳腺癌和皮肤癌中大量表达</w:t>
      </w:r>
      <w:r>
        <w:rPr>
          <w:rFonts w:hint="eastAsia" w:ascii="微软雅黑" w:hAnsi="微软雅黑" w:cs="Arial Unicode MS"/>
          <w:kern w:val="2"/>
          <w:sz w:val="21"/>
          <w:szCs w:val="21"/>
          <w:highlight w:val="none"/>
          <w:lang w:val="en-US" w:eastAsia="zh-CN"/>
        </w:rPr>
        <w:t>[28966234]</w:t>
      </w:r>
      <w:r>
        <w:rPr>
          <w:rFonts w:hint="eastAsia" w:ascii="微软雅黑" w:hAnsi="微软雅黑" w:cs="Arial Unicode MS"/>
          <w:kern w:val="2"/>
          <w:sz w:val="21"/>
          <w:szCs w:val="21"/>
          <w:highlight w:val="none"/>
        </w:rPr>
        <w:t>。有研究表明，EphA2的表达与临床分期及淋巴结转移密切相关。EphA2可与VEGF结合作为判断NSCLC恶性程度及预后的指标，及早期诊断指标和治疗的新靶点</w:t>
      </w:r>
      <w:r>
        <w:rPr>
          <w:rFonts w:hint="eastAsia" w:ascii="微软雅黑" w:hAnsi="微软雅黑" w:cs="Arial Unicode MS"/>
          <w:kern w:val="2"/>
          <w:sz w:val="21"/>
          <w:szCs w:val="21"/>
          <w:highlight w:val="none"/>
          <w:lang w:val="en-US" w:eastAsia="zh-CN"/>
        </w:rPr>
        <w:t>[19531623]</w:t>
      </w:r>
      <w:r>
        <w:rPr>
          <w:rFonts w:hint="eastAsia" w:ascii="微软雅黑" w:hAnsi="微软雅黑" w:cs="Arial Unicode MS"/>
          <w:kern w:val="2"/>
          <w:sz w:val="21"/>
          <w:szCs w:val="21"/>
          <w:highlight w:val="none"/>
        </w:rPr>
        <w:t>。</w:t>
      </w:r>
      <w:r>
        <w:rPr>
          <w:rFonts w:hint="eastAsia" w:ascii="微软雅黑" w:hAnsi="微软雅黑" w:cs="微软雅黑"/>
          <w:sz w:val="21"/>
          <w:highlight w:val="none"/>
          <w:lang w:eastAsia="zh-CN"/>
        </w:rPr>
        <w:t>但是，目前该样本检出的突变在</w:t>
      </w:r>
      <w:r>
        <w:rPr>
          <w:rFonts w:hint="eastAsia" w:ascii="微软雅黑" w:hAnsi="微软雅黑" w:cs="微软雅黑"/>
          <w:sz w:val="21"/>
          <w:highlight w:val="none"/>
          <w:lang w:val="en-US" w:eastAsia="zh-CN"/>
        </w:rPr>
        <w:t>结直肠癌</w:t>
      </w:r>
      <w:r>
        <w:rPr>
          <w:rFonts w:hint="eastAsia" w:ascii="微软雅黑" w:hAnsi="微软雅黑" w:cs="微软雅黑"/>
          <w:sz w:val="21"/>
          <w:highlight w:val="none"/>
          <w:lang w:eastAsia="zh-CN"/>
        </w:rPr>
        <w:t>中的具体临床意义</w:t>
      </w:r>
      <w:r>
        <w:rPr>
          <w:rFonts w:hint="eastAsia" w:ascii="微软雅黑" w:hAnsi="微软雅黑" w:cs="微软雅黑"/>
          <w:sz w:val="21"/>
          <w:highlight w:val="none"/>
          <w:lang w:val="en-US" w:eastAsia="zh-CN"/>
        </w:rPr>
        <w:t>有待明确</w:t>
      </w:r>
      <w:r>
        <w:rPr>
          <w:rFonts w:hint="eastAsia" w:ascii="微软雅黑" w:hAnsi="微软雅黑" w:cs="微软雅黑"/>
          <w:sz w:val="21"/>
          <w:highlight w:val="none"/>
          <w:lang w:eastAsia="zh-CN"/>
        </w:rPr>
        <w:t>。</w:t>
      </w:r>
    </w:p>
    <w:p w14:paraId="25D23E08">
      <w:pPr>
        <w:spacing w:before="200"/>
        <w:jc w:val="both"/>
        <w:rPr>
          <w:rFonts w:ascii="微软雅黑" w:hAnsi="微软雅黑" w:cs="微软雅黑"/>
          <w:sz w:val="21"/>
        </w:rPr>
      </w:pPr>
      <w:r>
        <w:rPr>
          <w:rFonts w:ascii="Wingdings" w:hAnsi="Wingdings" w:eastAsia="Wingdings" w:cs="Wingdings"/>
          <w:sz w:val="24"/>
        </w:rPr>
        <w:t>u</w:t>
      </w:r>
      <w:r>
        <w:rPr>
          <w:rFonts w:hint="eastAsia" w:ascii="Wingdings" w:hAnsi="Wingdings" w:eastAsia="宋体" w:cs="Wingdings"/>
          <w:sz w:val="24"/>
        </w:rPr>
        <w:t xml:space="preserve"> </w:t>
      </w:r>
      <w:r>
        <w:rPr>
          <w:rFonts w:hint="eastAsia" w:ascii="微软雅黑" w:hAnsi="微软雅黑" w:cs="微软雅黑"/>
          <w:b/>
          <w:color w:val="0000FF"/>
          <w:sz w:val="24"/>
          <w:u w:val="single"/>
        </w:rPr>
        <w:t>FANCI：c.2879G&gt;A，p.R960Q；2.18%</w:t>
      </w:r>
    </w:p>
    <w:p w14:paraId="07618F6F">
      <w:pPr>
        <w:spacing w:after="0"/>
      </w:pPr>
      <w:r>
        <w:rPr>
          <w:rFonts w:ascii="微软雅黑" w:hAnsi="微软雅黑" w:cs="微软雅黑"/>
          <w:b/>
        </w:rPr>
        <w:t>基因简介：</w:t>
      </w:r>
    </w:p>
    <w:p w14:paraId="21EB1736">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val="0"/>
        <w:snapToGrid w:val="0"/>
        <w:spacing w:before="0" w:beforeLines="0" w:after="0" w:line="240" w:lineRule="auto"/>
        <w:ind w:firstLine="400"/>
        <w:jc w:val="both"/>
        <w:textAlignment w:val="auto"/>
        <w:rPr>
          <w:rFonts w:ascii="微软雅黑" w:hAnsi="微软雅黑" w:eastAsia="微软雅黑" w:cs="微软雅黑"/>
          <w:sz w:val="21"/>
        </w:rPr>
      </w:pPr>
      <w:r>
        <w:rPr>
          <w:rFonts w:hint="eastAsia" w:ascii="微软雅黑" w:hAnsi="微软雅黑" w:eastAsia="微软雅黑" w:cs="微软雅黑"/>
          <w:sz w:val="21"/>
        </w:rPr>
        <w:t>FANCI基因是范可尼贫血互补组（FANC）的成员之一，其他成员还包括FANCA、FANCB、FANCC、FANCD1（也称为BRCA2）、FANCD2、FANCE、FANCF、FANCG、FANCJ（也称为BRIP1）、FANCL、FANCM和FANCN（也称为PALB2）[GeneCards]。FANCI基因编码的蛋白在DNA修复中起作用。目前，已在甲状腺癌、结肠癌和皮肤癌等癌症中观察到FANCI基因的错义突变、同义突变、无义突变、移码插入和移码缺失。</w:t>
      </w:r>
    </w:p>
    <w:p w14:paraId="6F490BB4">
      <w:pPr>
        <w:spacing w:after="0"/>
      </w:pPr>
      <w:r>
        <w:rPr>
          <w:rFonts w:ascii="微软雅黑" w:hAnsi="微软雅黑" w:cs="微软雅黑"/>
          <w:b/>
        </w:rPr>
        <w:t>基因变异说明：</w:t>
      </w:r>
    </w:p>
    <w:p w14:paraId="7B4E2C5E">
      <w:pPr>
        <w:spacing w:after="0"/>
        <w:ind w:firstLine="400"/>
        <w:jc w:val="both"/>
        <w:rPr>
          <w:rFonts w:ascii="微软雅黑" w:hAnsi="微软雅黑" w:cs="微软雅黑"/>
          <w:sz w:val="21"/>
        </w:rPr>
      </w:pPr>
      <w:r>
        <w:rPr>
          <w:rFonts w:hint="eastAsia" w:ascii="微软雅黑" w:hAnsi="微软雅黑" w:cs="微软雅黑"/>
          <w:sz w:val="21"/>
        </w:rPr>
        <w:t>该样本检出FANCI基因c.2879G&gt;A，p.R960Q错义突变，第2879位核苷酸由G突变为A，导致相应蛋白序列中第960位氨基酸由精氨酸突变为谷氨酰胺，此突变在样本中的突变丰度为2.18%。</w:t>
      </w:r>
    </w:p>
    <w:p w14:paraId="272A8761">
      <w:pPr>
        <w:spacing w:after="0"/>
      </w:pPr>
      <w:r>
        <w:rPr>
          <w:rFonts w:ascii="微软雅黑" w:hAnsi="微软雅黑" w:cs="微软雅黑"/>
          <w:b/>
        </w:rPr>
        <w:t xml:space="preserve">基因变异解析： </w:t>
      </w:r>
    </w:p>
    <w:p w14:paraId="6F0D52AD">
      <w:pPr>
        <w:spacing w:after="0"/>
        <w:ind w:firstLine="420" w:firstLineChars="200"/>
        <w:jc w:val="both"/>
        <w:outlineLvl w:val="9"/>
        <w:rPr>
          <w:rFonts w:hint="eastAsia" w:ascii="微软雅黑" w:hAnsi="微软雅黑" w:eastAsia="微软雅黑" w:cs="微软雅黑"/>
          <w:sz w:val="21"/>
          <w:highlight w:val="none"/>
        </w:rPr>
      </w:pPr>
      <w:r>
        <w:rPr>
          <w:rFonts w:hint="eastAsia" w:ascii="微软雅黑" w:hAnsi="微软雅黑" w:eastAsia="微软雅黑" w:cs="微软雅黑"/>
          <w:sz w:val="21"/>
          <w:highlight w:val="none"/>
        </w:rPr>
        <w:t>FANCI基因编码的蛋白全长为1328个氨基酸，主要包含多个低复杂度区域。该样本检出的</w:t>
      </w:r>
      <w:r>
        <w:rPr>
          <w:rFonts w:hint="eastAsia" w:ascii="微软雅黑" w:hAnsi="微软雅黑" w:cs="微软雅黑"/>
          <w:sz w:val="21"/>
        </w:rPr>
        <w:t>p.R960Q</w:t>
      </w:r>
      <w:r>
        <w:rPr>
          <w:rFonts w:hint="eastAsia" w:ascii="微软雅黑" w:hAnsi="微软雅黑" w:eastAsia="微软雅黑" w:cs="微软雅黑"/>
          <w:sz w:val="21"/>
          <w:highlight w:val="none"/>
        </w:rPr>
        <w:t>突变</w:t>
      </w:r>
      <w:r>
        <w:rPr>
          <w:rFonts w:hint="eastAsia" w:ascii="微软雅黑" w:hAnsi="微软雅黑" w:cs="微软雅黑"/>
          <w:sz w:val="21"/>
          <w:highlight w:val="none"/>
          <w:lang w:val="en-US" w:eastAsia="zh-CN"/>
        </w:rPr>
        <w:t>位于上述结构域之外，对蛋白功能的影响未知</w:t>
      </w:r>
      <w:r>
        <w:rPr>
          <w:rFonts w:hint="eastAsia" w:ascii="微软雅黑" w:hAnsi="微软雅黑" w:eastAsia="微软雅黑" w:cs="微软雅黑"/>
          <w:sz w:val="21"/>
          <w:highlight w:val="none"/>
        </w:rPr>
        <w:t>。</w:t>
      </w:r>
    </w:p>
    <w:p w14:paraId="778A9581">
      <w:pPr>
        <w:spacing w:after="0"/>
        <w:ind w:firstLine="400"/>
        <w:jc w:val="both"/>
        <w:rPr>
          <w:rFonts w:hint="eastAsia" w:ascii="微软雅黑" w:hAnsi="微软雅黑" w:cs="微软雅黑"/>
          <w:sz w:val="21"/>
        </w:rPr>
      </w:pPr>
      <w:r>
        <w:rPr>
          <w:rFonts w:hint="eastAsia" w:ascii="微软雅黑" w:hAnsi="微软雅黑" w:eastAsia="微软雅黑" w:cs="微软雅黑"/>
          <w:sz w:val="21"/>
        </w:rPr>
        <w:t>有研究表明，FANCI是FA途径的第二个单泛素化成员，FANCI功能缺失可导致AKT的自发磷酸化和活化[27097374]。另有研究表明，FANCI基因编码的蛋白在DNA修复中起重要作用，FANCI功能缺失可增强肿瘤对PARP抑制剂的敏感性[27022037，Abstract IA25]。研究显示，DNA修复基因包含FANCI</w:t>
      </w:r>
      <w:r>
        <w:rPr>
          <w:rFonts w:hint="eastAsia" w:ascii="微软雅黑" w:hAnsi="微软雅黑" w:cs="微软雅黑"/>
          <w:sz w:val="21"/>
          <w:lang w:eastAsia="zh-CN"/>
        </w:rPr>
        <w:t>，</w:t>
      </w:r>
      <w:r>
        <w:rPr>
          <w:rFonts w:hint="eastAsia" w:ascii="微软雅黑" w:hAnsi="微软雅黑" w:eastAsia="微软雅黑" w:cs="微软雅黑"/>
          <w:sz w:val="21"/>
        </w:rPr>
        <w:t>DNA修复基因突变与免疫治疗临床获益相关[30262796</w:t>
      </w:r>
      <w:r>
        <w:rPr>
          <w:rFonts w:hint="eastAsia" w:ascii="微软雅黑" w:hAnsi="微软雅黑" w:cs="微软雅黑"/>
          <w:sz w:val="21"/>
          <w:lang w:eastAsia="zh-CN"/>
        </w:rPr>
        <w:t>，</w:t>
      </w:r>
      <w:r>
        <w:rPr>
          <w:rFonts w:hint="eastAsia" w:ascii="微软雅黑" w:hAnsi="微软雅黑" w:eastAsia="微软雅黑" w:cs="微软雅黑"/>
          <w:sz w:val="21"/>
        </w:rPr>
        <w:t>31658756]。</w:t>
      </w:r>
      <w:r>
        <w:rPr>
          <w:rFonts w:hint="eastAsia" w:ascii="微软雅黑" w:hAnsi="微软雅黑" w:cs="微软雅黑"/>
          <w:sz w:val="21"/>
        </w:rPr>
        <w:t>但是，目前该样本检出的突变在</w:t>
      </w:r>
      <w:r>
        <w:rPr>
          <w:rFonts w:hint="eastAsia" w:ascii="微软雅黑" w:hAnsi="微软雅黑" w:cs="微软雅黑"/>
          <w:sz w:val="21"/>
          <w:lang w:val="en-US" w:eastAsia="zh-CN"/>
        </w:rPr>
        <w:t>结直肠癌</w:t>
      </w:r>
      <w:r>
        <w:rPr>
          <w:rFonts w:hint="eastAsia" w:ascii="微软雅黑" w:hAnsi="微软雅黑" w:cs="微软雅黑"/>
          <w:sz w:val="21"/>
        </w:rPr>
        <w:t>中的具体临床意义</w:t>
      </w:r>
      <w:r>
        <w:rPr>
          <w:rFonts w:hint="eastAsia" w:ascii="微软雅黑" w:hAnsi="微软雅黑" w:cs="微软雅黑"/>
          <w:sz w:val="21"/>
          <w:lang w:val="en-US" w:eastAsia="zh-CN"/>
        </w:rPr>
        <w:t>未明</w:t>
      </w:r>
      <w:r>
        <w:rPr>
          <w:rFonts w:hint="eastAsia" w:ascii="微软雅黑" w:hAnsi="微软雅黑" w:cs="微软雅黑"/>
          <w:sz w:val="21"/>
        </w:rPr>
        <w:t xml:space="preserve">。  </w:t>
      </w:r>
    </w:p>
    <w:p w14:paraId="549E46BA">
      <w:pPr>
        <w:spacing w:before="200"/>
        <w:jc w:val="both"/>
        <w:rPr>
          <w:rFonts w:hint="eastAsia" w:ascii="微软雅黑" w:hAnsi="微软雅黑" w:cs="微软雅黑"/>
          <w:b/>
          <w:color w:val="FF0000"/>
          <w:sz w:val="24"/>
          <w:u w:val="single"/>
        </w:rPr>
      </w:pPr>
      <w:r>
        <w:rPr>
          <w:rFonts w:ascii="Wingdings" w:hAnsi="Wingdings" w:eastAsia="Wingdings" w:cs="Wingdings"/>
          <w:sz w:val="24"/>
        </w:rPr>
        <w:t>u</w:t>
      </w:r>
      <w:r>
        <w:rPr>
          <w:rFonts w:hint="eastAsia" w:ascii="Wingdings" w:hAnsi="Wingdings" w:eastAsia="宋体" w:cs="Wingdings"/>
          <w:sz w:val="24"/>
        </w:rPr>
        <w:t xml:space="preserve"> </w:t>
      </w:r>
      <w:r>
        <w:rPr>
          <w:rFonts w:hint="eastAsia" w:ascii="微软雅黑" w:hAnsi="微软雅黑" w:eastAsia="宋体" w:cs="微软雅黑"/>
          <w:b/>
          <w:color w:val="FF0000"/>
          <w:sz w:val="24"/>
          <w:u w:val="single"/>
        </w:rPr>
        <w:t>ATM</w:t>
      </w:r>
      <w:r>
        <w:rPr>
          <w:rFonts w:ascii="微软雅黑" w:hAnsi="微软雅黑" w:cs="微软雅黑"/>
          <w:b/>
          <w:color w:val="FF0000"/>
          <w:sz w:val="24"/>
          <w:u w:val="single"/>
        </w:rPr>
        <w:t>：</w:t>
      </w:r>
      <w:r>
        <w:rPr>
          <w:rFonts w:hint="eastAsia" w:ascii="微软雅黑" w:hAnsi="微软雅黑" w:cs="微软雅黑"/>
          <w:b/>
          <w:color w:val="FF0000"/>
          <w:sz w:val="24"/>
          <w:u w:val="single"/>
        </w:rPr>
        <w:t>c.6874C&gt;T，p.Q2292*；0.53%</w:t>
      </w:r>
    </w:p>
    <w:p w14:paraId="2E2EF9CF">
      <w:pPr>
        <w:spacing w:after="0"/>
      </w:pPr>
      <w:r>
        <w:rPr>
          <w:rFonts w:ascii="微软雅黑" w:hAnsi="微软雅黑" w:cs="微软雅黑"/>
          <w:b/>
        </w:rPr>
        <w:t>基因简介：</w:t>
      </w:r>
    </w:p>
    <w:p w14:paraId="7959DFC2">
      <w:pPr>
        <w:spacing w:after="0"/>
        <w:ind w:firstLine="400"/>
        <w:jc w:val="both"/>
        <w:rPr>
          <w:rFonts w:ascii="微软雅黑" w:hAnsi="微软雅黑" w:cs="微软雅黑"/>
          <w:sz w:val="21"/>
        </w:rPr>
      </w:pPr>
      <w:r>
        <w:rPr>
          <w:rFonts w:hint="eastAsia" w:ascii="微软雅黑" w:hAnsi="微软雅黑" w:cs="微软雅黑"/>
          <w:sz w:val="21"/>
        </w:rPr>
        <w:t>ATM 基因编码的蛋白属于PI3/PI4 激酶家族。ATM蛋白是重要的细胞循环检查点激酶，可调控一系列下游蛋白，包括抑癌基因蛋白P53、BRCA1，检测点激酶CHK2、RAD17 和 RAD9，以及DNA修复蛋白NBS1。ATM以及相关的蛋白激酶ATR是细胞循环调控点检测信号的主要蛋白，对于保持基因组的稳定性以及DNA 损伤修复起重要作用。ATM基因在人类恶性肿瘤发展过程中起重要作用。ATM基因是已知的肿瘤抑制基因，ATM基因的突变与共济失调毛细血管扩张（一种常染色体隐性遗传疾病）相关[7792600]。在不吸烟的肺癌患者中，ATM基因的多态性与肺癌的发生和发展密切相关[20004998]。ATM基因突变在肺癌和结直肠癌中频繁发生[25079552，22810696]。</w:t>
      </w:r>
    </w:p>
    <w:p w14:paraId="6887040A">
      <w:pPr>
        <w:spacing w:after="0"/>
      </w:pPr>
      <w:r>
        <w:rPr>
          <w:rFonts w:ascii="微软雅黑" w:hAnsi="微软雅黑" w:cs="微软雅黑"/>
          <w:b/>
        </w:rPr>
        <w:t>基因变异说明：</w:t>
      </w:r>
    </w:p>
    <w:p w14:paraId="094B12BA">
      <w:pPr>
        <w:spacing w:after="0"/>
        <w:ind w:firstLine="400"/>
        <w:jc w:val="both"/>
        <w:rPr>
          <w:rFonts w:ascii="微软雅黑" w:hAnsi="微软雅黑" w:cs="微软雅黑"/>
          <w:sz w:val="21"/>
        </w:rPr>
      </w:pPr>
      <w:r>
        <w:rPr>
          <w:rFonts w:hint="eastAsia" w:ascii="微软雅黑" w:hAnsi="微软雅黑" w:cs="微软雅黑"/>
          <w:sz w:val="21"/>
        </w:rPr>
        <w:t>该样本检出ATM基因c.6874C&gt;T，p.Q2292*无义突变，第6874位核苷酸由C突变为T，导致相应蛋白序列中第2292位氨基酸由谷氨酰胺突变为终止密码子，此突变在样本中的突变丰度为0.53%。</w:t>
      </w:r>
    </w:p>
    <w:p w14:paraId="5C8E6402">
      <w:pPr>
        <w:spacing w:after="0"/>
      </w:pPr>
      <w:r>
        <w:rPr>
          <w:rFonts w:ascii="微软雅黑" w:hAnsi="微软雅黑" w:cs="微软雅黑"/>
          <w:b/>
        </w:rPr>
        <w:t xml:space="preserve">基因变异解析： </w:t>
      </w:r>
    </w:p>
    <w:p w14:paraId="1A8E21F5">
      <w:pPr>
        <w:spacing w:after="0"/>
        <w:ind w:firstLine="400"/>
        <w:jc w:val="both"/>
        <w:rPr>
          <w:rFonts w:hint="eastAsia" w:ascii="微软雅黑" w:hAnsi="微软雅黑" w:cs="微软雅黑"/>
          <w:sz w:val="21"/>
        </w:rPr>
      </w:pPr>
      <w:r>
        <w:rPr>
          <w:rFonts w:hint="eastAsia" w:ascii="微软雅黑" w:hAnsi="微软雅黑" w:cs="微软雅黑"/>
          <w:sz w:val="21"/>
        </w:rPr>
        <w:t>ATM基因编码的蛋白全长为3056个氨基酸，主要包含TAN结构域（5-166位氨基酸）以及FAT结构域（2096-2489位氨基酸）。该样本检出的p.Q2292*突变导致蛋白翻译提前终止，产生截短的蛋白，可能导致蛋白功能缺失。</w:t>
      </w:r>
    </w:p>
    <w:p w14:paraId="46713F95">
      <w:pPr>
        <w:spacing w:after="0"/>
        <w:ind w:firstLine="400"/>
        <w:jc w:val="both"/>
        <w:rPr>
          <w:rFonts w:ascii="Wingdings" w:hAnsi="Wingdings" w:eastAsia="Wingdings" w:cs="Wingdings"/>
          <w:sz w:val="24"/>
        </w:rPr>
      </w:pPr>
      <w:r>
        <w:rPr>
          <w:rFonts w:hint="eastAsia" w:ascii="微软雅黑" w:hAnsi="微软雅黑" w:cs="微软雅黑"/>
          <w:sz w:val="21"/>
        </w:rPr>
        <w:t>ATM缺陷细胞会导致DNA损伤的积累及基因组的不稳定进而引起肿瘤发生。因此，该样本检出的突变可能与疾病的发生发展相关。</w:t>
      </w:r>
    </w:p>
    <w:p w14:paraId="482D37E4">
      <w:pPr>
        <w:spacing w:after="0"/>
        <w:rPr>
          <w:rFonts w:ascii="微软雅黑" w:hAnsi="微软雅黑" w:cs="微软雅黑"/>
          <w:b/>
        </w:rPr>
      </w:pPr>
    </w:p>
    <w:p w14:paraId="7DEF321F">
      <w:pPr>
        <w:numPr>
          <w:ilvl w:val="0"/>
          <w:numId w:val="9"/>
        </w:numPr>
        <w:spacing w:after="0"/>
        <w:jc w:val="both"/>
        <w:outlineLvl w:val="0"/>
        <w:rPr>
          <w:rFonts w:ascii="微软雅黑" w:hAnsi="微软雅黑"/>
          <w:b/>
          <w:sz w:val="24"/>
          <w:szCs w:val="24"/>
        </w:rPr>
      </w:pPr>
      <w:bookmarkStart w:id="178" w:name="_Toc16898"/>
      <w:r>
        <w:rPr>
          <w:rFonts w:hint="eastAsia" w:ascii="微软雅黑" w:hAnsi="微软雅黑"/>
          <w:b/>
          <w:sz w:val="24"/>
          <w:szCs w:val="24"/>
        </w:rPr>
        <w:t>靶向</w:t>
      </w:r>
      <w:r>
        <w:rPr>
          <w:rFonts w:ascii="微软雅黑" w:hAnsi="微软雅黑"/>
          <w:b/>
          <w:sz w:val="24"/>
          <w:szCs w:val="24"/>
        </w:rPr>
        <w:t>药物</w:t>
      </w:r>
      <w:r>
        <w:rPr>
          <w:rFonts w:hint="eastAsia" w:ascii="微软雅黑" w:hAnsi="微软雅黑"/>
          <w:b/>
          <w:sz w:val="24"/>
          <w:szCs w:val="24"/>
        </w:rPr>
        <w:t>/免疫用药</w:t>
      </w:r>
      <w:r>
        <w:rPr>
          <w:rFonts w:ascii="微软雅黑" w:hAnsi="微软雅黑"/>
          <w:b/>
          <w:sz w:val="24"/>
          <w:szCs w:val="24"/>
        </w:rPr>
        <w:t>提示解析</w:t>
      </w:r>
      <w:bookmarkEnd w:id="178"/>
    </w:p>
    <w:p w14:paraId="0398D7AE">
      <w:pPr>
        <w:numPr>
          <w:ilvl w:val="1"/>
          <w:numId w:val="9"/>
        </w:numPr>
        <w:spacing w:before="200"/>
        <w:rPr>
          <w:rFonts w:ascii="微软雅黑" w:hAnsi="微软雅黑"/>
          <w:b/>
          <w:sz w:val="24"/>
          <w:szCs w:val="24"/>
        </w:rPr>
      </w:pPr>
      <w:bookmarkStart w:id="179" w:name="_Toc19439"/>
      <w:r>
        <w:rPr>
          <w:rFonts w:ascii="微软雅黑" w:hAnsi="微软雅黑"/>
          <w:b/>
          <w:sz w:val="24"/>
          <w:szCs w:val="24"/>
        </w:rPr>
        <w:t>潜在获益靶向</w:t>
      </w:r>
      <w:r>
        <w:rPr>
          <w:rFonts w:hint="eastAsia" w:ascii="微软雅黑" w:hAnsi="微软雅黑"/>
          <w:b/>
          <w:sz w:val="24"/>
          <w:szCs w:val="24"/>
        </w:rPr>
        <w:t>/免疫</w:t>
      </w:r>
      <w:r>
        <w:rPr>
          <w:rFonts w:ascii="微软雅黑" w:hAnsi="微软雅黑"/>
          <w:b/>
          <w:sz w:val="24"/>
          <w:szCs w:val="24"/>
        </w:rPr>
        <w:t>药物解析</w:t>
      </w:r>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9"/>
    </w:p>
    <w:p w14:paraId="664E8FAE">
      <w:pPr>
        <w:numPr>
          <w:ilvl w:val="0"/>
          <w:numId w:val="11"/>
        </w:numPr>
        <w:spacing w:before="200"/>
        <w:ind w:left="420" w:hanging="420"/>
        <w:jc w:val="both"/>
        <w:rPr>
          <w:rFonts w:ascii="微软雅黑" w:hAnsi="微软雅黑" w:cs="微软雅黑"/>
          <w:color w:val="FF0000"/>
          <w:kern w:val="1"/>
          <w:sz w:val="21"/>
          <w:szCs w:val="21"/>
        </w:rPr>
      </w:pPr>
      <w:r>
        <w:rPr>
          <w:rStyle w:val="21"/>
          <w:rFonts w:hint="eastAsia" w:ascii="微软雅黑" w:hAnsi="微软雅黑" w:cs="微软雅黑"/>
          <w:b/>
          <w:bCs/>
          <w:color w:val="FF0000"/>
          <w:sz w:val="24"/>
          <w:szCs w:val="24"/>
          <w:u w:val="none"/>
        </w:rPr>
        <w:t>TP53：</w:t>
      </w:r>
      <w:r>
        <w:rPr>
          <w:rFonts w:hint="eastAsia" w:ascii="微软雅黑" w:hAnsi="微软雅黑" w:cs="微软雅黑"/>
          <w:b/>
          <w:color w:val="FF0000"/>
          <w:sz w:val="24"/>
          <w:u w:val="none"/>
        </w:rPr>
        <w:t>c.844C&gt;T，p.R282W</w:t>
      </w:r>
      <w:r>
        <w:rPr>
          <w:rStyle w:val="21"/>
          <w:rFonts w:hint="eastAsia" w:ascii="微软雅黑" w:hAnsi="微软雅黑" w:cs="微软雅黑"/>
          <w:b/>
          <w:bCs/>
          <w:color w:val="FF0000"/>
          <w:sz w:val="24"/>
          <w:szCs w:val="24"/>
          <w:u w:val="none"/>
        </w:rPr>
        <w:t>突变相应靶向药物</w:t>
      </w:r>
    </w:p>
    <w:p w14:paraId="6B0CD9D9">
      <w:pPr>
        <w:numPr>
          <w:ilvl w:val="0"/>
          <w:numId w:val="12"/>
        </w:numPr>
        <w:spacing w:before="200"/>
        <w:ind w:left="420" w:hanging="420"/>
        <w:rPr>
          <w:rFonts w:ascii="微软雅黑" w:hAnsi="微软雅黑" w:cs="微软雅黑"/>
          <w:b/>
          <w:bCs/>
          <w:color w:val="0000FF"/>
          <w:sz w:val="24"/>
          <w:szCs w:val="24"/>
        </w:rPr>
      </w:pPr>
      <w:r>
        <w:fldChar w:fldCharType="begin"/>
      </w:r>
      <w:r>
        <w:instrText xml:space="preserve"> HYPERLINK \l "基因变异检测结果及相关靶向药物信息" </w:instrText>
      </w:r>
      <w:r>
        <w:fldChar w:fldCharType="separate"/>
      </w:r>
      <w:r>
        <w:rPr>
          <w:rStyle w:val="23"/>
          <w:rFonts w:hint="eastAsia" w:ascii="微软雅黑" w:hAnsi="微软雅黑" w:cs="微软雅黑"/>
          <w:b/>
          <w:bCs/>
          <w:color w:val="0000FF"/>
          <w:sz w:val="24"/>
          <w:szCs w:val="24"/>
        </w:rPr>
        <w:t>AZD1775</w:t>
      </w:r>
      <w:r>
        <w:rPr>
          <w:rStyle w:val="23"/>
          <w:rFonts w:hint="eastAsia" w:ascii="微软雅黑" w:hAnsi="微软雅黑" w:cs="微软雅黑"/>
          <w:b/>
          <w:bCs/>
          <w:color w:val="0000FF"/>
          <w:sz w:val="24"/>
          <w:szCs w:val="24"/>
        </w:rPr>
        <w:fldChar w:fldCharType="end"/>
      </w:r>
      <w:r>
        <w:rPr>
          <w:rFonts w:hint="eastAsia" w:ascii="微软雅黑" w:hAnsi="微软雅黑" w:cs="微软雅黑"/>
          <w:b/>
          <w:bCs/>
          <w:color w:val="0000FF"/>
          <w:sz w:val="24"/>
          <w:szCs w:val="24"/>
          <w:u w:val="single"/>
        </w:rPr>
        <w:t>、</w:t>
      </w:r>
      <w:r>
        <w:fldChar w:fldCharType="begin"/>
      </w:r>
      <w:r>
        <w:instrText xml:space="preserve"> HYPERLINK \l "基因变异检测结果及相关靶向药物信息" </w:instrText>
      </w:r>
      <w:r>
        <w:fldChar w:fldCharType="separate"/>
      </w:r>
      <w:r>
        <w:rPr>
          <w:rStyle w:val="23"/>
          <w:rFonts w:hint="eastAsia" w:ascii="微软雅黑" w:hAnsi="微软雅黑" w:cs="微软雅黑"/>
          <w:b/>
          <w:bCs/>
          <w:color w:val="0000FF"/>
          <w:sz w:val="24"/>
          <w:szCs w:val="24"/>
        </w:rPr>
        <w:t>AZD1775</w:t>
      </w:r>
      <w:r>
        <w:rPr>
          <w:rStyle w:val="23"/>
          <w:rFonts w:hint="eastAsia" w:ascii="微软雅黑" w:hAnsi="微软雅黑" w:cs="微软雅黑"/>
          <w:b/>
          <w:bCs/>
          <w:color w:val="0000FF"/>
          <w:sz w:val="24"/>
          <w:szCs w:val="24"/>
        </w:rPr>
        <w:fldChar w:fldCharType="end"/>
      </w:r>
      <w:r>
        <w:rPr>
          <w:rFonts w:hint="eastAsia" w:ascii="微软雅黑" w:hAnsi="微软雅黑" w:cs="微软雅黑"/>
          <w:b/>
          <w:bCs/>
          <w:color w:val="0000FF"/>
          <w:sz w:val="24"/>
          <w:szCs w:val="24"/>
          <w:u w:val="single"/>
        </w:rPr>
        <w:t>+奥拉帕利（Olaparib）</w:t>
      </w:r>
    </w:p>
    <w:p w14:paraId="6796071C">
      <w:pPr>
        <w:spacing w:after="0"/>
        <w:jc w:val="both"/>
        <w:rPr>
          <w:rFonts w:ascii="微软雅黑" w:hAnsi="微软雅黑" w:cs="Arial Unicode MS"/>
          <w:kern w:val="2"/>
          <w:sz w:val="21"/>
          <w:szCs w:val="21"/>
        </w:rPr>
      </w:pPr>
      <w:r>
        <w:rPr>
          <w:rFonts w:hint="eastAsia"/>
          <w:b/>
          <w:bCs/>
          <w:kern w:val="2"/>
        </w:rPr>
        <w:t>基因变异与药物关联分析：</w:t>
      </w:r>
    </w:p>
    <w:p w14:paraId="559722A6">
      <w:pPr>
        <w:spacing w:after="0"/>
        <w:ind w:firstLine="420" w:firstLineChars="200"/>
        <w:jc w:val="both"/>
        <w:rPr>
          <w:rFonts w:hint="eastAsia"/>
          <w:b/>
          <w:bCs/>
          <w:kern w:val="2"/>
        </w:rPr>
      </w:pPr>
      <w:r>
        <w:rPr>
          <w:rFonts w:hint="eastAsia" w:ascii="微软雅黑" w:hAnsi="微软雅黑" w:cs="Arial Unicode MS"/>
          <w:kern w:val="2"/>
          <w:sz w:val="21"/>
          <w:szCs w:val="21"/>
        </w:rPr>
        <w:t>该样本检出TP53基因c.844C&gt;T，p.R282W</w:t>
      </w:r>
      <w:r>
        <w:rPr>
          <w:rFonts w:hint="eastAsia" w:ascii="微软雅黑" w:hAnsi="微软雅黑" w:cs="Arial Unicode MS"/>
          <w:kern w:val="2"/>
          <w:sz w:val="21"/>
          <w:szCs w:val="21"/>
          <w:lang w:val="en-US" w:eastAsia="zh-CN"/>
        </w:rPr>
        <w:t>错义</w:t>
      </w:r>
      <w:r>
        <w:rPr>
          <w:rFonts w:hint="eastAsia" w:ascii="微软雅黑" w:hAnsi="微软雅黑" w:cs="微软雅黑"/>
          <w:sz w:val="21"/>
        </w:rPr>
        <w:t>突变</w:t>
      </w:r>
      <w:r>
        <w:rPr>
          <w:rFonts w:hint="eastAsia" w:ascii="微软雅黑" w:hAnsi="微软雅黑" w:cs="Arial Unicode MS"/>
          <w:kern w:val="2"/>
          <w:sz w:val="21"/>
          <w:szCs w:val="21"/>
          <w:lang w:eastAsia="zh-CN"/>
        </w:rPr>
        <w:t>，</w:t>
      </w:r>
      <w:r>
        <w:rPr>
          <w:rFonts w:hint="eastAsia" w:ascii="微软雅黑" w:hAnsi="微软雅黑" w:cs="微软雅黑"/>
          <w:sz w:val="21"/>
        </w:rPr>
        <w:t>研究表明，该突变抑制 AMPK 信号传导，导致细胞侵袭性生长，促进小鼠模型中的肿瘤发展[24857548]。</w:t>
      </w:r>
      <w:r>
        <w:rPr>
          <w:rFonts w:hint="eastAsia" w:ascii="微软雅黑" w:hAnsi="微软雅黑" w:cs="Arial Unicode MS"/>
          <w:kern w:val="2"/>
          <w:sz w:val="21"/>
          <w:szCs w:val="21"/>
          <w:lang w:eastAsia="zh-CN"/>
        </w:rPr>
        <w:t>AZD1775是一种WEE1激酶抑制剂，可以控制细胞分裂周期的G2检验点，TP53缺失的肿</w:t>
      </w:r>
      <w:r>
        <w:rPr>
          <w:rFonts w:hint="eastAsia" w:ascii="微软雅黑" w:hAnsi="微软雅黑" w:cs="Arial Unicode MS"/>
          <w:kern w:val="2"/>
          <w:sz w:val="21"/>
          <w:szCs w:val="21"/>
        </w:rPr>
        <w:t>瘤细胞对其敏感[28978051]。目前该药正处于临床期。FDA批准</w:t>
      </w:r>
      <w:r>
        <w:rPr>
          <w:rFonts w:hint="eastAsia" w:ascii="微软雅黑" w:hAnsi="微软雅黑" w:cs="Arial Unicode MS"/>
          <w:kern w:val="2"/>
          <w:sz w:val="21"/>
          <w:szCs w:val="21"/>
          <w:lang w:eastAsia="zh-CN"/>
        </w:rPr>
        <w:t>奥拉帕利</w:t>
      </w:r>
      <w:r>
        <w:rPr>
          <w:rFonts w:hint="eastAsia" w:ascii="微软雅黑" w:hAnsi="微软雅黑" w:cs="Arial Unicode MS"/>
          <w:kern w:val="2"/>
          <w:sz w:val="21"/>
          <w:szCs w:val="21"/>
        </w:rPr>
        <w:t>用于上皮性卵巢癌、输卵管癌</w:t>
      </w:r>
      <w:r>
        <w:rPr>
          <w:rFonts w:hint="eastAsia" w:ascii="微软雅黑" w:hAnsi="微软雅黑" w:cs="Arial Unicode MS"/>
          <w:kern w:val="2"/>
          <w:sz w:val="21"/>
          <w:szCs w:val="21"/>
          <w:lang w:eastAsia="zh-CN"/>
        </w:rPr>
        <w:t>、</w:t>
      </w:r>
      <w:r>
        <w:rPr>
          <w:rFonts w:hint="eastAsia" w:ascii="微软雅黑" w:hAnsi="微软雅黑" w:cs="Arial Unicode MS"/>
          <w:kern w:val="2"/>
          <w:sz w:val="21"/>
          <w:szCs w:val="21"/>
        </w:rPr>
        <w:t>原发性腹膜癌患者</w:t>
      </w:r>
      <w:r>
        <w:rPr>
          <w:rFonts w:hint="eastAsia" w:ascii="微软雅黑" w:hAnsi="微软雅黑" w:cs="Arial Unicode MS"/>
          <w:kern w:val="2"/>
          <w:sz w:val="21"/>
          <w:szCs w:val="21"/>
          <w:lang w:eastAsia="zh-CN"/>
        </w:rPr>
        <w:t>、</w:t>
      </w:r>
      <w:r>
        <w:rPr>
          <w:rFonts w:hint="eastAsia" w:ascii="微软雅黑" w:hAnsi="微软雅黑" w:cs="Arial Unicode MS"/>
          <w:kern w:val="2"/>
          <w:sz w:val="21"/>
          <w:szCs w:val="21"/>
          <w:lang w:val="en-US" w:eastAsia="zh-CN"/>
        </w:rPr>
        <w:t>胰腺癌、</w:t>
      </w:r>
      <w:r>
        <w:rPr>
          <w:rFonts w:hint="eastAsia" w:ascii="微软雅黑" w:hAnsi="微软雅黑" w:cs="微软雅黑"/>
          <w:b w:val="0"/>
          <w:bCs w:val="0"/>
          <w:kern w:val="2"/>
          <w:sz w:val="21"/>
          <w:szCs w:val="24"/>
          <w:vertAlign w:val="baseline"/>
          <w:lang w:val="en-US" w:eastAsia="zh-CN"/>
        </w:rPr>
        <w:t>乳腺癌，以及前列腺癌；NMPA批准奥拉帕利用于卵巢癌以及前列腺癌。</w:t>
      </w:r>
    </w:p>
    <w:p w14:paraId="3EA22DF3">
      <w:pPr>
        <w:spacing w:after="0"/>
        <w:jc w:val="both"/>
        <w:rPr>
          <w:b/>
          <w:bCs/>
          <w:kern w:val="2"/>
        </w:rPr>
      </w:pPr>
      <w:r>
        <w:rPr>
          <w:rFonts w:hint="eastAsia"/>
          <w:b/>
          <w:bCs/>
          <w:kern w:val="2"/>
        </w:rPr>
        <w:t>药物疗效临床解析：</w:t>
      </w:r>
    </w:p>
    <w:p w14:paraId="3EEE2F85">
      <w:pPr>
        <w:ind w:firstLine="420" w:firstLineChars="200"/>
        <w:jc w:val="both"/>
        <w:rPr>
          <w:rFonts w:hint="eastAsia" w:ascii="微软雅黑" w:hAnsi="微软雅黑" w:cs="Arial Unicode MS"/>
          <w:kern w:val="2"/>
          <w:sz w:val="21"/>
          <w:szCs w:val="21"/>
        </w:rPr>
      </w:pPr>
      <w:r>
        <w:rPr>
          <w:rFonts w:hint="eastAsia" w:ascii="微软雅黑" w:hAnsi="微软雅黑" w:cs="Arial Unicode MS"/>
          <w:kern w:val="2"/>
          <w:sz w:val="21"/>
          <w:szCs w:val="21"/>
        </w:rPr>
        <w:t>一项临床I期研究评估了AZD1775单药治疗或联合化药治疗难治性实体瘤的安全性、耐受性、药代动力学、药效动力学。该研究分成两部分，第一部分：患者接受单次剂量AZD1775的治疗，随后观察14天；第二部分：患者接受AZD1775联合吉西他滨或顺铂或卡铂的治疗，观察患者的疾病稳定和缓解情况。该研究共招募了202名患者，第一部分包含9名患者，患者接受单次剂量AZD1775的治疗后，耐受良好，未达到最大耐受剂量。接受AZD1775联合化药治疗的患者，常见的不良反应事件包括：疲劳、恶心呕吐、腹泻和血液毒性。最终有176名患者接受了评估，94名（53%）患者疾病稳定，17名（10%）患者得到部分缓解。携带TP53突变的患者组反应率高于TP53野生型的患者组（21% vs. 12%）。该研究表明，AZD1775单药或联合化药在治疗实体瘤中的耐受良好，有潜在的抗肿瘤活性[27601554]。一项由New York University School of Medicine举办的AZD1775联合伊立替康治疗RAS突变或BRAF突变一线治疗失败的转移性结直肠癌的临床I期研究</w:t>
      </w:r>
      <w:r>
        <w:rPr>
          <w:rFonts w:hint="eastAsia" w:ascii="微软雅黑" w:hAnsi="微软雅黑" w:cs="Arial Unicode MS"/>
          <w:kern w:val="2"/>
          <w:sz w:val="21"/>
          <w:szCs w:val="21"/>
          <w:lang w:val="en-US" w:eastAsia="zh-CN"/>
        </w:rPr>
        <w:t>已完成，但数据尚未公布</w:t>
      </w:r>
      <w:r>
        <w:rPr>
          <w:rFonts w:hint="eastAsia" w:ascii="微软雅黑" w:hAnsi="微软雅黑" w:cs="Arial Unicode MS"/>
          <w:kern w:val="2"/>
          <w:sz w:val="21"/>
          <w:szCs w:val="21"/>
        </w:rPr>
        <w:t>[NCT02906059]。AZD1775联合奥拉帕利用于治疗携带KRAS突变或TP53突变的实体瘤患者或者同时携带KRAS突变和TP53突变的实体瘤患者的临床试验正在</w:t>
      </w:r>
      <w:r>
        <w:rPr>
          <w:rFonts w:hint="eastAsia" w:ascii="微软雅黑" w:hAnsi="微软雅黑" w:cs="Arial Unicode MS"/>
          <w:kern w:val="2"/>
          <w:sz w:val="21"/>
          <w:szCs w:val="21"/>
          <w:lang w:val="en-US" w:eastAsia="zh-CN"/>
        </w:rPr>
        <w:t>开展，不招募患者</w:t>
      </w:r>
      <w:r>
        <w:rPr>
          <w:rFonts w:hint="eastAsia" w:ascii="微软雅黑" w:hAnsi="微软雅黑" w:cs="Arial Unicode MS"/>
          <w:kern w:val="2"/>
          <w:sz w:val="21"/>
          <w:szCs w:val="21"/>
        </w:rPr>
        <w:t>[NCT02576444]。</w:t>
      </w:r>
    </w:p>
    <w:p w14:paraId="2B3009E2">
      <w:pPr>
        <w:numPr>
          <w:ilvl w:val="0"/>
          <w:numId w:val="13"/>
        </w:numPr>
        <w:spacing w:before="200"/>
        <w:ind w:left="420" w:hanging="420"/>
        <w:rPr>
          <w:rFonts w:ascii="微软雅黑" w:hAnsi="微软雅黑" w:cs="微软雅黑"/>
          <w:b/>
          <w:bCs/>
          <w:sz w:val="24"/>
          <w:szCs w:val="24"/>
        </w:rPr>
      </w:pPr>
      <w:r>
        <w:fldChar w:fldCharType="begin"/>
      </w:r>
      <w:r>
        <w:instrText xml:space="preserve"> HYPERLINK \l "重要基因变异及潜在靶向药物信息" </w:instrText>
      </w:r>
      <w:r>
        <w:fldChar w:fldCharType="separate"/>
      </w:r>
      <w:r>
        <w:rPr>
          <w:rStyle w:val="23"/>
          <w:rFonts w:hint="eastAsia" w:ascii="微软雅黑" w:hAnsi="微软雅黑" w:cs="微软雅黑"/>
          <w:b/>
          <w:bCs/>
          <w:color w:val="0000FF"/>
          <w:sz w:val="24"/>
          <w:szCs w:val="24"/>
        </w:rPr>
        <w:t>Alisertib</w:t>
      </w:r>
      <w:r>
        <w:rPr>
          <w:rStyle w:val="23"/>
          <w:rFonts w:hint="eastAsia" w:ascii="微软雅黑" w:hAnsi="微软雅黑" w:cs="微软雅黑"/>
          <w:b/>
          <w:bCs/>
          <w:color w:val="0000FF"/>
          <w:sz w:val="24"/>
          <w:szCs w:val="24"/>
        </w:rPr>
        <w:fldChar w:fldCharType="end"/>
      </w:r>
      <w:r>
        <w:rPr>
          <w:rStyle w:val="21"/>
          <w:rFonts w:hint="eastAsia" w:ascii="微软雅黑" w:hAnsi="微软雅黑" w:cs="微软雅黑"/>
          <w:b/>
          <w:bCs/>
          <w:color w:val="0000FF"/>
          <w:sz w:val="24"/>
          <w:szCs w:val="24"/>
        </w:rPr>
        <w:t>、</w:t>
      </w:r>
      <w:r>
        <w:fldChar w:fldCharType="begin"/>
      </w:r>
      <w:r>
        <w:instrText xml:space="preserve"> HYPERLINK \l "重要基因变异及潜在靶向药物信息" </w:instrText>
      </w:r>
      <w:r>
        <w:fldChar w:fldCharType="separate"/>
      </w:r>
      <w:r>
        <w:rPr>
          <w:rStyle w:val="23"/>
          <w:rFonts w:hint="eastAsia" w:ascii="微软雅黑" w:hAnsi="微软雅黑" w:cs="微软雅黑"/>
          <w:b/>
          <w:bCs/>
          <w:color w:val="0000FF"/>
          <w:sz w:val="24"/>
          <w:szCs w:val="24"/>
        </w:rPr>
        <w:t>Alisertib</w:t>
      </w:r>
      <w:r>
        <w:rPr>
          <w:rStyle w:val="23"/>
          <w:rFonts w:hint="eastAsia" w:ascii="微软雅黑" w:hAnsi="微软雅黑" w:cs="微软雅黑"/>
          <w:b/>
          <w:bCs/>
          <w:color w:val="0000FF"/>
          <w:sz w:val="24"/>
          <w:szCs w:val="24"/>
        </w:rPr>
        <w:fldChar w:fldCharType="end"/>
      </w:r>
      <w:r>
        <w:rPr>
          <w:rStyle w:val="21"/>
          <w:rFonts w:hint="eastAsia" w:ascii="微软雅黑" w:hAnsi="微软雅黑" w:cs="微软雅黑"/>
          <w:b/>
          <w:bCs/>
          <w:color w:val="0000FF"/>
          <w:sz w:val="24"/>
          <w:szCs w:val="24"/>
        </w:rPr>
        <w:t>+AZD1775</w:t>
      </w:r>
    </w:p>
    <w:p w14:paraId="58D35E07">
      <w:pPr>
        <w:spacing w:after="0"/>
        <w:jc w:val="both"/>
        <w:rPr>
          <w:rFonts w:ascii="微软雅黑" w:hAnsi="微软雅黑" w:cs="Arial Unicode MS"/>
          <w:kern w:val="2"/>
          <w:sz w:val="21"/>
          <w:szCs w:val="21"/>
        </w:rPr>
      </w:pPr>
      <w:r>
        <w:rPr>
          <w:rFonts w:hint="eastAsia"/>
          <w:b/>
          <w:bCs/>
          <w:kern w:val="2"/>
        </w:rPr>
        <w:t>基因变异与药物关联分析：</w:t>
      </w:r>
    </w:p>
    <w:p w14:paraId="6CF240B6">
      <w:pPr>
        <w:spacing w:after="0"/>
        <w:ind w:firstLine="420" w:firstLineChars="200"/>
        <w:jc w:val="both"/>
        <w:rPr>
          <w:rFonts w:ascii="微软雅黑" w:hAnsi="微软雅黑" w:cs="Arial Unicode MS"/>
          <w:kern w:val="2"/>
          <w:sz w:val="21"/>
          <w:szCs w:val="21"/>
        </w:rPr>
      </w:pPr>
      <w:r>
        <w:rPr>
          <w:rFonts w:hint="eastAsia" w:ascii="微软雅黑" w:hAnsi="微软雅黑" w:cs="Arial Unicode MS"/>
          <w:kern w:val="2"/>
          <w:sz w:val="21"/>
          <w:szCs w:val="21"/>
        </w:rPr>
        <w:t>该样本检出TP53基因c.844C&gt;T，p.R282W</w:t>
      </w:r>
      <w:r>
        <w:rPr>
          <w:rFonts w:hint="eastAsia" w:ascii="微软雅黑" w:hAnsi="微软雅黑" w:cs="Arial Unicode MS"/>
          <w:kern w:val="2"/>
          <w:sz w:val="21"/>
          <w:szCs w:val="21"/>
          <w:lang w:val="en-US" w:eastAsia="zh-CN"/>
        </w:rPr>
        <w:t>错义</w:t>
      </w:r>
      <w:r>
        <w:rPr>
          <w:rFonts w:hint="eastAsia" w:ascii="微软雅黑" w:hAnsi="微软雅黑" w:cs="微软雅黑"/>
          <w:sz w:val="21"/>
        </w:rPr>
        <w:t>突变</w:t>
      </w:r>
      <w:r>
        <w:rPr>
          <w:rFonts w:hint="eastAsia" w:ascii="微软雅黑" w:hAnsi="微软雅黑" w:cs="Arial Unicode MS"/>
          <w:kern w:val="2"/>
          <w:sz w:val="21"/>
          <w:szCs w:val="21"/>
          <w:lang w:eastAsia="zh-CN"/>
        </w:rPr>
        <w:t>，</w:t>
      </w:r>
      <w:r>
        <w:rPr>
          <w:rFonts w:hint="eastAsia" w:ascii="微软雅黑" w:hAnsi="微软雅黑" w:cs="微软雅黑"/>
          <w:sz w:val="21"/>
        </w:rPr>
        <w:t>研究表明，该突变抑制 AMPK 信号传导，导致细胞侵袭性生长，促进小鼠模型中的肿瘤发展[24857548]。</w:t>
      </w:r>
      <w:r>
        <w:rPr>
          <w:rFonts w:hint="eastAsia" w:ascii="微软雅黑" w:hAnsi="微软雅黑" w:cs="Arial Unicode MS"/>
          <w:kern w:val="2"/>
          <w:sz w:val="21"/>
          <w:szCs w:val="21"/>
          <w:highlight w:val="none"/>
        </w:rPr>
        <w:t>Alisertib是一种ATP竞争性的极光激酶A（AURKA）抑制剂，通过与AURKA激酶的T288结合而抑制AURKA</w:t>
      </w:r>
      <w:r>
        <w:rPr>
          <w:rFonts w:hint="eastAsia" w:ascii="微软雅黑" w:hAnsi="微软雅黑" w:cs="Arial Unicode MS"/>
          <w:kern w:val="2"/>
          <w:sz w:val="21"/>
          <w:szCs w:val="21"/>
        </w:rPr>
        <w:t>的磷酸化及活化。临床前研究表明，Alisertib可以诱导细胞停滞在G2/M期，引起胃肠道上部肿瘤细胞的凋亡。同时，Alisertib可以下调肿瘤细胞内的多个致癌信号通路，例如NF-κB、AKT、STAT3。多项研究表明，Alisertib可以使p53和p73活化[25987188]。目前该药正处于临床期。AZD1775是一种WEE1激酶抑制剂，可以控制细胞分裂周期的G2检验点，TP53缺失的肿瘤细胞对其敏感[28978051]。目前该药正处于临床期。</w:t>
      </w:r>
    </w:p>
    <w:p w14:paraId="37770A6E">
      <w:pPr>
        <w:spacing w:after="0"/>
        <w:jc w:val="both"/>
        <w:rPr>
          <w:rFonts w:hint="eastAsia"/>
          <w:b/>
          <w:bCs/>
          <w:kern w:val="2"/>
        </w:rPr>
      </w:pPr>
      <w:r>
        <w:rPr>
          <w:rFonts w:hint="eastAsia"/>
          <w:b/>
          <w:bCs/>
          <w:kern w:val="2"/>
        </w:rPr>
        <w:t>药物疗效临床解析：</w:t>
      </w:r>
    </w:p>
    <w:p w14:paraId="3AA0EC12">
      <w:pPr>
        <w:numPr>
          <w:ilvl w:val="-1"/>
          <w:numId w:val="0"/>
        </w:numPr>
        <w:spacing w:before="0" w:after="0"/>
        <w:ind w:left="0" w:firstLine="420" w:firstLineChars="200"/>
        <w:jc w:val="both"/>
        <w:rPr>
          <w:rFonts w:hint="eastAsia" w:ascii="微软雅黑" w:hAnsi="微软雅黑" w:cs="Arial Unicode MS"/>
          <w:kern w:val="2"/>
          <w:sz w:val="21"/>
          <w:szCs w:val="21"/>
        </w:rPr>
      </w:pPr>
      <w:r>
        <w:rPr>
          <w:rFonts w:hint="eastAsia" w:ascii="微软雅黑" w:hAnsi="微软雅黑" w:cs="Arial Unicode MS"/>
          <w:kern w:val="2"/>
          <w:sz w:val="21"/>
          <w:szCs w:val="21"/>
        </w:rPr>
        <w:t>一项Alisertib单药治疗实体瘤患者的临床 I 期研究中，Alisertib显示出初步的抗肿瘤活性，37%的患者疾病稳定，而且在某些实体瘤患者中（结直肠癌、软骨肉瘤、平滑肌肉瘤、脂肪肉瘤）疾病稳定超过6个月，同时治疗相关的不良反应控制的很好[22753585]。体内和体外研究显示，Alisertib单药能够抑制TP53突变的头颈部鳞状细胞癌（HNSCC）细胞系的有丝分裂，导致细胞生长停滞，并且Alisertib联合AZD1775能够产生协同抗肿瘤作用，延长总生存期，是TP53突变的癌症的潜在的治疗方法[30755439]。</w:t>
      </w:r>
    </w:p>
    <w:p w14:paraId="1D5A6276">
      <w:pPr>
        <w:numPr>
          <w:ilvl w:val="0"/>
          <w:numId w:val="13"/>
        </w:numPr>
        <w:spacing w:before="200"/>
        <w:ind w:left="420" w:hanging="420"/>
        <w:rPr>
          <w:rFonts w:ascii="微软雅黑" w:hAnsi="微软雅黑" w:cs="微软雅黑"/>
          <w:b/>
          <w:bCs/>
          <w:sz w:val="24"/>
          <w:szCs w:val="24"/>
        </w:rPr>
      </w:pPr>
      <w:r>
        <w:fldChar w:fldCharType="begin"/>
      </w:r>
      <w:r>
        <w:instrText xml:space="preserve"> HYPERLINK \l "重要基因变异及潜在靶向药物信息" </w:instrText>
      </w:r>
      <w:r>
        <w:fldChar w:fldCharType="separate"/>
      </w:r>
      <w:r>
        <w:rPr>
          <w:rStyle w:val="23"/>
          <w:rFonts w:hint="eastAsia" w:ascii="微软雅黑" w:hAnsi="微软雅黑" w:cs="微软雅黑"/>
          <w:b/>
          <w:bCs/>
          <w:color w:val="0000FF"/>
          <w:sz w:val="24"/>
          <w:szCs w:val="24"/>
          <w:lang w:eastAsia="zh-CN"/>
        </w:rPr>
        <w:t>Eprenetapopt</w:t>
      </w:r>
      <w:r>
        <w:rPr>
          <w:rStyle w:val="23"/>
          <w:rFonts w:hint="eastAsia" w:ascii="微软雅黑" w:hAnsi="微软雅黑" w:cs="微软雅黑"/>
          <w:b/>
          <w:bCs/>
          <w:color w:val="0000FF"/>
          <w:sz w:val="24"/>
          <w:szCs w:val="24"/>
        </w:rPr>
        <w:fldChar w:fldCharType="end"/>
      </w:r>
    </w:p>
    <w:p w14:paraId="4A16E274">
      <w:pPr>
        <w:spacing w:beforeLines="50" w:after="0"/>
        <w:jc w:val="both"/>
        <w:rPr>
          <w:b/>
          <w:bCs/>
          <w:kern w:val="2"/>
        </w:rPr>
      </w:pPr>
      <w:r>
        <w:rPr>
          <w:rFonts w:hint="eastAsia"/>
          <w:b/>
          <w:bCs/>
          <w:kern w:val="2"/>
        </w:rPr>
        <w:t>基因变异与药物关联分析：</w:t>
      </w:r>
    </w:p>
    <w:p w14:paraId="7831E2FB">
      <w:pPr>
        <w:spacing w:after="0"/>
        <w:ind w:firstLine="420" w:firstLineChars="200"/>
        <w:jc w:val="both"/>
        <w:rPr>
          <w:rFonts w:ascii="微软雅黑" w:hAnsi="微软雅黑" w:cs="Arial Unicode MS"/>
          <w:kern w:val="2"/>
          <w:sz w:val="21"/>
          <w:szCs w:val="21"/>
        </w:rPr>
      </w:pPr>
      <w:r>
        <w:rPr>
          <w:rFonts w:hint="eastAsia" w:ascii="微软雅黑" w:hAnsi="微软雅黑" w:cs="Arial Unicode MS"/>
          <w:kern w:val="2"/>
          <w:sz w:val="21"/>
          <w:szCs w:val="21"/>
        </w:rPr>
        <w:t>该样本检出TP53基因c.844C&gt;T，p.R282W</w:t>
      </w:r>
      <w:r>
        <w:rPr>
          <w:rFonts w:hint="eastAsia" w:ascii="微软雅黑" w:hAnsi="微软雅黑" w:cs="Arial Unicode MS"/>
          <w:kern w:val="2"/>
          <w:sz w:val="21"/>
          <w:szCs w:val="21"/>
          <w:lang w:val="en-US" w:eastAsia="zh-CN"/>
        </w:rPr>
        <w:t>错义</w:t>
      </w:r>
      <w:r>
        <w:rPr>
          <w:rFonts w:hint="eastAsia" w:ascii="微软雅黑" w:hAnsi="微软雅黑" w:cs="微软雅黑"/>
          <w:sz w:val="21"/>
        </w:rPr>
        <w:t>突变</w:t>
      </w:r>
      <w:r>
        <w:rPr>
          <w:rFonts w:hint="eastAsia" w:ascii="微软雅黑" w:hAnsi="微软雅黑" w:cs="Arial Unicode MS"/>
          <w:kern w:val="2"/>
          <w:sz w:val="21"/>
          <w:szCs w:val="21"/>
          <w:lang w:eastAsia="zh-CN"/>
        </w:rPr>
        <w:t>，</w:t>
      </w:r>
      <w:r>
        <w:rPr>
          <w:rFonts w:hint="eastAsia" w:ascii="微软雅黑" w:hAnsi="微软雅黑" w:cs="微软雅黑"/>
          <w:sz w:val="21"/>
        </w:rPr>
        <w:t>研究表明，该突变抑制 AMPK 信号传导，导致细胞侵袭性生长，促进小鼠模型中的肿瘤发展[24857548]。</w:t>
      </w:r>
      <w:r>
        <w:rPr>
          <w:rFonts w:hint="eastAsia" w:ascii="微软雅黑" w:hAnsi="微软雅黑" w:cs="微软雅黑"/>
          <w:sz w:val="21"/>
          <w:lang w:val="en-US" w:eastAsia="zh-CN"/>
        </w:rPr>
        <w:t>E</w:t>
      </w:r>
      <w:r>
        <w:rPr>
          <w:rFonts w:hint="eastAsia" w:ascii="微软雅黑" w:hAnsi="微软雅黑" w:cs="Arial Unicode MS"/>
          <w:kern w:val="2"/>
          <w:sz w:val="21"/>
          <w:szCs w:val="21"/>
          <w:lang w:eastAsia="zh-CN"/>
        </w:rPr>
        <w:t>prenetapopt（APR-246）</w:t>
      </w:r>
      <w:r>
        <w:rPr>
          <w:rFonts w:hint="eastAsia" w:ascii="微软雅黑" w:hAnsi="微软雅黑" w:cs="Arial Unicode MS"/>
          <w:kern w:val="2"/>
          <w:sz w:val="21"/>
          <w:szCs w:val="21"/>
        </w:rPr>
        <w:t>又名PRIMA-1MET，是第一个处于临床阶段的p53突变体激活剂，并能诱导细胞凋亡[26086967]。</w:t>
      </w:r>
      <w:r>
        <w:rPr>
          <w:rFonts w:hint="eastAsia" w:ascii="微软雅黑" w:hAnsi="微软雅黑" w:cs="Arial Unicode MS"/>
          <w:kern w:val="2"/>
          <w:sz w:val="21"/>
          <w:szCs w:val="21"/>
          <w:lang w:eastAsia="zh-CN"/>
        </w:rPr>
        <w:t>Eprenetapopt</w:t>
      </w:r>
      <w:r>
        <w:rPr>
          <w:rFonts w:hint="eastAsia" w:ascii="微软雅黑" w:hAnsi="微软雅黑" w:cs="Arial Unicode MS"/>
          <w:kern w:val="2"/>
          <w:sz w:val="21"/>
          <w:szCs w:val="21"/>
        </w:rPr>
        <w:t xml:space="preserve">是一种前体药物，被转变为Michael acceptor methylene quinuclidinone （MQ）后与p53 蛋白的丝氨酸结合，重折叠后恢复野生p53蛋白的活性，另外MQ通过抑制 TrxR1 酶的活性和消耗谷胱甘肽来维持胞内的氧化还原平衡，具有双重作用机制。从而 </w:t>
      </w:r>
      <w:r>
        <w:rPr>
          <w:rFonts w:hint="eastAsia" w:ascii="微软雅黑" w:hAnsi="微软雅黑" w:cs="Arial Unicode MS"/>
          <w:kern w:val="2"/>
          <w:sz w:val="21"/>
          <w:szCs w:val="21"/>
          <w:lang w:eastAsia="zh-CN"/>
        </w:rPr>
        <w:t>Eprenetapopt</w:t>
      </w:r>
      <w:r>
        <w:rPr>
          <w:rFonts w:hint="eastAsia" w:ascii="微软雅黑" w:hAnsi="微软雅黑" w:cs="Arial Unicode MS"/>
          <w:kern w:val="2"/>
          <w:sz w:val="21"/>
          <w:szCs w:val="21"/>
        </w:rPr>
        <w:t xml:space="preserve"> 能有效的诱导肿瘤细胞死亡，还能克服对其他抗肿瘤药物的耐药性，对p53失活或突变的患者有效[26870698]。目前该药正处于临床期。</w:t>
      </w:r>
    </w:p>
    <w:p w14:paraId="79A89B19">
      <w:pPr>
        <w:spacing w:after="0"/>
        <w:jc w:val="both"/>
        <w:rPr>
          <w:b/>
          <w:bCs/>
          <w:kern w:val="2"/>
        </w:rPr>
      </w:pPr>
      <w:r>
        <w:rPr>
          <w:rFonts w:hint="eastAsia"/>
          <w:b/>
          <w:bCs/>
          <w:kern w:val="2"/>
        </w:rPr>
        <w:t>药物疗效临床解析：</w:t>
      </w:r>
    </w:p>
    <w:p w14:paraId="1E878C79">
      <w:pPr>
        <w:keepNext w:val="0"/>
        <w:keepLines w:val="0"/>
        <w:pageBreakBefore w:val="0"/>
        <w:numPr>
          <w:ilvl w:val="-1"/>
          <w:numId w:val="0"/>
        </w:numPr>
        <w:kinsoku/>
        <w:wordWrap/>
        <w:overflowPunct/>
        <w:topLinePunct w:val="0"/>
        <w:autoSpaceDE/>
        <w:autoSpaceDN/>
        <w:bidi w:val="0"/>
        <w:spacing w:before="0" w:beforeLines="0" w:beforeAutospacing="0" w:after="0" w:afterLines="0"/>
        <w:ind w:left="0" w:firstLine="495"/>
        <w:jc w:val="both"/>
        <w:outlineLvl w:val="9"/>
        <w:rPr>
          <w:rFonts w:hint="eastAsia" w:ascii="微软雅黑" w:hAnsi="微软雅黑" w:cs="Arial Unicode MS"/>
          <w:kern w:val="2"/>
          <w:sz w:val="21"/>
          <w:szCs w:val="21"/>
          <w:lang w:val="en-US" w:eastAsia="zh-CN"/>
        </w:rPr>
      </w:pPr>
      <w:r>
        <w:rPr>
          <w:rFonts w:hint="eastAsia" w:ascii="微软雅黑" w:hAnsi="微软雅黑" w:cs="Arial Unicode MS"/>
          <w:kern w:val="2"/>
          <w:sz w:val="21"/>
          <w:szCs w:val="21"/>
        </w:rPr>
        <w:t>体外研究显示，</w:t>
      </w:r>
      <w:r>
        <w:rPr>
          <w:rFonts w:hint="eastAsia" w:ascii="微软雅黑" w:hAnsi="微软雅黑" w:cs="Arial Unicode MS"/>
          <w:kern w:val="2"/>
          <w:sz w:val="21"/>
          <w:szCs w:val="21"/>
          <w:lang w:eastAsia="zh-CN"/>
        </w:rPr>
        <w:t>Eprenetapopt</w:t>
      </w:r>
      <w:r>
        <w:rPr>
          <w:rFonts w:hint="eastAsia" w:ascii="微软雅黑" w:hAnsi="微软雅黑" w:cs="Arial Unicode MS"/>
          <w:kern w:val="2"/>
          <w:sz w:val="21"/>
          <w:szCs w:val="21"/>
        </w:rPr>
        <w:t>能抑制肿瘤细胞生长。在体内不同的肿瘤类型和模型中，</w:t>
      </w:r>
      <w:r>
        <w:rPr>
          <w:rFonts w:hint="eastAsia" w:ascii="微软雅黑" w:hAnsi="微软雅黑" w:cs="Arial Unicode MS"/>
          <w:kern w:val="2"/>
          <w:sz w:val="21"/>
          <w:szCs w:val="21"/>
          <w:lang w:eastAsia="zh-CN"/>
        </w:rPr>
        <w:t>Eprenetapopt</w:t>
      </w:r>
      <w:r>
        <w:rPr>
          <w:rFonts w:hint="eastAsia" w:ascii="微软雅黑" w:hAnsi="微软雅黑" w:cs="Arial Unicode MS"/>
          <w:kern w:val="2"/>
          <w:sz w:val="21"/>
          <w:szCs w:val="21"/>
        </w:rPr>
        <w:t>能以p53依赖的方式诱导细胞凋亡。</w:t>
      </w:r>
      <w:r>
        <w:rPr>
          <w:rFonts w:hint="eastAsia" w:ascii="微软雅黑" w:hAnsi="微软雅黑" w:cs="Arial Unicode MS"/>
          <w:kern w:val="2"/>
          <w:sz w:val="21"/>
          <w:szCs w:val="21"/>
          <w:lang w:eastAsia="zh-CN"/>
        </w:rPr>
        <w:t>Eprenetapopt</w:t>
      </w:r>
      <w:r>
        <w:rPr>
          <w:rFonts w:hint="eastAsia" w:ascii="微软雅黑" w:hAnsi="微软雅黑" w:cs="Arial Unicode MS"/>
          <w:kern w:val="2"/>
          <w:sz w:val="21"/>
          <w:szCs w:val="21"/>
        </w:rPr>
        <w:t>用于治疗恶性血液肿瘤和前列腺癌患者的研究显示，</w:t>
      </w:r>
      <w:r>
        <w:rPr>
          <w:rFonts w:hint="eastAsia" w:ascii="微软雅黑" w:hAnsi="微软雅黑" w:cs="Arial Unicode MS"/>
          <w:kern w:val="2"/>
          <w:sz w:val="21"/>
          <w:szCs w:val="21"/>
          <w:lang w:eastAsia="zh-CN"/>
        </w:rPr>
        <w:t>Eprenetapopt</w:t>
      </w:r>
      <w:r>
        <w:rPr>
          <w:rFonts w:hint="eastAsia" w:ascii="微软雅黑" w:hAnsi="微软雅黑" w:cs="Arial Unicode MS"/>
          <w:kern w:val="2"/>
          <w:sz w:val="21"/>
          <w:szCs w:val="21"/>
        </w:rPr>
        <w:t>可有效的增强肿瘤细胞的凋亡，细胞周期停滞及上调TP53基因[NCT02098343，22965953]。研究显示，在p53突变的胰腺癌细胞系中，</w:t>
      </w:r>
      <w:r>
        <w:rPr>
          <w:rFonts w:hint="eastAsia" w:ascii="微软雅黑" w:hAnsi="微软雅黑" w:cs="Arial Unicode MS"/>
          <w:kern w:val="2"/>
          <w:sz w:val="21"/>
          <w:szCs w:val="21"/>
          <w:lang w:eastAsia="zh-CN"/>
        </w:rPr>
        <w:t>Eprenetapopt</w:t>
      </w:r>
      <w:r>
        <w:rPr>
          <w:rFonts w:hint="eastAsia" w:ascii="微软雅黑" w:hAnsi="微软雅黑" w:cs="Arial Unicode MS"/>
          <w:kern w:val="2"/>
          <w:sz w:val="21"/>
          <w:szCs w:val="21"/>
        </w:rPr>
        <w:t>可通过重激活p53诱导细胞凋亡，在联合治疗中</w:t>
      </w:r>
      <w:r>
        <w:rPr>
          <w:rFonts w:hint="eastAsia" w:ascii="微软雅黑" w:hAnsi="微软雅黑" w:cs="Arial Unicode MS"/>
          <w:kern w:val="2"/>
          <w:sz w:val="21"/>
          <w:szCs w:val="21"/>
          <w:lang w:eastAsia="zh-CN"/>
        </w:rPr>
        <w:t>，Eprenetapopt</w:t>
      </w:r>
      <w:r>
        <w:rPr>
          <w:rFonts w:hint="eastAsia" w:ascii="微软雅黑" w:hAnsi="微软雅黑" w:cs="Arial Unicode MS"/>
          <w:kern w:val="2"/>
          <w:sz w:val="21"/>
          <w:szCs w:val="21"/>
        </w:rPr>
        <w:t>可增加多种化疗药物对胰腺癌细胞系的抗肿瘤活性[24838627]。有研究表明，</w:t>
      </w:r>
      <w:r>
        <w:rPr>
          <w:rFonts w:hint="eastAsia" w:ascii="微软雅黑" w:hAnsi="微软雅黑" w:cs="Arial Unicode MS"/>
          <w:kern w:val="2"/>
          <w:sz w:val="21"/>
          <w:szCs w:val="21"/>
          <w:lang w:eastAsia="zh-CN"/>
        </w:rPr>
        <w:t>Eprenetapopt</w:t>
      </w:r>
      <w:r>
        <w:rPr>
          <w:rFonts w:hint="eastAsia" w:ascii="微软雅黑" w:hAnsi="微软雅黑" w:cs="Arial Unicode MS"/>
          <w:kern w:val="2"/>
          <w:sz w:val="21"/>
          <w:szCs w:val="21"/>
        </w:rPr>
        <w:t>能够在具有突变型p53的结直肠癌细胞中强烈诱导细胞凋亡。在人类异种移植肿瘤模型中，</w:t>
      </w:r>
      <w:r>
        <w:rPr>
          <w:rFonts w:hint="eastAsia" w:ascii="微软雅黑" w:hAnsi="微软雅黑" w:cs="Arial Unicode MS"/>
          <w:kern w:val="2"/>
          <w:sz w:val="21"/>
          <w:szCs w:val="21"/>
          <w:lang w:eastAsia="zh-CN"/>
        </w:rPr>
        <w:t>Eprenetapopt</w:t>
      </w:r>
      <w:r>
        <w:rPr>
          <w:rFonts w:hint="eastAsia" w:ascii="微软雅黑" w:hAnsi="微软雅黑" w:cs="Arial Unicode MS"/>
          <w:kern w:val="2"/>
          <w:sz w:val="21"/>
          <w:szCs w:val="21"/>
        </w:rPr>
        <w:t>能有效抑制结直肠癌肿瘤的生长[26452133]。</w:t>
      </w:r>
      <w:r>
        <w:rPr>
          <w:rFonts w:hint="eastAsia" w:ascii="微软雅黑" w:hAnsi="微软雅黑" w:cs="Arial Unicode MS"/>
          <w:kern w:val="2"/>
          <w:sz w:val="21"/>
          <w:szCs w:val="21"/>
          <w:lang w:val="en-US" w:eastAsia="zh-CN"/>
        </w:rPr>
        <w:t>一项Ib/II期试验显示，Eprenetapopt联合阿扎胞苷（azacitidine）治疗TP53突变型骨髓增生异常综合征（MDS）和少突细胞急性髓细胞白血病（AML）患者时，耐受性良好，并产生了高临床缓解率和分子缓解率[NCT03072043]。</w:t>
      </w:r>
    </w:p>
    <w:p w14:paraId="49C18600">
      <w:pPr>
        <w:keepNext w:val="0"/>
        <w:keepLines w:val="0"/>
        <w:pageBreakBefore w:val="0"/>
        <w:widowControl/>
        <w:numPr>
          <w:ilvl w:val="0"/>
          <w:numId w:val="11"/>
        </w:numPr>
        <w:kinsoku/>
        <w:wordWrap/>
        <w:overflowPunct/>
        <w:topLinePunct w:val="0"/>
        <w:autoSpaceDE/>
        <w:autoSpaceDN/>
        <w:bidi w:val="0"/>
        <w:adjustRightInd w:val="0"/>
        <w:snapToGrid w:val="0"/>
        <w:spacing w:before="200" w:after="200" w:line="240" w:lineRule="auto"/>
        <w:ind w:left="420" w:leftChars="0" w:right="0" w:rightChars="0" w:hanging="420" w:firstLineChars="0"/>
        <w:jc w:val="left"/>
        <w:textAlignment w:val="auto"/>
        <w:outlineLvl w:val="9"/>
        <w:rPr>
          <w:rStyle w:val="21"/>
          <w:rFonts w:hint="eastAsia" w:ascii="微软雅黑" w:hAnsi="微软雅黑" w:cs="微软雅黑"/>
          <w:b/>
          <w:bCs/>
          <w:color w:val="FF0000"/>
          <w:kern w:val="0"/>
          <w:sz w:val="24"/>
          <w:szCs w:val="24"/>
          <w:highlight w:val="none"/>
          <w:u w:val="none"/>
          <w:lang w:val="en-US" w:eastAsia="zh-CN"/>
        </w:rPr>
      </w:pPr>
      <w:r>
        <w:rPr>
          <w:rStyle w:val="21"/>
          <w:rFonts w:hint="eastAsia" w:ascii="微软雅黑" w:hAnsi="微软雅黑" w:cs="微软雅黑"/>
          <w:b/>
          <w:bCs/>
          <w:color w:val="FF0000"/>
          <w:kern w:val="0"/>
          <w:sz w:val="24"/>
          <w:szCs w:val="24"/>
          <w:highlight w:val="none"/>
          <w:u w:val="none"/>
          <w:lang w:val="en-US" w:eastAsia="zh-CN"/>
        </w:rPr>
        <w:t>KRAS：{{ immune_KRAS_result }}突变相应靶向药物</w:t>
      </w:r>
    </w:p>
    <w:p w14:paraId="548AAB05">
      <w:pPr>
        <w:keepNext w:val="0"/>
        <w:keepLines w:val="0"/>
        <w:pageBreakBefore w:val="0"/>
        <w:widowControl/>
        <w:numPr>
          <w:ilvl w:val="0"/>
          <w:numId w:val="13"/>
        </w:numPr>
        <w:kinsoku/>
        <w:wordWrap/>
        <w:overflowPunct/>
        <w:topLinePunct w:val="0"/>
        <w:autoSpaceDE/>
        <w:autoSpaceDN/>
        <w:bidi w:val="0"/>
        <w:adjustRightInd w:val="0"/>
        <w:snapToGrid w:val="0"/>
        <w:spacing w:before="200"/>
        <w:ind w:left="420" w:leftChars="0" w:hanging="420" w:firstLineChars="0"/>
        <w:jc w:val="both"/>
        <w:textAlignment w:val="auto"/>
        <w:rPr>
          <w:rFonts w:hint="eastAsia" w:ascii="微软雅黑" w:hAnsi="微软雅黑" w:eastAsia="微软雅黑" w:cs="微软雅黑"/>
          <w:b/>
          <w:bCs/>
          <w:sz w:val="24"/>
          <w:szCs w:val="24"/>
          <w:highlight w:val="none"/>
          <w:lang w:val="en-US" w:eastAsia="zh-CN"/>
        </w:rPr>
      </w:pPr>
      <w:r>
        <w:rPr>
          <w:rFonts w:hint="eastAsia" w:ascii="微软雅黑" w:hAnsi="微软雅黑" w:cs="微软雅黑"/>
          <w:b/>
          <w:bCs/>
          <w:color w:val="0000FF"/>
          <w:kern w:val="0"/>
          <w:sz w:val="24"/>
          <w:szCs w:val="24"/>
          <w:highlight w:val="none"/>
          <w:u w:val="single"/>
          <w:lang w:eastAsia="zh-CN"/>
        </w:rPr>
        <w:t>曲美替尼</w:t>
      </w:r>
      <w:r>
        <w:rPr>
          <w:rFonts w:hint="eastAsia" w:ascii="微软雅黑" w:hAnsi="微软雅黑" w:cs="微软雅黑"/>
          <w:b/>
          <w:bCs/>
          <w:color w:val="0000FF"/>
          <w:kern w:val="0"/>
          <w:sz w:val="24"/>
          <w:szCs w:val="24"/>
          <w:highlight w:val="none"/>
          <w:u w:val="single"/>
          <w:lang w:val="en-US" w:eastAsia="zh-CN"/>
        </w:rPr>
        <w:t>（</w:t>
      </w:r>
      <w:r>
        <w:rPr>
          <w:rStyle w:val="21"/>
          <w:rFonts w:hint="eastAsia" w:ascii="微软雅黑" w:hAnsi="微软雅黑" w:cs="微软雅黑"/>
          <w:b/>
          <w:bCs/>
          <w:color w:val="0000FF"/>
          <w:kern w:val="0"/>
          <w:sz w:val="24"/>
          <w:szCs w:val="24"/>
          <w:highlight w:val="none"/>
          <w:u w:val="single"/>
          <w:lang w:eastAsia="zh-CN"/>
        </w:rPr>
        <w:t>Trametinib</w:t>
      </w:r>
      <w:r>
        <w:rPr>
          <w:rFonts w:hint="eastAsia" w:ascii="微软雅黑" w:hAnsi="微软雅黑" w:cs="微软雅黑"/>
          <w:b/>
          <w:bCs/>
          <w:color w:val="0000FF"/>
          <w:kern w:val="0"/>
          <w:sz w:val="24"/>
          <w:szCs w:val="24"/>
          <w:highlight w:val="none"/>
          <w:u w:val="single"/>
          <w:lang w:val="en-US" w:eastAsia="zh-CN"/>
        </w:rPr>
        <w:t>）+Navitoclax、帕尼单抗+曲美替尼（Panitumumab+</w:t>
      </w:r>
      <w:r>
        <w:rPr>
          <w:rStyle w:val="21"/>
          <w:rFonts w:hint="eastAsia" w:ascii="微软雅黑" w:hAnsi="微软雅黑" w:cs="微软雅黑"/>
          <w:b/>
          <w:bCs/>
          <w:color w:val="0000FF"/>
          <w:kern w:val="0"/>
          <w:sz w:val="24"/>
          <w:szCs w:val="24"/>
          <w:highlight w:val="none"/>
          <w:u w:val="single"/>
          <w:lang w:eastAsia="zh-CN"/>
        </w:rPr>
        <w:t>Trametinib</w:t>
      </w:r>
      <w:r>
        <w:rPr>
          <w:rFonts w:hint="eastAsia" w:ascii="微软雅黑" w:hAnsi="微软雅黑" w:cs="微软雅黑"/>
          <w:b/>
          <w:bCs/>
          <w:color w:val="0000FF"/>
          <w:kern w:val="0"/>
          <w:sz w:val="24"/>
          <w:szCs w:val="24"/>
          <w:highlight w:val="none"/>
          <w:u w:val="single"/>
          <w:lang w:val="en-US" w:eastAsia="zh-CN"/>
        </w:rPr>
        <w:t>）、</w:t>
      </w:r>
      <w:r>
        <w:rPr>
          <w:rStyle w:val="21"/>
          <w:rFonts w:hint="eastAsia" w:ascii="微软雅黑" w:hAnsi="微软雅黑" w:cs="微软雅黑"/>
          <w:b/>
          <w:bCs/>
          <w:color w:val="0000FF"/>
          <w:kern w:val="0"/>
          <w:sz w:val="24"/>
          <w:szCs w:val="24"/>
          <w:highlight w:val="none"/>
          <w:u w:val="single"/>
          <w:lang w:val="en-US" w:eastAsia="zh-CN"/>
        </w:rPr>
        <w:t>贝美替尼+哌柏西利</w:t>
      </w:r>
      <w:r>
        <w:rPr>
          <w:rStyle w:val="21"/>
          <w:rFonts w:hint="eastAsia" w:ascii="微软雅黑" w:hAnsi="微软雅黑" w:cs="微软雅黑"/>
          <w:b/>
          <w:bCs/>
          <w:color w:val="0000FF"/>
          <w:kern w:val="0"/>
          <w:sz w:val="24"/>
          <w:szCs w:val="24"/>
          <w:highlight w:val="none"/>
          <w:u w:val="single"/>
          <w:lang w:eastAsia="zh-CN"/>
        </w:rPr>
        <w:t>（Binimetinib</w:t>
      </w:r>
      <w:r>
        <w:rPr>
          <w:rStyle w:val="21"/>
          <w:rFonts w:hint="eastAsia" w:ascii="微软雅黑" w:hAnsi="微软雅黑" w:cs="微软雅黑"/>
          <w:b/>
          <w:bCs/>
          <w:color w:val="0000FF"/>
          <w:kern w:val="0"/>
          <w:sz w:val="24"/>
          <w:szCs w:val="24"/>
          <w:highlight w:val="none"/>
          <w:u w:val="single"/>
          <w:lang w:val="en-US" w:eastAsia="zh-CN"/>
        </w:rPr>
        <w:t>+Palbociclib</w:t>
      </w:r>
      <w:r>
        <w:rPr>
          <w:rStyle w:val="21"/>
          <w:rFonts w:hint="eastAsia" w:ascii="微软雅黑" w:hAnsi="微软雅黑" w:cs="微软雅黑"/>
          <w:b/>
          <w:bCs/>
          <w:color w:val="0000FF"/>
          <w:kern w:val="0"/>
          <w:sz w:val="24"/>
          <w:szCs w:val="24"/>
          <w:highlight w:val="none"/>
          <w:u w:val="single"/>
          <w:lang w:eastAsia="zh-CN"/>
        </w:rPr>
        <w:t>）、BI 1701963、BI 1701963</w:t>
      </w:r>
      <w:r>
        <w:rPr>
          <w:rStyle w:val="21"/>
          <w:rFonts w:hint="eastAsia" w:ascii="微软雅黑" w:hAnsi="微软雅黑" w:cs="微软雅黑"/>
          <w:b/>
          <w:bCs/>
          <w:color w:val="0000FF"/>
          <w:kern w:val="0"/>
          <w:sz w:val="24"/>
          <w:szCs w:val="24"/>
          <w:highlight w:val="none"/>
          <w:u w:val="single"/>
          <w:lang w:val="en-US" w:eastAsia="zh-CN"/>
        </w:rPr>
        <w:t>+</w:t>
      </w:r>
      <w:r>
        <w:rPr>
          <w:rFonts w:hint="eastAsia" w:ascii="微软雅黑" w:hAnsi="微软雅黑" w:cs="微软雅黑"/>
          <w:b/>
          <w:bCs/>
          <w:color w:val="0000FF"/>
          <w:kern w:val="0"/>
          <w:sz w:val="24"/>
          <w:szCs w:val="24"/>
          <w:highlight w:val="none"/>
          <w:u w:val="single"/>
          <w:lang w:eastAsia="zh-CN"/>
        </w:rPr>
        <w:t>曲美替尼</w:t>
      </w:r>
      <w:r>
        <w:rPr>
          <w:rFonts w:hint="eastAsia" w:ascii="微软雅黑" w:hAnsi="微软雅黑" w:cs="微软雅黑"/>
          <w:b/>
          <w:bCs/>
          <w:color w:val="0000FF"/>
          <w:kern w:val="0"/>
          <w:sz w:val="24"/>
          <w:szCs w:val="24"/>
          <w:highlight w:val="none"/>
          <w:u w:val="single"/>
          <w:lang w:val="en-US" w:eastAsia="zh-CN"/>
        </w:rPr>
        <w:t>（</w:t>
      </w:r>
      <w:r>
        <w:rPr>
          <w:rStyle w:val="21"/>
          <w:rFonts w:hint="eastAsia" w:ascii="微软雅黑" w:hAnsi="微软雅黑" w:cs="微软雅黑"/>
          <w:b/>
          <w:bCs/>
          <w:color w:val="0000FF"/>
          <w:kern w:val="0"/>
          <w:sz w:val="24"/>
          <w:szCs w:val="24"/>
          <w:highlight w:val="none"/>
          <w:u w:val="single"/>
          <w:lang w:eastAsia="zh-CN"/>
        </w:rPr>
        <w:t>Trametinib</w:t>
      </w:r>
      <w:r>
        <w:rPr>
          <w:rFonts w:hint="eastAsia" w:ascii="微软雅黑" w:hAnsi="微软雅黑" w:cs="微软雅黑"/>
          <w:b/>
          <w:bCs/>
          <w:color w:val="0000FF"/>
          <w:kern w:val="0"/>
          <w:sz w:val="24"/>
          <w:szCs w:val="24"/>
          <w:highlight w:val="none"/>
          <w:u w:val="single"/>
          <w:lang w:val="en-US" w:eastAsia="zh-CN"/>
        </w:rPr>
        <w:t>）、奈拉替尼+曲美替尼（Neratinib+Trametinib）、福巴替尼+贝美替尼</w:t>
      </w:r>
      <w:r>
        <w:rPr>
          <w:rStyle w:val="21"/>
          <w:rFonts w:hint="eastAsia" w:ascii="微软雅黑" w:hAnsi="微软雅黑" w:cs="微软雅黑"/>
          <w:b/>
          <w:bCs/>
          <w:color w:val="0000FF"/>
          <w:kern w:val="0"/>
          <w:sz w:val="24"/>
          <w:szCs w:val="24"/>
          <w:highlight w:val="none"/>
          <w:u w:val="single"/>
          <w:lang w:eastAsia="zh-CN"/>
        </w:rPr>
        <w:t>（</w:t>
      </w:r>
      <w:r>
        <w:rPr>
          <w:rFonts w:hint="eastAsia" w:ascii="微软雅黑" w:hAnsi="微软雅黑" w:cs="微软雅黑"/>
          <w:b/>
          <w:bCs/>
          <w:color w:val="0000FF"/>
          <w:kern w:val="0"/>
          <w:sz w:val="24"/>
          <w:szCs w:val="24"/>
          <w:highlight w:val="none"/>
          <w:u w:val="single"/>
          <w:lang w:val="en-US" w:eastAsia="zh-CN"/>
        </w:rPr>
        <w:t>Futibatinib</w:t>
      </w:r>
      <w:r>
        <w:rPr>
          <w:rStyle w:val="21"/>
          <w:rFonts w:hint="eastAsia" w:ascii="微软雅黑" w:hAnsi="微软雅黑" w:cs="微软雅黑"/>
          <w:b/>
          <w:bCs/>
          <w:color w:val="0000FF"/>
          <w:kern w:val="0"/>
          <w:sz w:val="24"/>
          <w:szCs w:val="24"/>
          <w:highlight w:val="none"/>
          <w:u w:val="single"/>
          <w:lang w:val="en-US" w:eastAsia="zh-CN"/>
        </w:rPr>
        <w:t>+</w:t>
      </w:r>
      <w:r>
        <w:rPr>
          <w:rStyle w:val="21"/>
          <w:rFonts w:hint="eastAsia" w:ascii="微软雅黑" w:hAnsi="微软雅黑" w:cs="微软雅黑"/>
          <w:b/>
          <w:bCs/>
          <w:color w:val="0000FF"/>
          <w:kern w:val="0"/>
          <w:sz w:val="24"/>
          <w:szCs w:val="24"/>
          <w:highlight w:val="none"/>
          <w:u w:val="single"/>
          <w:lang w:eastAsia="zh-CN"/>
        </w:rPr>
        <w:t>Binimetinib）</w:t>
      </w:r>
    </w:p>
    <w:p w14:paraId="3FB7CC16">
      <w:pPr>
        <w:numPr>
          <w:ilvl w:val="-1"/>
          <w:numId w:val="0"/>
        </w:numPr>
        <w:spacing w:before="200" w:after="0"/>
        <w:ind w:left="0" w:firstLine="0"/>
        <w:jc w:val="both"/>
        <w:rPr>
          <w:rFonts w:hint="eastAsia"/>
          <w:b/>
          <w:bCs/>
          <w:kern w:val="2"/>
          <w:highlight w:val="none"/>
          <w:lang w:eastAsia="zh-CN"/>
        </w:rPr>
      </w:pPr>
      <w:r>
        <w:rPr>
          <w:rFonts w:hint="eastAsia"/>
          <w:b/>
          <w:bCs/>
          <w:kern w:val="2"/>
          <w:highlight w:val="none"/>
          <w:lang w:eastAsia="zh-CN"/>
        </w:rPr>
        <w:t>基因变异与药物关联分析：</w:t>
      </w:r>
    </w:p>
    <w:p w14:paraId="34710309">
      <w:pPr>
        <w:keepNext w:val="0"/>
        <w:keepLines w:val="0"/>
        <w:pageBreakBefore w:val="0"/>
        <w:widowControl/>
        <w:kinsoku/>
        <w:wordWrap/>
        <w:overflowPunct/>
        <w:topLinePunct w:val="0"/>
        <w:autoSpaceDE/>
        <w:autoSpaceDN/>
        <w:bidi w:val="0"/>
        <w:adjustRightInd w:val="0"/>
        <w:snapToGrid w:val="0"/>
        <w:spacing w:beforeLines="0" w:after="0" w:afterLines="0" w:line="240" w:lineRule="auto"/>
        <w:ind w:left="0" w:leftChars="0" w:right="0" w:rightChars="0" w:firstLine="420" w:firstLineChars="200"/>
        <w:jc w:val="both"/>
        <w:textAlignment w:val="auto"/>
        <w:outlineLvl w:val="9"/>
        <w:rPr>
          <w:rFonts w:hint="eastAsia" w:ascii="微软雅黑" w:hAnsi="微软雅黑"/>
          <w:color w:val="auto"/>
          <w:kern w:val="1"/>
          <w:sz w:val="21"/>
          <w:szCs w:val="21"/>
          <w:highlight w:val="none"/>
          <w:lang w:val="en-US" w:eastAsia="zh-CN"/>
        </w:rPr>
      </w:pPr>
      <w:r>
        <w:rPr>
          <w:rFonts w:hint="eastAsia" w:ascii="微软雅黑" w:hAnsi="微软雅黑" w:eastAsia="微软雅黑" w:cs="Arial Unicode MS"/>
          <w:color w:val="auto"/>
          <w:kern w:val="2"/>
          <w:sz w:val="21"/>
          <w:szCs w:val="21"/>
          <w:highlight w:val="none"/>
          <w:lang w:val="en-US" w:eastAsia="zh-CN"/>
        </w:rPr>
        <w:t>该样本检出KRAS基因</w:t>
      </w:r>
      <w:r>
        <w:rPr>
          <w:rFonts w:hint="eastAsia" w:ascii="微软雅黑" w:hAnsi="微软雅黑" w:cs="微软雅黑"/>
          <w:sz w:val="21"/>
          <w:lang w:eastAsia="zh-CN"/>
        </w:rPr>
        <w:t>c.34G&gt;A</w:t>
      </w:r>
      <w:r>
        <w:rPr>
          <w:rFonts w:hint="eastAsia" w:ascii="微软雅黑" w:hAnsi="微软雅黑" w:cs="微软雅黑"/>
          <w:sz w:val="21"/>
        </w:rPr>
        <w:t>，</w:t>
      </w:r>
      <w:r>
        <w:rPr>
          <w:rFonts w:hint="eastAsia" w:ascii="微软雅黑" w:hAnsi="微软雅黑" w:cs="微软雅黑"/>
          <w:sz w:val="21"/>
          <w:lang w:eastAsia="zh-CN"/>
        </w:rPr>
        <w:t>p.G12S</w:t>
      </w:r>
      <w:r>
        <w:rPr>
          <w:rFonts w:hint="eastAsia" w:ascii="微软雅黑" w:hAnsi="微软雅黑" w:eastAsia="微软雅黑" w:cs="Arial Unicode MS"/>
          <w:color w:val="auto"/>
          <w:kern w:val="2"/>
          <w:sz w:val="21"/>
          <w:szCs w:val="21"/>
          <w:highlight w:val="none"/>
          <w:lang w:val="en-US" w:eastAsia="zh-CN"/>
        </w:rPr>
        <w:t>错义突变，为已知激活突变，对蛋白功能有重要影响。</w:t>
      </w:r>
      <w:r>
        <w:rPr>
          <w:rFonts w:hint="eastAsia" w:ascii="微软雅黑" w:hAnsi="微软雅黑" w:cs="Arial Unicode MS"/>
          <w:b w:val="0"/>
          <w:bCs/>
          <w:color w:val="auto"/>
          <w:kern w:val="2"/>
          <w:sz w:val="21"/>
          <w:szCs w:val="21"/>
          <w:highlight w:val="none"/>
          <w:lang w:eastAsia="zh-CN"/>
        </w:rPr>
        <w:t>携带该突变的肿瘤患者可能从RAS/RAF</w:t>
      </w:r>
      <w:r>
        <w:rPr>
          <w:rFonts w:hint="eastAsia" w:ascii="微软雅黑" w:hAnsi="微软雅黑"/>
          <w:color w:val="auto"/>
          <w:kern w:val="1"/>
          <w:sz w:val="21"/>
          <w:szCs w:val="21"/>
          <w:highlight w:val="none"/>
        </w:rPr>
        <w:t>/MEK/ERK信号通路</w:t>
      </w:r>
      <w:r>
        <w:rPr>
          <w:rFonts w:hint="eastAsia" w:ascii="微软雅黑" w:hAnsi="微软雅黑"/>
          <w:color w:val="auto"/>
          <w:kern w:val="1"/>
          <w:sz w:val="21"/>
          <w:szCs w:val="21"/>
          <w:highlight w:val="none"/>
          <w:lang w:eastAsia="zh-CN"/>
        </w:rPr>
        <w:t>的</w:t>
      </w:r>
      <w:r>
        <w:rPr>
          <w:rFonts w:hint="eastAsia" w:ascii="微软雅黑" w:hAnsi="微软雅黑"/>
          <w:color w:val="auto"/>
          <w:kern w:val="1"/>
          <w:sz w:val="21"/>
          <w:szCs w:val="21"/>
          <w:highlight w:val="none"/>
        </w:rPr>
        <w:t>下游MEK1/2激酶</w:t>
      </w:r>
      <w:r>
        <w:rPr>
          <w:rFonts w:hint="eastAsia" w:ascii="微软雅黑" w:hAnsi="微软雅黑"/>
          <w:color w:val="auto"/>
          <w:kern w:val="1"/>
          <w:sz w:val="21"/>
          <w:szCs w:val="21"/>
          <w:highlight w:val="none"/>
          <w:lang w:eastAsia="zh-CN"/>
        </w:rPr>
        <w:t>抑制剂获益。</w:t>
      </w:r>
      <w:r>
        <w:rPr>
          <w:rFonts w:hint="eastAsia" w:ascii="微软雅黑" w:hAnsi="微软雅黑" w:eastAsia="微软雅黑" w:cs="Arial Unicode MS"/>
          <w:b w:val="0"/>
          <w:bCs/>
          <w:color w:val="auto"/>
          <w:kern w:val="2"/>
          <w:sz w:val="21"/>
          <w:szCs w:val="21"/>
          <w:highlight w:val="none"/>
        </w:rPr>
        <w:t>曲美替尼是MEK1</w:t>
      </w:r>
      <w:r>
        <w:rPr>
          <w:rFonts w:hint="eastAsia" w:ascii="微软雅黑" w:hAnsi="微软雅黑" w:cs="Arial Unicode MS"/>
          <w:b w:val="0"/>
          <w:bCs/>
          <w:color w:val="auto"/>
          <w:kern w:val="2"/>
          <w:sz w:val="21"/>
          <w:szCs w:val="21"/>
          <w:highlight w:val="none"/>
          <w:lang w:val="en-US" w:eastAsia="zh-CN"/>
        </w:rPr>
        <w:t>/</w:t>
      </w:r>
      <w:r>
        <w:rPr>
          <w:rFonts w:hint="eastAsia" w:ascii="微软雅黑" w:hAnsi="微软雅黑" w:eastAsia="微软雅黑" w:cs="Arial Unicode MS"/>
          <w:b w:val="0"/>
          <w:bCs/>
          <w:color w:val="auto"/>
          <w:kern w:val="2"/>
          <w:sz w:val="21"/>
          <w:szCs w:val="21"/>
          <w:highlight w:val="none"/>
        </w:rPr>
        <w:t>2激酶抑制剂</w:t>
      </w:r>
      <w:r>
        <w:rPr>
          <w:rFonts w:hint="eastAsia" w:ascii="微软雅黑" w:hAnsi="微软雅黑" w:cs="Arial Unicode MS"/>
          <w:b w:val="0"/>
          <w:bCs/>
          <w:color w:val="auto"/>
          <w:kern w:val="2"/>
          <w:sz w:val="21"/>
          <w:szCs w:val="21"/>
          <w:highlight w:val="none"/>
          <w:lang w:eastAsia="zh-CN"/>
        </w:rPr>
        <w:t>，能够靶向抑制RAS/RAF/MEK/ERK信号通路。</w:t>
      </w:r>
      <w:r>
        <w:rPr>
          <w:rFonts w:hint="eastAsia" w:ascii="微软雅黑" w:hAnsi="微软雅黑" w:cs="Arial Unicode MS"/>
          <w:b w:val="0"/>
          <w:bCs/>
          <w:color w:val="auto"/>
          <w:kern w:val="2"/>
          <w:sz w:val="21"/>
          <w:szCs w:val="21"/>
          <w:highlight w:val="none"/>
          <w:lang w:val="en-US" w:eastAsia="zh-CN"/>
        </w:rPr>
        <w:t>FDA批准</w:t>
      </w:r>
      <w:r>
        <w:rPr>
          <w:rFonts w:hint="eastAsia" w:ascii="微软雅黑" w:hAnsi="微软雅黑" w:cs="Arial Unicode MS"/>
          <w:b w:val="0"/>
          <w:bCs/>
          <w:color w:val="auto"/>
          <w:kern w:val="2"/>
          <w:sz w:val="21"/>
          <w:szCs w:val="21"/>
          <w:highlight w:val="none"/>
          <w:lang w:eastAsia="zh-CN"/>
        </w:rPr>
        <w:t>曲美替尼</w:t>
      </w:r>
      <w:r>
        <w:rPr>
          <w:rFonts w:hint="eastAsia" w:ascii="微软雅黑" w:hAnsi="微软雅黑" w:cs="Arial Unicode MS"/>
          <w:b w:val="0"/>
          <w:bCs/>
          <w:color w:val="auto"/>
          <w:kern w:val="2"/>
          <w:sz w:val="21"/>
          <w:szCs w:val="21"/>
          <w:highlight w:val="none"/>
          <w:lang w:val="en-US" w:eastAsia="zh-CN"/>
        </w:rPr>
        <w:t>单药用于治疗黑色素瘤，还批准曲美替尼与达拉非尼联合用于治疗黑色素瘤、非小细胞肺癌和</w:t>
      </w:r>
      <w:r>
        <w:rPr>
          <w:rFonts w:hint="eastAsia"/>
          <w:sz w:val="21"/>
          <w:szCs w:val="21"/>
          <w:highlight w:val="none"/>
          <w:shd w:val="clear"/>
          <w:lang w:val="en-US" w:eastAsia="zh-CN"/>
        </w:rPr>
        <w:t>间变性甲状腺癌</w:t>
      </w:r>
      <w:r>
        <w:rPr>
          <w:rFonts w:hint="eastAsia" w:ascii="微软雅黑" w:hAnsi="微软雅黑" w:cs="Arial Unicode MS"/>
          <w:b w:val="0"/>
          <w:bCs/>
          <w:color w:val="auto"/>
          <w:kern w:val="2"/>
          <w:sz w:val="21"/>
          <w:szCs w:val="21"/>
          <w:highlight w:val="none"/>
          <w:lang w:val="en-US" w:eastAsia="zh-CN"/>
        </w:rPr>
        <w:t>；NMPA批准曲美替尼与达拉非尼联合用于治疗黑色素瘤。</w:t>
      </w:r>
      <w:r>
        <w:rPr>
          <w:rFonts w:hint="eastAsia" w:ascii="微软雅黑" w:hAnsi="微软雅黑" w:cstheme="minorBidi"/>
          <w:b w:val="0"/>
          <w:bCs w:val="0"/>
          <w:color w:val="auto"/>
          <w:kern w:val="1"/>
          <w:sz w:val="21"/>
          <w:szCs w:val="21"/>
          <w:highlight w:val="none"/>
          <w:u w:val="none"/>
          <w:lang w:eastAsia="zh-CN"/>
        </w:rPr>
        <w:t>贝美替尼（</w:t>
      </w:r>
      <w:r>
        <w:rPr>
          <w:rFonts w:hint="eastAsia" w:ascii="微软雅黑" w:hAnsi="微软雅黑"/>
          <w:color w:val="auto"/>
          <w:kern w:val="1"/>
          <w:sz w:val="21"/>
          <w:szCs w:val="21"/>
          <w:highlight w:val="none"/>
        </w:rPr>
        <w:t>MEK162</w:t>
      </w:r>
      <w:r>
        <w:rPr>
          <w:rFonts w:hint="eastAsia" w:ascii="微软雅黑" w:hAnsi="微软雅黑" w:cstheme="minorBidi"/>
          <w:b w:val="0"/>
          <w:bCs w:val="0"/>
          <w:color w:val="auto"/>
          <w:kern w:val="1"/>
          <w:sz w:val="21"/>
          <w:szCs w:val="21"/>
          <w:highlight w:val="none"/>
          <w:u w:val="none"/>
          <w:lang w:eastAsia="zh-CN"/>
        </w:rPr>
        <w:t>）</w:t>
      </w:r>
      <w:r>
        <w:rPr>
          <w:rFonts w:hint="eastAsia" w:ascii="微软雅黑" w:hAnsi="微软雅黑"/>
          <w:color w:val="auto"/>
          <w:kern w:val="1"/>
          <w:sz w:val="21"/>
          <w:szCs w:val="21"/>
          <w:highlight w:val="none"/>
        </w:rPr>
        <w:t>是MEK1/2的抑制剂，</w:t>
      </w:r>
      <w:r>
        <w:rPr>
          <w:rFonts w:hint="eastAsia" w:ascii="微软雅黑" w:hAnsi="微软雅黑"/>
          <w:color w:val="auto"/>
          <w:kern w:val="1"/>
          <w:sz w:val="21"/>
          <w:szCs w:val="21"/>
          <w:highlight w:val="none"/>
          <w:lang w:val="en-US" w:eastAsia="zh-CN"/>
        </w:rPr>
        <w:t>FDA批准</w:t>
      </w:r>
      <w:r>
        <w:rPr>
          <w:rFonts w:hint="eastAsia" w:ascii="微软雅黑" w:hAnsi="微软雅黑" w:cs="微软雅黑"/>
          <w:b w:val="0"/>
          <w:bCs w:val="0"/>
          <w:kern w:val="2"/>
          <w:sz w:val="21"/>
          <w:szCs w:val="24"/>
          <w:highlight w:val="none"/>
          <w:lang w:eastAsia="zh-CN"/>
        </w:rPr>
        <w:t>贝美替尼</w:t>
      </w:r>
      <w:r>
        <w:rPr>
          <w:rFonts w:hint="eastAsia" w:ascii="微软雅黑" w:hAnsi="微软雅黑" w:cs="微软雅黑"/>
          <w:kern w:val="2"/>
          <w:sz w:val="21"/>
          <w:szCs w:val="24"/>
          <w:highlight w:val="none"/>
        </w:rPr>
        <w:t>与</w:t>
      </w:r>
      <w:r>
        <w:rPr>
          <w:rFonts w:hint="eastAsia" w:ascii="微软雅黑" w:hAnsi="微软雅黑" w:cs="微软雅黑"/>
          <w:kern w:val="2"/>
          <w:sz w:val="21"/>
          <w:szCs w:val="24"/>
          <w:highlight w:val="none"/>
          <w:lang w:eastAsia="zh-CN"/>
        </w:rPr>
        <w:t>康奈非尼</w:t>
      </w:r>
      <w:r>
        <w:rPr>
          <w:rFonts w:hint="eastAsia" w:ascii="微软雅黑" w:hAnsi="微软雅黑" w:cs="微软雅黑"/>
          <w:kern w:val="2"/>
          <w:sz w:val="21"/>
          <w:szCs w:val="24"/>
          <w:highlight w:val="none"/>
        </w:rPr>
        <w:t>联合用于治疗BRAF V600E或V600K突变的不可切除或转移性黑色素瘤患者</w:t>
      </w:r>
      <w:r>
        <w:rPr>
          <w:rFonts w:hint="eastAsia" w:ascii="微软雅黑" w:hAnsi="微软雅黑"/>
          <w:color w:val="auto"/>
          <w:kern w:val="1"/>
          <w:sz w:val="21"/>
          <w:szCs w:val="21"/>
          <w:highlight w:val="none"/>
        </w:rPr>
        <w:t>。</w:t>
      </w:r>
      <w:r>
        <w:rPr>
          <w:rFonts w:hint="eastAsia" w:ascii="微软雅黑" w:hAnsi="微软雅黑"/>
          <w:color w:val="auto"/>
          <w:kern w:val="1"/>
          <w:sz w:val="21"/>
          <w:szCs w:val="21"/>
          <w:highlight w:val="none"/>
          <w:lang w:eastAsia="zh-CN"/>
        </w:rPr>
        <w:t>哌柏西利是一种</w:t>
      </w:r>
      <w:r>
        <w:rPr>
          <w:rFonts w:hint="eastAsia" w:ascii="微软雅黑" w:hAnsi="微软雅黑"/>
          <w:color w:val="auto"/>
          <w:kern w:val="1"/>
          <w:sz w:val="21"/>
          <w:szCs w:val="21"/>
          <w:highlight w:val="none"/>
          <w:lang w:val="en-US" w:eastAsia="zh-CN"/>
        </w:rPr>
        <w:t>CDK4/6抑制剂，已获FDA和NMPA批准用于治疗乳腺癌。帕尼单抗是一种靶向结合EGFR胞外结构域的单抗药物，已获FDA批准用于治疗结直肠癌。奈拉替尼是一种细胞内激酶抑制剂，已获FDA和NMPA批准用于治疗乳腺癌。Navitoclax是一种BCL-XL/BCL-2抑制剂，目前正在开展临床试验。BI 1701963是一种泛KRAS抑制剂，目前正在开展临床试验。福巴替尼是一种口服的FGFR抑制剂，已获FDA批准用于治疗携带FGFR2基因融合或其他重排的肝内胆管癌成年患者。</w:t>
      </w:r>
    </w:p>
    <w:p w14:paraId="2D88D237">
      <w:pPr>
        <w:spacing w:beforeLines="0" w:after="0" w:afterLines="0"/>
        <w:ind w:firstLine="0" w:firstLineChars="0"/>
        <w:jc w:val="both"/>
        <w:outlineLvl w:val="9"/>
        <w:rPr>
          <w:rFonts w:hint="eastAsia"/>
          <w:b/>
          <w:bCs/>
          <w:kern w:val="2"/>
          <w:highlight w:val="none"/>
          <w:lang w:eastAsia="zh-CN"/>
        </w:rPr>
      </w:pPr>
      <w:r>
        <w:rPr>
          <w:rFonts w:hint="eastAsia"/>
          <w:b/>
          <w:bCs/>
          <w:kern w:val="2"/>
          <w:highlight w:val="none"/>
          <w:lang w:eastAsia="zh-CN"/>
        </w:rPr>
        <w:t>药物疗效临床解析：</w:t>
      </w:r>
    </w:p>
    <w:p w14:paraId="18030D27">
      <w:pPr>
        <w:keepNext w:val="0"/>
        <w:keepLines w:val="0"/>
        <w:pageBreakBefore w:val="0"/>
        <w:widowControl/>
        <w:numPr>
          <w:ilvl w:val="0"/>
          <w:numId w:val="0"/>
        </w:numPr>
        <w:kinsoku/>
        <w:wordWrap/>
        <w:overflowPunct/>
        <w:topLinePunct w:val="0"/>
        <w:autoSpaceDE/>
        <w:autoSpaceDN/>
        <w:bidi w:val="0"/>
        <w:adjustRightInd w:val="0"/>
        <w:snapToGrid w:val="0"/>
        <w:spacing w:after="0" w:line="240" w:lineRule="auto"/>
        <w:ind w:right="0" w:rightChars="0" w:firstLine="420" w:firstLineChars="200"/>
        <w:jc w:val="both"/>
        <w:textAlignment w:val="auto"/>
        <w:outlineLvl w:val="9"/>
        <w:rPr>
          <w:rFonts w:hint="eastAsia" w:ascii="微软雅黑" w:hAnsi="微软雅黑"/>
          <w:color w:val="auto"/>
          <w:kern w:val="1"/>
          <w:sz w:val="21"/>
          <w:szCs w:val="21"/>
          <w:highlight w:val="none"/>
          <w:lang w:val="en-US" w:eastAsia="zh-CN"/>
        </w:rPr>
      </w:pPr>
      <w:r>
        <w:rPr>
          <w:rFonts w:hint="eastAsia" w:ascii="微软雅黑" w:hAnsi="微软雅黑"/>
          <w:b w:val="0"/>
          <w:bCs w:val="0"/>
          <w:color w:val="auto"/>
          <w:kern w:val="2"/>
          <w:sz w:val="21"/>
          <w:szCs w:val="21"/>
          <w:highlight w:val="none"/>
          <w:lang w:val="en-US" w:eastAsia="zh-CN"/>
        </w:rPr>
        <w:t>一项</w:t>
      </w:r>
      <w:r>
        <w:rPr>
          <w:rFonts w:hint="eastAsia" w:ascii="微软雅黑" w:hAnsi="微软雅黑"/>
          <w:b w:val="0"/>
          <w:bCs w:val="0"/>
          <w:color w:val="auto"/>
          <w:kern w:val="2"/>
          <w:sz w:val="21"/>
          <w:szCs w:val="21"/>
          <w:highlight w:val="none"/>
          <w:lang w:eastAsia="zh-CN"/>
        </w:rPr>
        <w:t>由美国国家癌症研究所主办的临床Ⅰ</w:t>
      </w:r>
      <w:r>
        <w:rPr>
          <w:rFonts w:hint="eastAsia" w:ascii="微软雅黑" w:hAnsi="微软雅黑"/>
          <w:b w:val="0"/>
          <w:bCs w:val="0"/>
          <w:color w:val="auto"/>
          <w:kern w:val="2"/>
          <w:sz w:val="21"/>
          <w:szCs w:val="21"/>
          <w:highlight w:val="none"/>
          <w:lang w:val="en-US" w:eastAsia="zh-CN"/>
        </w:rPr>
        <w:t>b/</w:t>
      </w:r>
      <w:r>
        <w:rPr>
          <w:rFonts w:hint="eastAsia" w:ascii="微软雅黑" w:hAnsi="微软雅黑"/>
          <w:b w:val="0"/>
          <w:bCs w:val="0"/>
          <w:color w:val="auto"/>
          <w:kern w:val="2"/>
          <w:sz w:val="21"/>
          <w:szCs w:val="21"/>
          <w:highlight w:val="none"/>
          <w:lang w:eastAsia="zh-CN"/>
        </w:rPr>
        <w:t>Ⅱ期试验，旨在研究曲美替尼和</w:t>
      </w:r>
      <w:r>
        <w:rPr>
          <w:rFonts w:hint="eastAsia" w:ascii="微软雅黑" w:hAnsi="微软雅黑"/>
          <w:b w:val="0"/>
          <w:bCs w:val="0"/>
          <w:color w:val="auto"/>
          <w:kern w:val="2"/>
          <w:sz w:val="21"/>
          <w:szCs w:val="21"/>
          <w:highlight w:val="none"/>
          <w:lang w:val="en-US" w:eastAsia="zh-CN"/>
        </w:rPr>
        <w:t>N</w:t>
      </w:r>
      <w:r>
        <w:rPr>
          <w:rFonts w:hint="eastAsia" w:ascii="微软雅黑" w:hAnsi="微软雅黑"/>
          <w:b w:val="0"/>
          <w:bCs w:val="0"/>
          <w:color w:val="auto"/>
          <w:kern w:val="2"/>
          <w:sz w:val="21"/>
          <w:szCs w:val="21"/>
          <w:highlight w:val="none"/>
          <w:lang w:eastAsia="zh-CN"/>
        </w:rPr>
        <w:t>avitoclax用于治疗具有</w:t>
      </w:r>
      <w:r>
        <w:rPr>
          <w:rFonts w:hint="eastAsia" w:ascii="微软雅黑" w:hAnsi="微软雅黑"/>
          <w:b w:val="0"/>
          <w:bCs w:val="0"/>
          <w:color w:val="auto"/>
          <w:kern w:val="2"/>
          <w:sz w:val="21"/>
          <w:szCs w:val="21"/>
          <w:highlight w:val="none"/>
          <w:lang w:val="en-US" w:eastAsia="zh-CN"/>
        </w:rPr>
        <w:t>KRAS或NRAS突变的</w:t>
      </w:r>
      <w:r>
        <w:rPr>
          <w:rFonts w:hint="eastAsia" w:ascii="微软雅黑" w:hAnsi="微软雅黑"/>
          <w:b w:val="0"/>
          <w:bCs w:val="0"/>
          <w:color w:val="auto"/>
          <w:kern w:val="2"/>
          <w:sz w:val="21"/>
          <w:szCs w:val="21"/>
          <w:highlight w:val="none"/>
          <w:lang w:eastAsia="zh-CN"/>
        </w:rPr>
        <w:t>晚期或转移性实体瘤患者，产生的副作用以及最佳剂量。目前该试验正在招募患者</w:t>
      </w:r>
      <w:r>
        <w:rPr>
          <w:rFonts w:hint="eastAsia" w:ascii="微软雅黑" w:hAnsi="微软雅黑"/>
          <w:b w:val="0"/>
          <w:bCs w:val="0"/>
          <w:color w:val="auto"/>
          <w:kern w:val="2"/>
          <w:sz w:val="21"/>
          <w:szCs w:val="21"/>
          <w:highlight w:val="none"/>
          <w:lang w:val="en-US" w:eastAsia="zh-CN"/>
        </w:rPr>
        <w:t>[NCT02079740]</w:t>
      </w:r>
      <w:r>
        <w:rPr>
          <w:rFonts w:hint="eastAsia" w:ascii="微软雅黑" w:hAnsi="微软雅黑"/>
          <w:b w:val="0"/>
          <w:bCs w:val="0"/>
          <w:color w:val="auto"/>
          <w:kern w:val="2"/>
          <w:sz w:val="21"/>
          <w:szCs w:val="21"/>
          <w:highlight w:val="none"/>
          <w:lang w:eastAsia="zh-CN"/>
        </w:rPr>
        <w:t>。</w:t>
      </w:r>
      <w:r>
        <w:rPr>
          <w:rFonts w:hint="eastAsia" w:ascii="微软雅黑" w:hAnsi="微软雅黑"/>
          <w:b w:val="0"/>
          <w:bCs w:val="0"/>
          <w:color w:val="auto"/>
          <w:kern w:val="2"/>
          <w:sz w:val="21"/>
          <w:szCs w:val="21"/>
          <w:highlight w:val="none"/>
          <w:lang w:val="en-US" w:eastAsia="zh-CN"/>
        </w:rPr>
        <w:t>帕尼单抗联合曲美替尼用于</w:t>
      </w:r>
      <w:r>
        <w:rPr>
          <w:rFonts w:hint="eastAsia" w:ascii="微软雅黑" w:hAnsi="微软雅黑"/>
          <w:b w:val="0"/>
          <w:bCs w:val="0"/>
          <w:color w:val="auto"/>
          <w:kern w:val="2"/>
          <w:sz w:val="21"/>
          <w:szCs w:val="21"/>
          <w:highlight w:val="none"/>
          <w:lang w:eastAsia="zh-CN"/>
        </w:rPr>
        <w:t>治疗</w:t>
      </w:r>
      <w:r>
        <w:rPr>
          <w:rFonts w:hint="eastAsia" w:ascii="微软雅黑" w:hAnsi="微软雅黑"/>
          <w:b w:val="0"/>
          <w:bCs w:val="0"/>
          <w:color w:val="auto"/>
          <w:kern w:val="2"/>
          <w:sz w:val="21"/>
          <w:szCs w:val="21"/>
          <w:highlight w:val="none"/>
          <w:lang w:val="en-US" w:eastAsia="zh-CN"/>
        </w:rPr>
        <w:t>具有KRAS/NRAS/BRAF突变的</w:t>
      </w:r>
      <w:r>
        <w:rPr>
          <w:rFonts w:hint="eastAsia" w:ascii="微软雅黑" w:hAnsi="微软雅黑"/>
          <w:b w:val="0"/>
          <w:bCs w:val="0"/>
          <w:color w:val="auto"/>
          <w:kern w:val="2"/>
          <w:sz w:val="21"/>
          <w:szCs w:val="21"/>
          <w:highlight w:val="none"/>
          <w:lang w:eastAsia="zh-CN"/>
        </w:rPr>
        <w:t>IV期结直肠癌患者</w:t>
      </w:r>
      <w:r>
        <w:rPr>
          <w:rFonts w:hint="eastAsia" w:ascii="微软雅黑" w:hAnsi="微软雅黑"/>
          <w:b w:val="0"/>
          <w:bCs w:val="0"/>
          <w:color w:val="auto"/>
          <w:kern w:val="2"/>
          <w:sz w:val="21"/>
          <w:szCs w:val="21"/>
          <w:highlight w:val="none"/>
          <w:lang w:val="en-US" w:eastAsia="zh-CN"/>
        </w:rPr>
        <w:t>的II期临床试验，目前该临床试验状态未知[NCT03087071]。</w:t>
      </w:r>
      <w:r>
        <w:rPr>
          <w:rFonts w:hint="eastAsia" w:ascii="微软雅黑" w:hAnsi="微软雅黑"/>
          <w:b w:val="0"/>
          <w:bCs w:val="0"/>
          <w:color w:val="auto"/>
          <w:kern w:val="2"/>
          <w:sz w:val="21"/>
          <w:szCs w:val="21"/>
          <w:highlight w:val="none"/>
          <w:lang w:eastAsia="zh-CN"/>
        </w:rPr>
        <w:t>体内和体外研究显示，与</w:t>
      </w:r>
      <w:r>
        <w:rPr>
          <w:rFonts w:hint="eastAsia" w:ascii="微软雅黑" w:hAnsi="微软雅黑"/>
          <w:color w:val="auto"/>
          <w:kern w:val="2"/>
          <w:sz w:val="21"/>
          <w:szCs w:val="21"/>
          <w:highlight w:val="none"/>
          <w:lang w:eastAsia="zh-CN"/>
        </w:rPr>
        <w:t>贝美替尼</w:t>
      </w:r>
      <w:r>
        <w:rPr>
          <w:rFonts w:hint="eastAsia" w:ascii="微软雅黑" w:hAnsi="微软雅黑"/>
          <w:b w:val="0"/>
          <w:bCs w:val="0"/>
          <w:color w:val="auto"/>
          <w:kern w:val="2"/>
          <w:sz w:val="21"/>
          <w:szCs w:val="21"/>
          <w:highlight w:val="none"/>
          <w:lang w:eastAsia="zh-CN"/>
        </w:rPr>
        <w:t>或哌柏西利单一疗法相比，</w:t>
      </w:r>
      <w:r>
        <w:rPr>
          <w:rFonts w:hint="eastAsia" w:ascii="微软雅黑" w:hAnsi="微软雅黑"/>
          <w:color w:val="auto"/>
          <w:kern w:val="2"/>
          <w:sz w:val="21"/>
          <w:szCs w:val="21"/>
          <w:highlight w:val="none"/>
          <w:lang w:eastAsia="zh-CN"/>
        </w:rPr>
        <w:t>贝美替尼</w:t>
      </w:r>
      <w:r>
        <w:rPr>
          <w:rFonts w:hint="eastAsia" w:ascii="微软雅黑" w:hAnsi="微软雅黑"/>
          <w:b w:val="0"/>
          <w:bCs w:val="0"/>
          <w:color w:val="auto"/>
          <w:kern w:val="2"/>
          <w:sz w:val="21"/>
          <w:szCs w:val="21"/>
          <w:highlight w:val="none"/>
          <w:lang w:eastAsia="zh-CN"/>
        </w:rPr>
        <w:t>联合哌柏西利对具有</w:t>
      </w:r>
      <w:r>
        <w:rPr>
          <w:rFonts w:hint="eastAsia" w:ascii="微软雅黑" w:hAnsi="微软雅黑"/>
          <w:b w:val="0"/>
          <w:bCs w:val="0"/>
          <w:color w:val="auto"/>
          <w:kern w:val="2"/>
          <w:sz w:val="21"/>
          <w:szCs w:val="21"/>
          <w:highlight w:val="none"/>
          <w:lang w:val="en-US" w:eastAsia="zh-CN"/>
        </w:rPr>
        <w:t>KRAS突变的结直肠癌细胞系和异种移植模型具有显著的疗效[27167191]。</w:t>
      </w:r>
      <w:r>
        <w:rPr>
          <w:rFonts w:hint="eastAsia" w:ascii="微软雅黑" w:hAnsi="微软雅黑"/>
          <w:color w:val="auto"/>
          <w:kern w:val="1"/>
          <w:sz w:val="21"/>
          <w:szCs w:val="21"/>
          <w:highlight w:val="none"/>
          <w:lang w:eastAsia="zh-CN"/>
        </w:rPr>
        <w:t>一项临床Ⅰ期试验，旨在评估</w:t>
      </w:r>
      <w:r>
        <w:rPr>
          <w:rFonts w:hint="eastAsia" w:ascii="微软雅黑" w:hAnsi="微软雅黑" w:cs="微软雅黑"/>
          <w:b w:val="0"/>
          <w:bCs w:val="0"/>
          <w:kern w:val="2"/>
          <w:sz w:val="21"/>
          <w:szCs w:val="24"/>
          <w:highlight w:val="none"/>
          <w:lang w:eastAsia="zh-CN"/>
        </w:rPr>
        <w:t>贝美替尼联合mFOLFIRI</w:t>
      </w:r>
      <w:r>
        <w:rPr>
          <w:rFonts w:hint="eastAsia" w:ascii="微软雅黑" w:hAnsi="微软雅黑"/>
          <w:color w:val="auto"/>
          <w:kern w:val="1"/>
          <w:sz w:val="21"/>
          <w:szCs w:val="21"/>
          <w:highlight w:val="none"/>
        </w:rPr>
        <w:t>用于</w:t>
      </w:r>
      <w:r>
        <w:rPr>
          <w:rFonts w:hint="eastAsia" w:ascii="微软雅黑" w:hAnsi="微软雅黑"/>
          <w:color w:val="auto"/>
          <w:kern w:val="1"/>
          <w:sz w:val="21"/>
          <w:szCs w:val="21"/>
          <w:highlight w:val="none"/>
          <w:lang w:eastAsia="zh-CN"/>
        </w:rPr>
        <w:t>治疗</w:t>
      </w:r>
      <w:r>
        <w:rPr>
          <w:rFonts w:hint="eastAsia" w:ascii="微软雅黑" w:hAnsi="微软雅黑"/>
          <w:color w:val="auto"/>
          <w:kern w:val="1"/>
          <w:sz w:val="21"/>
          <w:szCs w:val="21"/>
          <w:highlight w:val="none"/>
        </w:rPr>
        <w:t>KRAS突变</w:t>
      </w:r>
      <w:r>
        <w:rPr>
          <w:rFonts w:hint="eastAsia" w:ascii="微软雅黑" w:hAnsi="微软雅黑"/>
          <w:color w:val="auto"/>
          <w:kern w:val="1"/>
          <w:sz w:val="21"/>
          <w:szCs w:val="21"/>
          <w:highlight w:val="none"/>
          <w:lang w:eastAsia="zh-CN"/>
        </w:rPr>
        <w:t>阳性</w:t>
      </w:r>
      <w:r>
        <w:rPr>
          <w:rFonts w:hint="eastAsia" w:ascii="微软雅黑" w:hAnsi="微软雅黑"/>
          <w:color w:val="auto"/>
          <w:kern w:val="1"/>
          <w:sz w:val="21"/>
          <w:szCs w:val="21"/>
          <w:highlight w:val="none"/>
        </w:rPr>
        <w:t>的结直肠癌的</w:t>
      </w:r>
      <w:r>
        <w:rPr>
          <w:rFonts w:hint="eastAsia" w:ascii="微软雅黑" w:hAnsi="微软雅黑"/>
          <w:color w:val="auto"/>
          <w:kern w:val="1"/>
          <w:sz w:val="21"/>
          <w:szCs w:val="21"/>
          <w:highlight w:val="none"/>
          <w:lang w:eastAsia="zh-CN"/>
        </w:rPr>
        <w:t>最大耐受剂量、反应率、临床获益率以及安全性，目前该</w:t>
      </w:r>
      <w:r>
        <w:rPr>
          <w:rFonts w:hint="eastAsia" w:ascii="微软雅黑" w:hAnsi="微软雅黑"/>
          <w:color w:val="auto"/>
          <w:kern w:val="1"/>
          <w:sz w:val="21"/>
          <w:szCs w:val="21"/>
          <w:highlight w:val="none"/>
        </w:rPr>
        <w:t>试验正在</w:t>
      </w:r>
      <w:r>
        <w:rPr>
          <w:rFonts w:hint="eastAsia" w:ascii="微软雅黑" w:hAnsi="微软雅黑"/>
          <w:color w:val="auto"/>
          <w:kern w:val="1"/>
          <w:sz w:val="21"/>
          <w:szCs w:val="21"/>
          <w:highlight w:val="none"/>
          <w:lang w:eastAsia="zh-CN"/>
        </w:rPr>
        <w:t>招募患者</w:t>
      </w:r>
      <w:r>
        <w:rPr>
          <w:rFonts w:hint="eastAsia" w:ascii="微软雅黑" w:hAnsi="微软雅黑"/>
          <w:color w:val="auto"/>
          <w:kern w:val="1"/>
          <w:sz w:val="21"/>
          <w:szCs w:val="21"/>
          <w:highlight w:val="none"/>
          <w:lang w:val="en-US" w:eastAsia="zh-CN"/>
        </w:rPr>
        <w:t>[</w:t>
      </w:r>
      <w:r>
        <w:rPr>
          <w:rFonts w:hint="eastAsia" w:ascii="微软雅黑" w:hAnsi="微软雅黑"/>
          <w:color w:val="auto"/>
          <w:kern w:val="1"/>
          <w:sz w:val="21"/>
          <w:szCs w:val="21"/>
          <w:highlight w:val="none"/>
        </w:rPr>
        <w:t>NCT02613650</w:t>
      </w:r>
      <w:r>
        <w:rPr>
          <w:rFonts w:hint="eastAsia" w:ascii="微软雅黑" w:hAnsi="微软雅黑"/>
          <w:color w:val="auto"/>
          <w:kern w:val="1"/>
          <w:sz w:val="21"/>
          <w:szCs w:val="21"/>
          <w:highlight w:val="none"/>
          <w:lang w:val="en-US" w:eastAsia="zh-CN"/>
        </w:rPr>
        <w:t>]</w:t>
      </w:r>
      <w:r>
        <w:rPr>
          <w:rFonts w:hint="eastAsia" w:ascii="微软雅黑" w:hAnsi="微软雅黑"/>
          <w:color w:val="auto"/>
          <w:kern w:val="1"/>
          <w:sz w:val="21"/>
          <w:szCs w:val="21"/>
          <w:highlight w:val="none"/>
        </w:rPr>
        <w:t>。</w:t>
      </w:r>
      <w:r>
        <w:rPr>
          <w:rFonts w:hint="eastAsia" w:ascii="微软雅黑" w:hAnsi="微软雅黑"/>
          <w:color w:val="auto"/>
          <w:kern w:val="1"/>
          <w:sz w:val="21"/>
          <w:szCs w:val="21"/>
          <w:highlight w:val="none"/>
          <w:lang w:val="en-US" w:eastAsia="zh-CN"/>
        </w:rPr>
        <w:t>一项II期临床试验，旨在评估</w:t>
      </w:r>
      <w:r>
        <w:rPr>
          <w:rFonts w:hint="eastAsia" w:ascii="微软雅黑" w:hAnsi="微软雅黑"/>
          <w:color w:val="auto"/>
          <w:kern w:val="2"/>
          <w:sz w:val="21"/>
          <w:szCs w:val="21"/>
          <w:highlight w:val="none"/>
          <w:lang w:eastAsia="zh-CN"/>
        </w:rPr>
        <w:t>贝美替尼</w:t>
      </w:r>
      <w:r>
        <w:rPr>
          <w:rFonts w:hint="eastAsia" w:ascii="微软雅黑" w:hAnsi="微软雅黑"/>
          <w:b w:val="0"/>
          <w:bCs w:val="0"/>
          <w:color w:val="auto"/>
          <w:kern w:val="2"/>
          <w:sz w:val="21"/>
          <w:szCs w:val="21"/>
          <w:highlight w:val="none"/>
          <w:lang w:eastAsia="zh-CN"/>
        </w:rPr>
        <w:t>联合哌柏西利</w:t>
      </w:r>
      <w:r>
        <w:rPr>
          <w:rFonts w:hint="eastAsia" w:ascii="微软雅黑" w:hAnsi="微软雅黑"/>
          <w:b w:val="0"/>
          <w:bCs w:val="0"/>
          <w:color w:val="auto"/>
          <w:kern w:val="2"/>
          <w:sz w:val="21"/>
          <w:szCs w:val="21"/>
          <w:highlight w:val="none"/>
          <w:lang w:val="en-US" w:eastAsia="zh-CN"/>
        </w:rPr>
        <w:t>用于治疗携带KRAS/NRAS突变的结直肠癌患者有效性，该试验正在开展，不招募患者[NCT03981614]。</w:t>
      </w:r>
      <w:r>
        <w:rPr>
          <w:rFonts w:hint="eastAsia" w:ascii="微软雅黑" w:hAnsi="微软雅黑"/>
          <w:color w:val="auto"/>
          <w:kern w:val="1"/>
          <w:sz w:val="21"/>
          <w:szCs w:val="21"/>
          <w:highlight w:val="none"/>
          <w:lang w:eastAsia="zh-CN"/>
        </w:rPr>
        <w:t>BI 1701963单药以及BI 1701963与曲美替尼联合用于治疗具有</w:t>
      </w:r>
      <w:r>
        <w:rPr>
          <w:rFonts w:hint="eastAsia" w:ascii="微软雅黑" w:hAnsi="微软雅黑"/>
          <w:color w:val="auto"/>
          <w:kern w:val="1"/>
          <w:sz w:val="21"/>
          <w:szCs w:val="21"/>
          <w:highlight w:val="none"/>
          <w:lang w:val="en-US" w:eastAsia="zh-CN"/>
        </w:rPr>
        <w:t>KRAS突变的不同类型的晚期实体瘤的</w:t>
      </w:r>
      <w:r>
        <w:rPr>
          <w:rFonts w:hint="eastAsia" w:ascii="微软雅黑" w:hAnsi="微软雅黑"/>
          <w:color w:val="auto"/>
          <w:kern w:val="1"/>
          <w:sz w:val="21"/>
          <w:szCs w:val="21"/>
          <w:highlight w:val="none"/>
          <w:lang w:eastAsia="zh-CN"/>
        </w:rPr>
        <w:t>临床Ⅰ期试验</w:t>
      </w:r>
      <w:r>
        <w:rPr>
          <w:rFonts w:hint="eastAsia" w:ascii="微软雅黑" w:hAnsi="微软雅黑"/>
          <w:b w:val="0"/>
          <w:bCs w:val="0"/>
          <w:color w:val="auto"/>
          <w:kern w:val="2"/>
          <w:sz w:val="21"/>
          <w:szCs w:val="21"/>
          <w:highlight w:val="none"/>
          <w:lang w:val="en-US" w:eastAsia="zh-CN"/>
        </w:rPr>
        <w:t>正在开展，不招募患者</w:t>
      </w:r>
      <w:r>
        <w:rPr>
          <w:rFonts w:hint="eastAsia" w:ascii="微软雅黑" w:hAnsi="微软雅黑"/>
          <w:color w:val="auto"/>
          <w:kern w:val="1"/>
          <w:sz w:val="21"/>
          <w:szCs w:val="21"/>
          <w:highlight w:val="none"/>
          <w:lang w:val="en-US" w:eastAsia="zh-CN"/>
        </w:rPr>
        <w:t>[NCT04111458]</w:t>
      </w:r>
      <w:r>
        <w:rPr>
          <w:rFonts w:hint="eastAsia" w:ascii="微软雅黑" w:hAnsi="微软雅黑"/>
          <w:color w:val="auto"/>
          <w:kern w:val="1"/>
          <w:sz w:val="21"/>
          <w:szCs w:val="21"/>
          <w:highlight w:val="none"/>
          <w:lang w:eastAsia="zh-CN"/>
        </w:rPr>
        <w:t>。奈拉替尼联合曲美替尼用于治疗携带KRAS突变的晚期或转移性实体瘤患者的疗效、安全性和耐受性的Ⅰ</w:t>
      </w:r>
      <w:r>
        <w:rPr>
          <w:rFonts w:hint="eastAsia" w:ascii="微软雅黑" w:hAnsi="微软雅黑"/>
          <w:b w:val="0"/>
          <w:bCs w:val="0"/>
          <w:color w:val="auto"/>
          <w:kern w:val="2"/>
          <w:sz w:val="21"/>
          <w:szCs w:val="21"/>
          <w:highlight w:val="none"/>
          <w:lang w:eastAsia="zh-CN"/>
        </w:rPr>
        <w:t>期试验</w:t>
      </w:r>
      <w:r>
        <w:rPr>
          <w:rFonts w:hint="eastAsia" w:ascii="微软雅黑" w:hAnsi="微软雅黑"/>
          <w:color w:val="auto"/>
          <w:kern w:val="1"/>
          <w:sz w:val="21"/>
          <w:szCs w:val="21"/>
          <w:highlight w:val="none"/>
          <w:lang w:eastAsia="zh-CN"/>
        </w:rPr>
        <w:t>正在招募中</w:t>
      </w:r>
      <w:r>
        <w:rPr>
          <w:rFonts w:hint="eastAsia" w:ascii="微软雅黑" w:hAnsi="微软雅黑"/>
          <w:color w:val="auto"/>
          <w:kern w:val="1"/>
          <w:sz w:val="21"/>
          <w:szCs w:val="21"/>
          <w:highlight w:val="none"/>
          <w:lang w:val="en-US" w:eastAsia="zh-CN"/>
        </w:rPr>
        <w:t>[NCT03065387]。</w:t>
      </w:r>
      <w:r>
        <w:rPr>
          <w:rFonts w:hint="eastAsia" w:ascii="微软雅黑" w:hAnsi="微软雅黑"/>
          <w:color w:val="auto"/>
          <w:kern w:val="1"/>
          <w:sz w:val="21"/>
          <w:szCs w:val="21"/>
          <w:highlight w:val="none"/>
          <w:lang w:eastAsia="zh-CN"/>
        </w:rPr>
        <w:t>福巴替尼联合贝美替尼用于治疗携带KRAS突变的晚期肿瘤患者疗效的Ⅰb/Ⅱ</w:t>
      </w:r>
      <w:r>
        <w:rPr>
          <w:rFonts w:hint="eastAsia" w:ascii="微软雅黑" w:hAnsi="微软雅黑"/>
          <w:b w:val="0"/>
          <w:bCs w:val="0"/>
          <w:color w:val="auto"/>
          <w:kern w:val="2"/>
          <w:sz w:val="21"/>
          <w:szCs w:val="21"/>
          <w:highlight w:val="none"/>
          <w:lang w:eastAsia="zh-CN"/>
        </w:rPr>
        <w:t>期试验</w:t>
      </w:r>
      <w:r>
        <w:rPr>
          <w:rFonts w:hint="eastAsia" w:ascii="微软雅黑" w:hAnsi="微软雅黑"/>
          <w:color w:val="auto"/>
          <w:kern w:val="1"/>
          <w:sz w:val="21"/>
          <w:szCs w:val="21"/>
          <w:highlight w:val="none"/>
          <w:lang w:eastAsia="zh-CN"/>
        </w:rPr>
        <w:t>正在招募中</w:t>
      </w:r>
      <w:r>
        <w:rPr>
          <w:rFonts w:hint="eastAsia" w:ascii="微软雅黑" w:hAnsi="微软雅黑"/>
          <w:color w:val="auto"/>
          <w:kern w:val="1"/>
          <w:sz w:val="21"/>
          <w:szCs w:val="21"/>
          <w:highlight w:val="none"/>
          <w:lang w:val="en-US" w:eastAsia="zh-CN"/>
        </w:rPr>
        <w:t>[NCT04965818]</w:t>
      </w:r>
      <w:r>
        <w:rPr>
          <w:rFonts w:hint="eastAsia" w:ascii="微软雅黑" w:hAnsi="微软雅黑"/>
          <w:color w:val="auto"/>
          <w:kern w:val="1"/>
          <w:sz w:val="21"/>
          <w:szCs w:val="21"/>
          <w:highlight w:val="none"/>
          <w:lang w:eastAsia="zh-CN"/>
        </w:rPr>
        <w:t>。</w:t>
      </w:r>
    </w:p>
    <w:p w14:paraId="22D875B9">
      <w:pPr>
        <w:numPr>
          <w:ilvl w:val="0"/>
          <w:numId w:val="13"/>
        </w:numPr>
        <w:spacing w:before="200" w:beforeLines="0" w:afterLines="0"/>
        <w:ind w:left="420" w:leftChars="0" w:hanging="420" w:firstLineChars="0"/>
        <w:jc w:val="both"/>
        <w:rPr>
          <w:rFonts w:hint="eastAsia" w:ascii="微软雅黑" w:hAnsi="微软雅黑" w:eastAsia="微软雅黑" w:cs="微软雅黑"/>
          <w:b/>
          <w:bCs/>
          <w:color w:val="auto"/>
          <w:sz w:val="24"/>
          <w:szCs w:val="24"/>
          <w:highlight w:val="none"/>
          <w:u w:val="none"/>
          <w:lang w:val="en-US" w:eastAsia="zh-CN"/>
        </w:rPr>
      </w:pPr>
      <w:r>
        <w:rPr>
          <w:rFonts w:hint="eastAsia" w:ascii="微软雅黑" w:hAnsi="微软雅黑" w:cs="微软雅黑"/>
          <w:b/>
          <w:bCs/>
          <w:color w:val="0000FF"/>
          <w:kern w:val="0"/>
          <w:sz w:val="24"/>
          <w:szCs w:val="24"/>
          <w:highlight w:val="none"/>
          <w:u w:val="single"/>
          <w:lang w:eastAsia="zh-CN"/>
        </w:rPr>
        <w:fldChar w:fldCharType="begin"/>
      </w:r>
      <w:r>
        <w:rPr>
          <w:rFonts w:hint="eastAsia" w:ascii="微软雅黑" w:hAnsi="微软雅黑" w:cs="微软雅黑"/>
          <w:b/>
          <w:bCs/>
          <w:color w:val="0000FF"/>
          <w:kern w:val="0"/>
          <w:sz w:val="24"/>
          <w:szCs w:val="24"/>
          <w:highlight w:val="none"/>
          <w:u w:val="single"/>
          <w:lang w:eastAsia="zh-CN"/>
        </w:rPr>
        <w:instrText xml:space="preserve"> HYPERLINK \l "重要基因变异及潜在靶向药物信息" </w:instrText>
      </w:r>
      <w:r>
        <w:rPr>
          <w:rFonts w:hint="eastAsia" w:ascii="微软雅黑" w:hAnsi="微软雅黑" w:cs="微软雅黑"/>
          <w:b/>
          <w:bCs/>
          <w:color w:val="0000FF"/>
          <w:kern w:val="0"/>
          <w:sz w:val="24"/>
          <w:szCs w:val="24"/>
          <w:highlight w:val="none"/>
          <w:u w:val="single"/>
          <w:lang w:eastAsia="zh-CN"/>
        </w:rPr>
        <w:fldChar w:fldCharType="separate"/>
      </w:r>
      <w:r>
        <w:rPr>
          <w:rStyle w:val="21"/>
          <w:rFonts w:hint="eastAsia" w:ascii="微软雅黑" w:hAnsi="微软雅黑" w:cs="微软雅黑"/>
          <w:b/>
          <w:bCs/>
          <w:color w:val="0000FF"/>
          <w:kern w:val="0"/>
          <w:sz w:val="24"/>
          <w:szCs w:val="24"/>
          <w:highlight w:val="none"/>
          <w:u w:val="single"/>
          <w:lang w:eastAsia="zh-CN"/>
        </w:rPr>
        <w:t>司美替尼（Selumetinib）、PD0325901</w:t>
      </w:r>
      <w:r>
        <w:rPr>
          <w:rFonts w:hint="eastAsia" w:ascii="微软雅黑" w:hAnsi="微软雅黑" w:cs="微软雅黑"/>
          <w:b/>
          <w:bCs/>
          <w:color w:val="0000FF"/>
          <w:kern w:val="0"/>
          <w:sz w:val="24"/>
          <w:szCs w:val="24"/>
          <w:highlight w:val="none"/>
          <w:u w:val="single"/>
          <w:lang w:eastAsia="zh-CN"/>
        </w:rPr>
        <w:fldChar w:fldCharType="end"/>
      </w:r>
      <w:r>
        <w:rPr>
          <w:rFonts w:hint="eastAsia" w:ascii="微软雅黑" w:hAnsi="微软雅黑" w:cs="微软雅黑"/>
          <w:b/>
          <w:bCs/>
          <w:color w:val="0000FF"/>
          <w:kern w:val="0"/>
          <w:sz w:val="24"/>
          <w:szCs w:val="24"/>
          <w:highlight w:val="none"/>
          <w:u w:val="single"/>
          <w:lang w:eastAsia="zh-CN"/>
        </w:rPr>
        <w:t>、</w:t>
      </w:r>
      <w:r>
        <w:rPr>
          <w:rStyle w:val="21"/>
          <w:rFonts w:hint="eastAsia" w:ascii="微软雅黑" w:hAnsi="微软雅黑" w:cs="微软雅黑"/>
          <w:b/>
          <w:bCs/>
          <w:color w:val="0000FF"/>
          <w:kern w:val="0"/>
          <w:sz w:val="24"/>
          <w:szCs w:val="24"/>
          <w:highlight w:val="none"/>
          <w:u w:val="single"/>
          <w:lang w:eastAsia="zh-CN"/>
        </w:rPr>
        <w:t>PD0325901</w:t>
      </w:r>
      <w:r>
        <w:rPr>
          <w:rStyle w:val="21"/>
          <w:rFonts w:hint="eastAsia" w:ascii="微软雅黑" w:hAnsi="微软雅黑" w:cs="微软雅黑"/>
          <w:b/>
          <w:bCs/>
          <w:color w:val="0000FF"/>
          <w:kern w:val="0"/>
          <w:sz w:val="24"/>
          <w:szCs w:val="24"/>
          <w:highlight w:val="none"/>
          <w:u w:val="single"/>
          <w:lang w:val="en-US" w:eastAsia="zh-CN"/>
        </w:rPr>
        <w:t>+哌柏西利</w:t>
      </w:r>
      <w:r>
        <w:rPr>
          <w:rStyle w:val="21"/>
          <w:rFonts w:hint="eastAsia" w:ascii="微软雅黑" w:hAnsi="微软雅黑" w:cs="微软雅黑"/>
          <w:b/>
          <w:bCs/>
          <w:color w:val="0000FF"/>
          <w:kern w:val="0"/>
          <w:sz w:val="24"/>
          <w:szCs w:val="24"/>
          <w:highlight w:val="none"/>
          <w:u w:val="single"/>
          <w:lang w:eastAsia="zh-CN"/>
        </w:rPr>
        <w:t>（</w:t>
      </w:r>
      <w:r>
        <w:rPr>
          <w:rStyle w:val="21"/>
          <w:rFonts w:hint="eastAsia" w:ascii="微软雅黑" w:hAnsi="微软雅黑" w:cs="微软雅黑"/>
          <w:b/>
          <w:bCs/>
          <w:color w:val="0000FF"/>
          <w:kern w:val="0"/>
          <w:sz w:val="24"/>
          <w:szCs w:val="24"/>
          <w:highlight w:val="none"/>
          <w:u w:val="single"/>
          <w:lang w:val="en-US" w:eastAsia="zh-CN"/>
        </w:rPr>
        <w:t>Palbociclib</w:t>
      </w:r>
      <w:r>
        <w:rPr>
          <w:rStyle w:val="21"/>
          <w:rFonts w:hint="eastAsia" w:ascii="微软雅黑" w:hAnsi="微软雅黑" w:cs="微软雅黑"/>
          <w:b/>
          <w:bCs/>
          <w:color w:val="0000FF"/>
          <w:kern w:val="0"/>
          <w:sz w:val="24"/>
          <w:szCs w:val="24"/>
          <w:highlight w:val="none"/>
          <w:u w:val="single"/>
          <w:lang w:eastAsia="zh-CN"/>
        </w:rPr>
        <w:t>）</w:t>
      </w:r>
    </w:p>
    <w:p w14:paraId="5674B73E">
      <w:pPr>
        <w:spacing w:after="0"/>
        <w:jc w:val="both"/>
        <w:rPr>
          <w:rFonts w:hint="eastAsia"/>
          <w:b/>
          <w:bCs/>
          <w:kern w:val="2"/>
          <w:highlight w:val="none"/>
          <w:lang w:eastAsia="zh-CN"/>
        </w:rPr>
      </w:pPr>
      <w:r>
        <w:rPr>
          <w:rFonts w:hint="eastAsia"/>
          <w:b/>
          <w:bCs/>
          <w:kern w:val="2"/>
          <w:highlight w:val="none"/>
          <w:lang w:eastAsia="zh-CN"/>
        </w:rPr>
        <w:t>基因变异与药物关联分析：</w:t>
      </w:r>
    </w:p>
    <w:p w14:paraId="489EA61D">
      <w:pPr>
        <w:spacing w:after="0"/>
        <w:ind w:firstLine="420" w:firstLineChars="200"/>
        <w:jc w:val="both"/>
        <w:outlineLvl w:val="9"/>
        <w:rPr>
          <w:rFonts w:hint="eastAsia" w:ascii="微软雅黑" w:hAnsi="微软雅黑"/>
          <w:color w:val="auto"/>
          <w:kern w:val="1"/>
          <w:sz w:val="21"/>
          <w:szCs w:val="21"/>
          <w:highlight w:val="none"/>
          <w:lang w:eastAsia="zh-CN"/>
        </w:rPr>
      </w:pPr>
      <w:r>
        <w:rPr>
          <w:rFonts w:hint="eastAsia" w:ascii="微软雅黑" w:hAnsi="微软雅黑" w:eastAsia="微软雅黑" w:cs="Arial Unicode MS"/>
          <w:color w:val="auto"/>
          <w:kern w:val="2"/>
          <w:sz w:val="21"/>
          <w:szCs w:val="21"/>
          <w:highlight w:val="none"/>
          <w:lang w:val="en-US" w:eastAsia="zh-CN"/>
        </w:rPr>
        <w:t>该样本检出KRAS基因</w:t>
      </w:r>
      <w:r>
        <w:rPr>
          <w:rFonts w:hint="eastAsia" w:ascii="微软雅黑" w:hAnsi="微软雅黑" w:cs="微软雅黑"/>
          <w:sz w:val="21"/>
          <w:lang w:eastAsia="zh-CN"/>
        </w:rPr>
        <w:t>c.34G&gt;A</w:t>
      </w:r>
      <w:r>
        <w:rPr>
          <w:rFonts w:hint="eastAsia" w:ascii="微软雅黑" w:hAnsi="微软雅黑" w:cs="微软雅黑"/>
          <w:sz w:val="21"/>
        </w:rPr>
        <w:t>，</w:t>
      </w:r>
      <w:r>
        <w:rPr>
          <w:rFonts w:hint="eastAsia" w:ascii="微软雅黑" w:hAnsi="微软雅黑" w:cs="微软雅黑"/>
          <w:sz w:val="21"/>
          <w:lang w:eastAsia="zh-CN"/>
        </w:rPr>
        <w:t>p.G12S</w:t>
      </w:r>
      <w:r>
        <w:rPr>
          <w:rFonts w:hint="eastAsia" w:ascii="微软雅黑" w:hAnsi="微软雅黑" w:eastAsia="微软雅黑" w:cs="Arial Unicode MS"/>
          <w:color w:val="auto"/>
          <w:kern w:val="2"/>
          <w:sz w:val="21"/>
          <w:szCs w:val="21"/>
          <w:highlight w:val="none"/>
          <w:lang w:val="en-US" w:eastAsia="zh-CN"/>
        </w:rPr>
        <w:t>错义突变，为已知激活突变，对蛋白功能有重要影响。</w:t>
      </w:r>
      <w:r>
        <w:rPr>
          <w:rFonts w:hint="eastAsia" w:ascii="微软雅黑" w:hAnsi="微软雅黑" w:cs="Arial Unicode MS"/>
          <w:b w:val="0"/>
          <w:bCs/>
          <w:color w:val="auto"/>
          <w:kern w:val="2"/>
          <w:sz w:val="21"/>
          <w:szCs w:val="21"/>
          <w:highlight w:val="none"/>
          <w:lang w:eastAsia="zh-CN"/>
        </w:rPr>
        <w:t>携带该突变的肿瘤患者可能从RAS/RAF</w:t>
      </w:r>
      <w:r>
        <w:rPr>
          <w:rFonts w:hint="eastAsia" w:ascii="微软雅黑" w:hAnsi="微软雅黑"/>
          <w:color w:val="auto"/>
          <w:kern w:val="1"/>
          <w:sz w:val="21"/>
          <w:szCs w:val="21"/>
          <w:highlight w:val="none"/>
        </w:rPr>
        <w:t>/MEK/ERK信号通路</w:t>
      </w:r>
      <w:r>
        <w:rPr>
          <w:rFonts w:hint="eastAsia" w:ascii="微软雅黑" w:hAnsi="微软雅黑"/>
          <w:color w:val="auto"/>
          <w:kern w:val="1"/>
          <w:sz w:val="21"/>
          <w:szCs w:val="21"/>
          <w:highlight w:val="none"/>
          <w:lang w:eastAsia="zh-CN"/>
        </w:rPr>
        <w:t>的</w:t>
      </w:r>
      <w:r>
        <w:rPr>
          <w:rFonts w:hint="eastAsia" w:ascii="微软雅黑" w:hAnsi="微软雅黑"/>
          <w:color w:val="auto"/>
          <w:kern w:val="1"/>
          <w:sz w:val="21"/>
          <w:szCs w:val="21"/>
          <w:highlight w:val="none"/>
        </w:rPr>
        <w:t>下游MEK1/2激酶</w:t>
      </w:r>
      <w:r>
        <w:rPr>
          <w:rFonts w:hint="eastAsia" w:ascii="微软雅黑" w:hAnsi="微软雅黑"/>
          <w:color w:val="auto"/>
          <w:kern w:val="1"/>
          <w:sz w:val="21"/>
          <w:szCs w:val="21"/>
          <w:highlight w:val="none"/>
          <w:lang w:eastAsia="zh-CN"/>
        </w:rPr>
        <w:t>抑制剂获益。</w:t>
      </w:r>
      <w:r>
        <w:rPr>
          <w:rFonts w:hint="eastAsia" w:ascii="微软雅黑" w:hAnsi="微软雅黑"/>
          <w:color w:val="auto"/>
          <w:kern w:val="1"/>
          <w:sz w:val="21"/>
          <w:szCs w:val="21"/>
          <w:highlight w:val="none"/>
        </w:rPr>
        <w:t>司美替尼是一种小分子抑制剂，可抑制</w:t>
      </w:r>
      <w:r>
        <w:rPr>
          <w:rFonts w:hint="eastAsia" w:ascii="微软雅黑" w:hAnsi="微软雅黑"/>
          <w:color w:val="auto"/>
          <w:kern w:val="1"/>
          <w:sz w:val="21"/>
          <w:szCs w:val="21"/>
          <w:highlight w:val="none"/>
          <w:lang w:val="en-US" w:eastAsia="zh-CN"/>
        </w:rPr>
        <w:t>KRAS/NRAS/BRAF</w:t>
      </w:r>
      <w:r>
        <w:rPr>
          <w:rFonts w:hint="eastAsia" w:ascii="微软雅黑" w:hAnsi="微软雅黑"/>
          <w:color w:val="auto"/>
          <w:kern w:val="1"/>
          <w:sz w:val="21"/>
          <w:szCs w:val="21"/>
          <w:highlight w:val="none"/>
        </w:rPr>
        <w:t>信号通路下游MEK1/2的激酶活性，对携带</w:t>
      </w:r>
      <w:r>
        <w:rPr>
          <w:rFonts w:hint="eastAsia" w:ascii="微软雅黑" w:hAnsi="微软雅黑"/>
          <w:color w:val="auto"/>
          <w:kern w:val="1"/>
          <w:sz w:val="21"/>
          <w:szCs w:val="21"/>
          <w:highlight w:val="none"/>
          <w:lang w:val="en-US" w:eastAsia="zh-CN"/>
        </w:rPr>
        <w:t>KRAS/NRAS/BRAF</w:t>
      </w:r>
      <w:r>
        <w:rPr>
          <w:rFonts w:hint="eastAsia" w:ascii="微软雅黑" w:hAnsi="微软雅黑"/>
          <w:color w:val="auto"/>
          <w:kern w:val="1"/>
          <w:sz w:val="21"/>
          <w:szCs w:val="21"/>
          <w:highlight w:val="none"/>
        </w:rPr>
        <w:t>信号通路异常激活的肿瘤特别有效。</w:t>
      </w:r>
      <w:r>
        <w:rPr>
          <w:rFonts w:hint="eastAsia" w:ascii="微软雅黑" w:hAnsi="微软雅黑"/>
          <w:color w:val="auto"/>
          <w:kern w:val="1"/>
          <w:sz w:val="21"/>
          <w:szCs w:val="21"/>
          <w:highlight w:val="none"/>
          <w:lang w:val="en-US" w:eastAsia="zh-CN"/>
        </w:rPr>
        <w:t>FDA和NMPA批准司美替尼用于治疗1型神经纤维瘤。</w:t>
      </w:r>
      <w:r>
        <w:rPr>
          <w:rFonts w:hint="eastAsia" w:ascii="微软雅黑" w:hAnsi="微软雅黑"/>
          <w:color w:val="auto"/>
          <w:kern w:val="1"/>
          <w:sz w:val="21"/>
          <w:szCs w:val="21"/>
          <w:highlight w:val="none"/>
          <w:lang w:eastAsia="zh-CN"/>
        </w:rPr>
        <w:t>哌柏西利是一种</w:t>
      </w:r>
      <w:r>
        <w:rPr>
          <w:rFonts w:hint="eastAsia" w:ascii="微软雅黑" w:hAnsi="微软雅黑"/>
          <w:color w:val="auto"/>
          <w:kern w:val="1"/>
          <w:sz w:val="21"/>
          <w:szCs w:val="21"/>
          <w:highlight w:val="none"/>
          <w:lang w:val="en-US" w:eastAsia="zh-CN"/>
        </w:rPr>
        <w:t>CDK4/6抑制剂，已获FDA和NMPA批准用于治疗乳腺癌。</w:t>
      </w:r>
      <w:r>
        <w:rPr>
          <w:rFonts w:hint="eastAsia" w:ascii="微软雅黑" w:hAnsi="微软雅黑"/>
          <w:color w:val="auto"/>
          <w:kern w:val="1"/>
          <w:sz w:val="21"/>
          <w:szCs w:val="21"/>
          <w:highlight w:val="none"/>
        </w:rPr>
        <w:t>PD0325901是MEK1/2的抑制剂，正在开展临床试验。</w:t>
      </w:r>
    </w:p>
    <w:p w14:paraId="0643E36C">
      <w:pPr>
        <w:spacing w:after="0"/>
        <w:ind w:firstLine="0" w:firstLineChars="0"/>
        <w:jc w:val="both"/>
        <w:outlineLvl w:val="9"/>
        <w:rPr>
          <w:rFonts w:hint="eastAsia" w:ascii="微软雅黑" w:hAnsi="微软雅黑"/>
          <w:color w:val="auto"/>
          <w:kern w:val="1"/>
          <w:sz w:val="21"/>
          <w:szCs w:val="21"/>
          <w:highlight w:val="none"/>
        </w:rPr>
      </w:pPr>
      <w:r>
        <w:rPr>
          <w:rFonts w:hint="eastAsia"/>
          <w:b/>
          <w:bCs/>
          <w:kern w:val="2"/>
          <w:highlight w:val="none"/>
          <w:lang w:eastAsia="zh-CN"/>
        </w:rPr>
        <w:t>药物疗效临床解析：</w:t>
      </w:r>
    </w:p>
    <w:p w14:paraId="43E636DA">
      <w:pPr>
        <w:keepNext w:val="0"/>
        <w:keepLines w:val="0"/>
        <w:pageBreakBefore w:val="0"/>
        <w:widowControl/>
        <w:numPr>
          <w:ilvl w:val="0"/>
          <w:numId w:val="0"/>
        </w:numPr>
        <w:kinsoku/>
        <w:wordWrap/>
        <w:overflowPunct/>
        <w:topLinePunct w:val="0"/>
        <w:autoSpaceDE/>
        <w:autoSpaceDN/>
        <w:bidi w:val="0"/>
        <w:adjustRightInd w:val="0"/>
        <w:snapToGrid w:val="0"/>
        <w:spacing w:before="0" w:after="0" w:line="240" w:lineRule="auto"/>
        <w:ind w:left="0" w:leftChars="0" w:right="0" w:rightChars="0" w:firstLine="420" w:firstLineChars="200"/>
        <w:jc w:val="both"/>
        <w:textAlignment w:val="auto"/>
        <w:outlineLvl w:val="9"/>
        <w:rPr>
          <w:rFonts w:hint="eastAsia" w:ascii="微软雅黑" w:hAnsi="微软雅黑"/>
          <w:color w:val="auto"/>
          <w:kern w:val="1"/>
          <w:sz w:val="21"/>
          <w:szCs w:val="21"/>
          <w:highlight w:val="none"/>
          <w:lang w:eastAsia="zh-CN"/>
        </w:rPr>
      </w:pPr>
      <w:r>
        <w:rPr>
          <w:rFonts w:hint="eastAsia" w:ascii="微软雅黑" w:hAnsi="微软雅黑"/>
          <w:color w:val="auto"/>
          <w:kern w:val="1"/>
          <w:sz w:val="21"/>
          <w:szCs w:val="21"/>
          <w:highlight w:val="none"/>
          <w:lang w:eastAsia="zh-CN"/>
        </w:rPr>
        <w:t>有实验研究表明，司美替尼对于KRAS突变阳性的直肠癌细胞系生长有明显的抑制作用，而对于KARS野生型的直肠癌细胞系生长无明显的抑制作用</w:t>
      </w:r>
      <w:r>
        <w:rPr>
          <w:rFonts w:hint="eastAsia" w:ascii="微软雅黑" w:hAnsi="微软雅黑"/>
          <w:color w:val="auto"/>
          <w:kern w:val="1"/>
          <w:sz w:val="21"/>
          <w:szCs w:val="21"/>
          <w:highlight w:val="none"/>
          <w:lang w:val="en-US" w:eastAsia="zh-CN"/>
        </w:rPr>
        <w:t>[</w:t>
      </w:r>
      <w:r>
        <w:rPr>
          <w:rFonts w:hint="eastAsia" w:ascii="微软雅黑" w:hAnsi="微软雅黑"/>
          <w:color w:val="auto"/>
          <w:kern w:val="1"/>
          <w:sz w:val="21"/>
          <w:szCs w:val="21"/>
          <w:highlight w:val="none"/>
          <w:lang w:eastAsia="zh-CN"/>
        </w:rPr>
        <w:t>24170544</w:t>
      </w:r>
      <w:r>
        <w:rPr>
          <w:rFonts w:hint="eastAsia" w:ascii="微软雅黑" w:hAnsi="微软雅黑"/>
          <w:color w:val="auto"/>
          <w:kern w:val="1"/>
          <w:sz w:val="21"/>
          <w:szCs w:val="21"/>
          <w:highlight w:val="none"/>
          <w:lang w:val="en-US" w:eastAsia="zh-CN"/>
        </w:rPr>
        <w:t>]</w:t>
      </w:r>
      <w:r>
        <w:rPr>
          <w:rFonts w:hint="eastAsia" w:ascii="微软雅黑" w:hAnsi="微软雅黑"/>
          <w:color w:val="auto"/>
          <w:kern w:val="1"/>
          <w:sz w:val="21"/>
          <w:szCs w:val="21"/>
          <w:highlight w:val="none"/>
          <w:lang w:eastAsia="zh-CN"/>
        </w:rPr>
        <w:t>。在KRAS突变的</w:t>
      </w:r>
      <w:r>
        <w:rPr>
          <w:rFonts w:hint="eastAsia" w:ascii="微软雅黑" w:hAnsi="微软雅黑"/>
          <w:color w:val="auto"/>
          <w:kern w:val="1"/>
          <w:sz w:val="21"/>
          <w:szCs w:val="21"/>
          <w:highlight w:val="none"/>
          <w:lang w:val="en-US" w:eastAsia="zh-CN"/>
        </w:rPr>
        <w:t>结直肠癌</w:t>
      </w:r>
      <w:r>
        <w:rPr>
          <w:rFonts w:hint="eastAsia" w:ascii="微软雅黑" w:hAnsi="微软雅黑"/>
          <w:color w:val="auto"/>
          <w:kern w:val="1"/>
          <w:sz w:val="21"/>
          <w:szCs w:val="21"/>
          <w:highlight w:val="none"/>
          <w:lang w:eastAsia="zh-CN"/>
        </w:rPr>
        <w:t>剂量扩增队列的I期</w:t>
      </w:r>
      <w:r>
        <w:rPr>
          <w:rFonts w:hint="eastAsia" w:ascii="微软雅黑" w:hAnsi="微软雅黑"/>
          <w:color w:val="auto"/>
          <w:kern w:val="1"/>
          <w:sz w:val="21"/>
          <w:szCs w:val="21"/>
          <w:highlight w:val="none"/>
          <w:lang w:val="en-US" w:eastAsia="zh-CN"/>
        </w:rPr>
        <w:t>临床试验</w:t>
      </w:r>
      <w:r>
        <w:rPr>
          <w:rFonts w:hint="eastAsia" w:ascii="微软雅黑" w:hAnsi="微软雅黑"/>
          <w:color w:val="auto"/>
          <w:kern w:val="1"/>
          <w:sz w:val="21"/>
          <w:szCs w:val="21"/>
          <w:highlight w:val="none"/>
          <w:lang w:eastAsia="zh-CN"/>
        </w:rPr>
        <w:t>中，司美替尼最大耐受剂量为75mg p.o.BID联合每周西妥昔单抗250mg/m2，后期400mg/m2 剂量。14 例患者响应，5例患者SD，9例疾病进展[26666244]。一项临床</w:t>
      </w:r>
      <w:r>
        <w:rPr>
          <w:rFonts w:hint="eastAsia" w:ascii="微软雅黑" w:hAnsi="微软雅黑"/>
          <w:color w:val="auto"/>
          <w:kern w:val="1"/>
          <w:sz w:val="21"/>
          <w:szCs w:val="21"/>
          <w:highlight w:val="none"/>
          <w:lang w:val="en-US" w:eastAsia="zh-CN"/>
        </w:rPr>
        <w:t>I/II</w:t>
      </w:r>
      <w:r>
        <w:rPr>
          <w:rFonts w:hint="eastAsia" w:ascii="微软雅黑" w:hAnsi="微软雅黑"/>
          <w:color w:val="auto"/>
          <w:kern w:val="1"/>
          <w:sz w:val="21"/>
          <w:szCs w:val="21"/>
          <w:highlight w:val="none"/>
          <w:lang w:eastAsia="zh-CN"/>
        </w:rPr>
        <w:t>期试验，32位携带KRAS突变的结直肠癌患者接受奥沙利铂和贝伐珠单抗的治疗后接受司美替尼和伊立替康的联合治疗。在临床I期试验中，确定了最佳剂量。有</w:t>
      </w:r>
      <w:r>
        <w:rPr>
          <w:rFonts w:hint="eastAsia" w:ascii="微软雅黑" w:hAnsi="微软雅黑"/>
          <w:color w:val="auto"/>
          <w:kern w:val="1"/>
          <w:sz w:val="21"/>
          <w:szCs w:val="21"/>
          <w:highlight w:val="none"/>
          <w:lang w:val="en-US" w:eastAsia="zh-CN"/>
        </w:rPr>
        <w:t>3</w:t>
      </w:r>
      <w:r>
        <w:rPr>
          <w:rFonts w:hint="eastAsia" w:ascii="微软雅黑" w:hAnsi="微软雅黑"/>
          <w:color w:val="auto"/>
          <w:kern w:val="1"/>
          <w:sz w:val="21"/>
          <w:szCs w:val="21"/>
          <w:highlight w:val="none"/>
          <w:lang w:eastAsia="zh-CN"/>
        </w:rPr>
        <w:t>位患者（9.7%）具有部分应答，16位患者（51.6%）疾病稳定时间≥4周，其中3位超过一年。该临床试验提前终止，即便如此，试验结果中的中位无进展生存期和响应率良好，表明MEK抑制剂与其它靶向药物或细胞毒性药物的联合应用能提高对转移性结直肠癌患者治疗的临床意义</w:t>
      </w:r>
      <w:r>
        <w:rPr>
          <w:rFonts w:hint="eastAsia" w:ascii="微软雅黑" w:hAnsi="微软雅黑"/>
          <w:color w:val="auto"/>
          <w:kern w:val="1"/>
          <w:sz w:val="21"/>
          <w:szCs w:val="21"/>
          <w:highlight w:val="none"/>
          <w:lang w:val="en-US" w:eastAsia="zh-CN"/>
        </w:rPr>
        <w:t>[</w:t>
      </w:r>
      <w:r>
        <w:rPr>
          <w:rFonts w:hint="eastAsia" w:ascii="微软雅黑" w:hAnsi="微软雅黑"/>
          <w:color w:val="auto"/>
          <w:kern w:val="1"/>
          <w:sz w:val="21"/>
          <w:szCs w:val="21"/>
          <w:highlight w:val="none"/>
          <w:lang w:eastAsia="zh-CN"/>
        </w:rPr>
        <w:t>25322874</w:t>
      </w:r>
      <w:r>
        <w:rPr>
          <w:rFonts w:hint="eastAsia" w:ascii="微软雅黑" w:hAnsi="微软雅黑"/>
          <w:color w:val="auto"/>
          <w:kern w:val="1"/>
          <w:sz w:val="21"/>
          <w:szCs w:val="21"/>
          <w:highlight w:val="none"/>
          <w:lang w:val="en-US" w:eastAsia="zh-CN"/>
        </w:rPr>
        <w:t>]</w:t>
      </w:r>
      <w:r>
        <w:rPr>
          <w:rFonts w:hint="eastAsia" w:ascii="微软雅黑" w:hAnsi="微软雅黑"/>
          <w:color w:val="auto"/>
          <w:kern w:val="1"/>
          <w:sz w:val="21"/>
          <w:szCs w:val="21"/>
          <w:highlight w:val="none"/>
          <w:lang w:eastAsia="zh-CN"/>
        </w:rPr>
        <w:t>。</w:t>
      </w:r>
    </w:p>
    <w:p w14:paraId="717DC756">
      <w:pPr>
        <w:keepNext w:val="0"/>
        <w:keepLines w:val="0"/>
        <w:pageBreakBefore w:val="0"/>
        <w:widowControl/>
        <w:kinsoku/>
        <w:wordWrap/>
        <w:overflowPunct/>
        <w:topLinePunct w:val="0"/>
        <w:autoSpaceDE/>
        <w:autoSpaceDN/>
        <w:bidi w:val="0"/>
        <w:adjustRightInd w:val="0"/>
        <w:snapToGrid w:val="0"/>
        <w:spacing w:before="0" w:beforeLines="-2147483648" w:after="0" w:afterLines="-2147483648"/>
        <w:ind w:firstLine="420" w:firstLineChars="200"/>
        <w:jc w:val="both"/>
        <w:textAlignment w:val="auto"/>
        <w:outlineLvl w:val="9"/>
        <w:rPr>
          <w:rFonts w:hint="eastAsia" w:ascii="微软雅黑" w:hAnsi="微软雅黑" w:eastAsia="微软雅黑" w:cs="Arial Unicode MS"/>
          <w:kern w:val="2"/>
          <w:sz w:val="21"/>
          <w:szCs w:val="21"/>
          <w:highlight w:val="none"/>
          <w:lang w:val="en-US" w:eastAsia="zh-CN"/>
        </w:rPr>
      </w:pPr>
      <w:r>
        <w:rPr>
          <w:rFonts w:hint="eastAsia" w:ascii="微软雅黑" w:hAnsi="微软雅黑"/>
          <w:color w:val="auto"/>
          <w:kern w:val="1"/>
          <w:sz w:val="21"/>
          <w:szCs w:val="21"/>
          <w:highlight w:val="none"/>
          <w:lang w:eastAsia="zh-CN"/>
        </w:rPr>
        <w:t>体外研究显示，具有KRAS突变的细胞系对PD0325901敏感</w:t>
      </w:r>
      <w:r>
        <w:rPr>
          <w:rFonts w:hint="eastAsia" w:ascii="微软雅黑" w:hAnsi="微软雅黑"/>
          <w:color w:val="auto"/>
          <w:kern w:val="1"/>
          <w:sz w:val="21"/>
          <w:szCs w:val="21"/>
          <w:highlight w:val="none"/>
          <w:lang w:val="en-US" w:eastAsia="zh-CN"/>
        </w:rPr>
        <w:t>[</w:t>
      </w:r>
      <w:r>
        <w:rPr>
          <w:rFonts w:hint="eastAsia" w:ascii="微软雅黑" w:hAnsi="微软雅黑"/>
          <w:color w:val="auto"/>
          <w:kern w:val="1"/>
          <w:sz w:val="21"/>
          <w:szCs w:val="21"/>
          <w:highlight w:val="none"/>
          <w:lang w:eastAsia="zh-CN"/>
        </w:rPr>
        <w:t>19401449</w:t>
      </w:r>
      <w:r>
        <w:rPr>
          <w:rFonts w:hint="eastAsia" w:ascii="微软雅黑" w:hAnsi="微软雅黑"/>
          <w:color w:val="auto"/>
          <w:kern w:val="1"/>
          <w:sz w:val="21"/>
          <w:szCs w:val="21"/>
          <w:highlight w:val="none"/>
          <w:lang w:val="en-US" w:eastAsia="zh-CN"/>
        </w:rPr>
        <w:t>，</w:t>
      </w:r>
      <w:r>
        <w:rPr>
          <w:rFonts w:hint="eastAsia" w:ascii="微软雅黑" w:hAnsi="微软雅黑"/>
          <w:color w:val="auto"/>
          <w:kern w:val="1"/>
          <w:sz w:val="21"/>
          <w:szCs w:val="21"/>
          <w:highlight w:val="none"/>
          <w:lang w:eastAsia="zh-CN"/>
        </w:rPr>
        <w:t>21451123</w:t>
      </w:r>
      <w:r>
        <w:rPr>
          <w:rFonts w:hint="eastAsia" w:ascii="微软雅黑" w:hAnsi="微软雅黑"/>
          <w:color w:val="auto"/>
          <w:kern w:val="1"/>
          <w:sz w:val="21"/>
          <w:szCs w:val="21"/>
          <w:highlight w:val="none"/>
          <w:lang w:val="en-US" w:eastAsia="zh-CN"/>
        </w:rPr>
        <w:t>]</w:t>
      </w:r>
      <w:r>
        <w:rPr>
          <w:rFonts w:hint="eastAsia" w:ascii="微软雅黑" w:hAnsi="微软雅黑"/>
          <w:color w:val="auto"/>
          <w:kern w:val="1"/>
          <w:sz w:val="21"/>
          <w:szCs w:val="21"/>
          <w:highlight w:val="none"/>
          <w:lang w:eastAsia="zh-CN"/>
        </w:rPr>
        <w:t>。另有结直肠癌小鼠模型研究显示，NVP-BKM120联合PD-0325901可诱导PIK3CA野生型KRAS突变的肿瘤退缩</w:t>
      </w:r>
      <w:r>
        <w:rPr>
          <w:rFonts w:hint="eastAsia" w:ascii="微软雅黑" w:hAnsi="微软雅黑"/>
          <w:color w:val="auto"/>
          <w:kern w:val="1"/>
          <w:sz w:val="21"/>
          <w:szCs w:val="21"/>
          <w:highlight w:val="none"/>
          <w:lang w:val="en-US" w:eastAsia="zh-CN"/>
        </w:rPr>
        <w:t>[</w:t>
      </w:r>
      <w:r>
        <w:rPr>
          <w:rFonts w:hint="eastAsia" w:ascii="微软雅黑" w:hAnsi="微软雅黑"/>
          <w:color w:val="auto"/>
          <w:kern w:val="1"/>
          <w:sz w:val="21"/>
          <w:szCs w:val="21"/>
          <w:highlight w:val="none"/>
          <w:lang w:eastAsia="zh-CN"/>
        </w:rPr>
        <w:t>24576621</w:t>
      </w:r>
      <w:r>
        <w:rPr>
          <w:rFonts w:hint="eastAsia" w:ascii="微软雅黑" w:hAnsi="微软雅黑"/>
          <w:color w:val="auto"/>
          <w:kern w:val="1"/>
          <w:sz w:val="21"/>
          <w:szCs w:val="21"/>
          <w:highlight w:val="none"/>
          <w:lang w:val="en-US" w:eastAsia="zh-CN"/>
        </w:rPr>
        <w:t>]</w:t>
      </w:r>
      <w:r>
        <w:rPr>
          <w:rFonts w:hint="eastAsia" w:ascii="微软雅黑" w:hAnsi="微软雅黑"/>
          <w:color w:val="auto"/>
          <w:kern w:val="1"/>
          <w:sz w:val="21"/>
          <w:szCs w:val="21"/>
          <w:highlight w:val="none"/>
          <w:lang w:eastAsia="zh-CN"/>
        </w:rPr>
        <w:t>。PD0325901用于实体瘤患者临床Ⅰ期研究显示，在58名可评估的患者中，3名黑色素瘤患者局部缓解，23名患者疾病稳定，包括21名黑色素瘤、2名肺癌</w:t>
      </w:r>
      <w:r>
        <w:rPr>
          <w:rFonts w:hint="eastAsia" w:ascii="微软雅黑" w:hAnsi="微软雅黑"/>
          <w:color w:val="auto"/>
          <w:kern w:val="1"/>
          <w:sz w:val="21"/>
          <w:szCs w:val="21"/>
          <w:highlight w:val="none"/>
          <w:lang w:val="en-US" w:eastAsia="zh-CN"/>
        </w:rPr>
        <w:t>[</w:t>
      </w:r>
      <w:r>
        <w:rPr>
          <w:rFonts w:hint="eastAsia" w:ascii="微软雅黑" w:hAnsi="微软雅黑"/>
          <w:color w:val="auto"/>
          <w:kern w:val="1"/>
          <w:sz w:val="21"/>
          <w:szCs w:val="21"/>
          <w:highlight w:val="none"/>
          <w:lang w:eastAsia="zh-CN"/>
        </w:rPr>
        <w:t>20215549</w:t>
      </w:r>
      <w:r>
        <w:rPr>
          <w:rFonts w:hint="eastAsia" w:ascii="微软雅黑" w:hAnsi="微软雅黑"/>
          <w:color w:val="auto"/>
          <w:kern w:val="1"/>
          <w:sz w:val="21"/>
          <w:szCs w:val="21"/>
          <w:highlight w:val="none"/>
          <w:lang w:val="en-US" w:eastAsia="zh-CN"/>
        </w:rPr>
        <w:t>]</w:t>
      </w:r>
      <w:r>
        <w:rPr>
          <w:rFonts w:hint="eastAsia" w:ascii="微软雅黑" w:hAnsi="微软雅黑"/>
          <w:color w:val="auto"/>
          <w:kern w:val="1"/>
          <w:sz w:val="21"/>
          <w:szCs w:val="21"/>
          <w:highlight w:val="none"/>
          <w:lang w:eastAsia="zh-CN"/>
        </w:rPr>
        <w:t>。</w:t>
      </w:r>
      <w:r>
        <w:rPr>
          <w:rFonts w:hint="eastAsia" w:ascii="微软雅黑" w:hAnsi="微软雅黑"/>
          <w:color w:val="auto"/>
          <w:kern w:val="1"/>
          <w:sz w:val="21"/>
          <w:szCs w:val="21"/>
          <w:highlight w:val="none"/>
          <w:lang w:val="en-US" w:eastAsia="zh-CN"/>
        </w:rPr>
        <w:t>一项I/II期临床试验，旨在评估</w:t>
      </w:r>
      <w:r>
        <w:rPr>
          <w:rFonts w:hint="eastAsia" w:ascii="微软雅黑" w:hAnsi="微软雅黑"/>
          <w:color w:val="auto"/>
          <w:kern w:val="1"/>
          <w:sz w:val="21"/>
          <w:szCs w:val="21"/>
          <w:highlight w:val="none"/>
          <w:lang w:eastAsia="zh-CN"/>
        </w:rPr>
        <w:t>PD0325901</w:t>
      </w:r>
      <w:r>
        <w:rPr>
          <w:rFonts w:hint="eastAsia" w:ascii="微软雅黑" w:hAnsi="微软雅黑"/>
          <w:color w:val="auto"/>
          <w:kern w:val="1"/>
          <w:sz w:val="21"/>
          <w:szCs w:val="21"/>
          <w:highlight w:val="none"/>
          <w:lang w:val="en-US" w:eastAsia="zh-CN"/>
        </w:rPr>
        <w:t>联合哌柏西利用于治疗携带KRAS突变的实体瘤的安全性和有效性，该试验正在进行中，不招募患者[</w:t>
      </w:r>
      <w:r>
        <w:rPr>
          <w:rFonts w:hint="eastAsia" w:ascii="微软雅黑" w:hAnsi="微软雅黑"/>
          <w:color w:val="auto"/>
          <w:kern w:val="1"/>
          <w:sz w:val="21"/>
          <w:szCs w:val="21"/>
          <w:highlight w:val="none"/>
          <w:lang w:eastAsia="zh-CN"/>
        </w:rPr>
        <w:t>NCT02022982</w:t>
      </w:r>
      <w:r>
        <w:rPr>
          <w:rFonts w:hint="eastAsia" w:ascii="微软雅黑" w:hAnsi="微软雅黑"/>
          <w:color w:val="auto"/>
          <w:kern w:val="1"/>
          <w:sz w:val="21"/>
          <w:szCs w:val="21"/>
          <w:highlight w:val="none"/>
          <w:lang w:val="en-US" w:eastAsia="zh-CN"/>
        </w:rPr>
        <w:t>]。</w:t>
      </w:r>
    </w:p>
    <w:p w14:paraId="118D290B">
      <w:pPr>
        <w:keepNext w:val="0"/>
        <w:keepLines w:val="0"/>
        <w:pageBreakBefore w:val="0"/>
        <w:widowControl/>
        <w:numPr>
          <w:ilvl w:val="0"/>
          <w:numId w:val="13"/>
        </w:numPr>
        <w:kinsoku/>
        <w:wordWrap/>
        <w:overflowPunct/>
        <w:topLinePunct w:val="0"/>
        <w:autoSpaceDE/>
        <w:autoSpaceDN/>
        <w:bidi w:val="0"/>
        <w:adjustRightInd w:val="0"/>
        <w:snapToGrid w:val="0"/>
        <w:spacing w:before="200" w:after="200" w:line="240" w:lineRule="auto"/>
        <w:ind w:left="420" w:leftChars="0" w:right="0" w:rightChars="0" w:hanging="420" w:firstLineChars="0"/>
        <w:jc w:val="both"/>
        <w:textAlignment w:val="auto"/>
        <w:outlineLvl w:val="9"/>
        <w:rPr>
          <w:rFonts w:hint="eastAsia" w:ascii="微软雅黑" w:hAnsi="微软雅黑" w:eastAsia="微软雅黑" w:cs="微软雅黑"/>
          <w:b/>
          <w:bCs/>
          <w:color w:val="auto"/>
          <w:sz w:val="24"/>
          <w:szCs w:val="24"/>
          <w:highlight w:val="none"/>
          <w:u w:val="none"/>
          <w:lang w:val="en-US" w:eastAsia="zh-CN"/>
        </w:rPr>
      </w:pPr>
      <w:r>
        <w:rPr>
          <w:rFonts w:hint="eastAsia" w:ascii="微软雅黑" w:hAnsi="微软雅黑" w:eastAsia="微软雅黑" w:cs="微软雅黑"/>
          <w:b/>
          <w:bCs/>
          <w:color w:val="0000FF"/>
          <w:kern w:val="0"/>
          <w:sz w:val="24"/>
          <w:szCs w:val="24"/>
          <w:highlight w:val="none"/>
          <w:u w:val="single"/>
        </w:rPr>
        <w:fldChar w:fldCharType="begin"/>
      </w:r>
      <w:r>
        <w:rPr>
          <w:rFonts w:hint="eastAsia" w:ascii="微软雅黑" w:hAnsi="微软雅黑" w:eastAsia="微软雅黑" w:cs="微软雅黑"/>
          <w:b/>
          <w:bCs/>
          <w:color w:val="0000FF"/>
          <w:kern w:val="0"/>
          <w:sz w:val="24"/>
          <w:szCs w:val="24"/>
          <w:highlight w:val="none"/>
          <w:u w:val="single"/>
        </w:rPr>
        <w:instrText xml:space="preserve"> HYPERLINK \l "重要基因变异及潜在靶向药物信息" </w:instrText>
      </w:r>
      <w:r>
        <w:rPr>
          <w:rFonts w:hint="eastAsia" w:ascii="微软雅黑" w:hAnsi="微软雅黑" w:eastAsia="微软雅黑" w:cs="微软雅黑"/>
          <w:b/>
          <w:bCs/>
          <w:color w:val="0000FF"/>
          <w:kern w:val="0"/>
          <w:sz w:val="24"/>
          <w:szCs w:val="24"/>
          <w:highlight w:val="none"/>
          <w:u w:val="single"/>
        </w:rPr>
        <w:fldChar w:fldCharType="separate"/>
      </w:r>
      <w:r>
        <w:rPr>
          <w:rFonts w:hint="eastAsia" w:ascii="微软雅黑" w:hAnsi="微软雅黑" w:cs="微软雅黑"/>
          <w:b/>
          <w:bCs/>
          <w:color w:val="0000FF"/>
          <w:sz w:val="24"/>
          <w:szCs w:val="24"/>
          <w:highlight w:val="none"/>
          <w:u w:val="single"/>
          <w:lang w:eastAsia="zh-CN"/>
        </w:rPr>
        <w:t>Defactinib+Avutometinib、依维莫司（Everolimus）</w:t>
      </w:r>
      <w:r>
        <w:rPr>
          <w:rFonts w:hint="eastAsia" w:ascii="微软雅黑" w:hAnsi="微软雅黑" w:cs="微软雅黑"/>
          <w:b/>
          <w:bCs/>
          <w:color w:val="0000FF"/>
          <w:sz w:val="24"/>
          <w:szCs w:val="24"/>
          <w:highlight w:val="none"/>
          <w:u w:val="single"/>
          <w:lang w:val="en-US" w:eastAsia="zh-CN"/>
        </w:rPr>
        <w:t>+</w:t>
      </w:r>
      <w:r>
        <w:rPr>
          <w:rFonts w:hint="eastAsia" w:ascii="微软雅黑" w:hAnsi="微软雅黑" w:cs="微软雅黑"/>
          <w:b/>
          <w:bCs/>
          <w:color w:val="0000FF"/>
          <w:sz w:val="24"/>
          <w:szCs w:val="24"/>
          <w:highlight w:val="none"/>
          <w:u w:val="single"/>
          <w:lang w:eastAsia="zh-CN"/>
        </w:rPr>
        <w:t>Avutometinib</w:t>
      </w:r>
      <w:r>
        <w:rPr>
          <w:rFonts w:hint="eastAsia" w:ascii="微软雅黑" w:hAnsi="微软雅黑" w:eastAsia="微软雅黑" w:cs="微软雅黑"/>
          <w:b/>
          <w:bCs/>
          <w:color w:val="0000FF"/>
          <w:kern w:val="0"/>
          <w:sz w:val="24"/>
          <w:szCs w:val="24"/>
          <w:highlight w:val="none"/>
          <w:u w:val="single"/>
        </w:rPr>
        <w:fldChar w:fldCharType="end"/>
      </w:r>
      <w:r>
        <w:rPr>
          <w:rFonts w:hint="eastAsia" w:ascii="微软雅黑" w:hAnsi="微软雅黑" w:cs="微软雅黑"/>
          <w:b/>
          <w:bCs/>
          <w:color w:val="0000FF"/>
          <w:kern w:val="0"/>
          <w:sz w:val="24"/>
          <w:szCs w:val="24"/>
          <w:highlight w:val="none"/>
          <w:u w:val="single"/>
          <w:lang w:eastAsia="zh-CN"/>
        </w:rPr>
        <w:t>、RMC-6236</w:t>
      </w:r>
    </w:p>
    <w:p w14:paraId="4DF2F53F">
      <w:pPr>
        <w:spacing w:beforeLines="0" w:after="0" w:afterLines="0"/>
        <w:jc w:val="both"/>
        <w:outlineLvl w:val="9"/>
        <w:rPr>
          <w:rFonts w:hint="eastAsia"/>
          <w:b/>
          <w:bCs/>
          <w:kern w:val="2"/>
          <w:highlight w:val="none"/>
          <w:lang w:eastAsia="zh-CN"/>
        </w:rPr>
      </w:pPr>
      <w:r>
        <w:rPr>
          <w:rFonts w:hint="eastAsia"/>
          <w:b/>
          <w:bCs/>
          <w:kern w:val="2"/>
          <w:highlight w:val="none"/>
          <w:lang w:eastAsia="zh-CN"/>
        </w:rPr>
        <w:t>基因变异与药物关联分析：</w:t>
      </w:r>
    </w:p>
    <w:p w14:paraId="204CA7FE">
      <w:pPr>
        <w:spacing w:beforeLines="0" w:after="0" w:afterLines="0"/>
        <w:ind w:firstLine="420" w:firstLineChars="200"/>
        <w:jc w:val="both"/>
        <w:outlineLvl w:val="9"/>
        <w:rPr>
          <w:rFonts w:hint="default" w:ascii="微软雅黑" w:hAnsi="微软雅黑"/>
          <w:color w:val="auto"/>
          <w:kern w:val="1"/>
          <w:sz w:val="21"/>
          <w:szCs w:val="21"/>
          <w:highlight w:val="none"/>
          <w:lang w:val="en-US"/>
        </w:rPr>
      </w:pPr>
      <w:r>
        <w:rPr>
          <w:rFonts w:hint="eastAsia" w:ascii="微软雅黑" w:hAnsi="微软雅黑" w:eastAsia="微软雅黑" w:cs="Arial Unicode MS"/>
          <w:color w:val="auto"/>
          <w:kern w:val="2"/>
          <w:sz w:val="21"/>
          <w:szCs w:val="21"/>
          <w:highlight w:val="none"/>
          <w:lang w:val="en-US" w:eastAsia="zh-CN"/>
        </w:rPr>
        <w:t>该样本检出KRAS基因</w:t>
      </w:r>
      <w:r>
        <w:rPr>
          <w:rFonts w:hint="eastAsia" w:ascii="微软雅黑" w:hAnsi="微软雅黑" w:cs="微软雅黑"/>
          <w:sz w:val="21"/>
          <w:lang w:eastAsia="zh-CN"/>
        </w:rPr>
        <w:t>c.34G&gt;A</w:t>
      </w:r>
      <w:r>
        <w:rPr>
          <w:rFonts w:hint="eastAsia" w:ascii="微软雅黑" w:hAnsi="微软雅黑" w:cs="微软雅黑"/>
          <w:sz w:val="21"/>
        </w:rPr>
        <w:t>，</w:t>
      </w:r>
      <w:r>
        <w:rPr>
          <w:rFonts w:hint="eastAsia" w:ascii="微软雅黑" w:hAnsi="微软雅黑" w:cs="微软雅黑"/>
          <w:sz w:val="21"/>
          <w:lang w:eastAsia="zh-CN"/>
        </w:rPr>
        <w:t>p.G12S</w:t>
      </w:r>
      <w:r>
        <w:rPr>
          <w:rFonts w:hint="eastAsia" w:ascii="微软雅黑" w:hAnsi="微软雅黑" w:eastAsia="微软雅黑" w:cs="Arial Unicode MS"/>
          <w:color w:val="auto"/>
          <w:kern w:val="2"/>
          <w:sz w:val="21"/>
          <w:szCs w:val="21"/>
          <w:highlight w:val="none"/>
          <w:lang w:val="en-US" w:eastAsia="zh-CN"/>
        </w:rPr>
        <w:t>错义突变，为已知激活突变，对蛋白功能有重要影响。</w:t>
      </w:r>
      <w:r>
        <w:rPr>
          <w:rFonts w:hint="eastAsia" w:ascii="微软雅黑" w:hAnsi="微软雅黑" w:cs="Arial Unicode MS"/>
          <w:b w:val="0"/>
          <w:bCs/>
          <w:color w:val="auto"/>
          <w:kern w:val="2"/>
          <w:sz w:val="21"/>
          <w:szCs w:val="21"/>
          <w:highlight w:val="none"/>
          <w:lang w:eastAsia="zh-CN"/>
        </w:rPr>
        <w:t>携带该突变的肿瘤患者可能从RAS/RAF</w:t>
      </w:r>
      <w:r>
        <w:rPr>
          <w:rFonts w:hint="eastAsia" w:ascii="微软雅黑" w:hAnsi="微软雅黑"/>
          <w:color w:val="auto"/>
          <w:kern w:val="1"/>
          <w:sz w:val="21"/>
          <w:szCs w:val="21"/>
          <w:highlight w:val="none"/>
        </w:rPr>
        <w:t>/MEK/ERK信号通路</w:t>
      </w:r>
      <w:r>
        <w:rPr>
          <w:rFonts w:hint="eastAsia" w:ascii="微软雅黑" w:hAnsi="微软雅黑"/>
          <w:color w:val="auto"/>
          <w:kern w:val="1"/>
          <w:sz w:val="21"/>
          <w:szCs w:val="21"/>
          <w:highlight w:val="none"/>
          <w:lang w:eastAsia="zh-CN"/>
        </w:rPr>
        <w:t>的</w:t>
      </w:r>
      <w:r>
        <w:rPr>
          <w:rFonts w:hint="eastAsia" w:ascii="微软雅黑" w:hAnsi="微软雅黑"/>
          <w:color w:val="auto"/>
          <w:kern w:val="1"/>
          <w:sz w:val="21"/>
          <w:szCs w:val="21"/>
          <w:highlight w:val="none"/>
        </w:rPr>
        <w:t>下游MEK1/2激酶</w:t>
      </w:r>
      <w:r>
        <w:rPr>
          <w:rFonts w:hint="eastAsia" w:ascii="微软雅黑" w:hAnsi="微软雅黑"/>
          <w:color w:val="auto"/>
          <w:kern w:val="1"/>
          <w:sz w:val="21"/>
          <w:szCs w:val="21"/>
          <w:highlight w:val="none"/>
          <w:lang w:eastAsia="zh-CN"/>
        </w:rPr>
        <w:t>抑制剂获益。</w:t>
      </w:r>
      <w:r>
        <w:rPr>
          <w:rFonts w:hint="eastAsia" w:ascii="微软雅黑" w:hAnsi="微软雅黑" w:cs="Arial Unicode MS"/>
          <w:color w:val="000000" w:themeColor="text1"/>
          <w:kern w:val="2"/>
          <w:sz w:val="21"/>
          <w:szCs w:val="21"/>
          <w14:textFill>
            <w14:solidFill>
              <w14:schemeClr w14:val="tx1"/>
            </w14:solidFill>
          </w14:textFill>
        </w:rPr>
        <w:t>Defactinib是一种FAK抑制剂</w:t>
      </w:r>
      <w:r>
        <w:rPr>
          <w:rFonts w:hint="eastAsia" w:ascii="微软雅黑" w:hAnsi="微软雅黑" w:cs="Arial Unicode MS"/>
          <w:color w:val="000000" w:themeColor="text1"/>
          <w:kern w:val="2"/>
          <w:sz w:val="21"/>
          <w:szCs w:val="21"/>
          <w:lang w:eastAsia="zh-CN"/>
          <w14:textFill>
            <w14:solidFill>
              <w14:schemeClr w14:val="tx1"/>
            </w14:solidFill>
          </w14:textFill>
        </w:rPr>
        <w:t>，Avutometinib</w:t>
      </w:r>
      <w:r>
        <w:rPr>
          <w:rFonts w:hint="eastAsia" w:ascii="微软雅黑" w:hAnsi="微软雅黑" w:cs="Arial Unicode MS"/>
          <w:color w:val="000000" w:themeColor="text1"/>
          <w:kern w:val="2"/>
          <w:sz w:val="21"/>
          <w:szCs w:val="21"/>
          <w14:textFill>
            <w14:solidFill>
              <w14:schemeClr w14:val="tx1"/>
            </w14:solidFill>
          </w14:textFill>
        </w:rPr>
        <w:t>又称RO5126766，是一种新型MEK-pan-RAF抑制剂，</w:t>
      </w:r>
      <w:r>
        <w:rPr>
          <w:rFonts w:hint="eastAsia" w:ascii="微软雅黑" w:hAnsi="微软雅黑" w:cs="Times New Roman"/>
          <w:b w:val="0"/>
          <w:bCs w:val="0"/>
          <w:color w:val="auto"/>
          <w:kern w:val="2"/>
          <w:sz w:val="21"/>
          <w:szCs w:val="21"/>
          <w:highlight w:val="none"/>
          <w:lang w:val="en-US" w:eastAsia="zh-CN"/>
        </w:rPr>
        <w:t>FDA加速批准了Avutometinib联合Defactinib用于治疗既往接受过系统治疗的KRAS突变的复发性低级别浆液性卵巢癌（LGSOC）成人患者。</w:t>
      </w:r>
      <w:r>
        <w:rPr>
          <w:rFonts w:hint="eastAsia" w:ascii="微软雅黑" w:hAnsi="微软雅黑" w:cs="微软雅黑"/>
          <w:sz w:val="21"/>
          <w:szCs w:val="21"/>
          <w:highlight w:val="none"/>
          <w:lang w:val="en-US" w:eastAsia="zh-CN"/>
        </w:rPr>
        <w:t>FDA已批准依维莫司用于治疗肾细胞癌、乳腺癌等，同时NMPA批准用于治疗肾细胞癌、室管膜下巨细胞型星形细胞瘤。</w:t>
      </w:r>
      <w:r>
        <w:rPr>
          <w:rFonts w:hint="eastAsia" w:ascii="微软雅黑" w:hAnsi="微软雅黑" w:cs="Times New Roman"/>
          <w:b w:val="0"/>
          <w:bCs w:val="0"/>
          <w:color w:val="auto"/>
          <w:kern w:val="2"/>
          <w:sz w:val="21"/>
          <w:szCs w:val="21"/>
          <w:highlight w:val="none"/>
          <w:lang w:val="en-US" w:eastAsia="zh-CN"/>
        </w:rPr>
        <w:t>RMC-6236是一种泛KRAS抑制剂，目前处于临床期。</w:t>
      </w:r>
    </w:p>
    <w:p w14:paraId="742B958F">
      <w:pPr>
        <w:spacing w:after="0"/>
        <w:jc w:val="both"/>
        <w:outlineLvl w:val="9"/>
        <w:rPr>
          <w:rFonts w:hint="eastAsia"/>
          <w:b/>
          <w:bCs/>
          <w:kern w:val="2"/>
          <w:highlight w:val="none"/>
          <w:lang w:eastAsia="zh-CN"/>
        </w:rPr>
      </w:pPr>
      <w:r>
        <w:rPr>
          <w:rFonts w:hint="eastAsia"/>
          <w:b/>
          <w:bCs/>
          <w:kern w:val="2"/>
          <w:highlight w:val="none"/>
          <w:lang w:eastAsia="zh-CN"/>
        </w:rPr>
        <w:t>药物疗效临床解析：</w:t>
      </w:r>
    </w:p>
    <w:p w14:paraId="41317366">
      <w:pPr>
        <w:numPr>
          <w:ilvl w:val="-1"/>
          <w:numId w:val="0"/>
        </w:numPr>
        <w:pBdr>
          <w:top w:val="none" w:color="auto" w:sz="0" w:space="0"/>
          <w:left w:val="none" w:color="auto" w:sz="0" w:space="0"/>
          <w:bottom w:val="none" w:color="auto" w:sz="0" w:space="0"/>
          <w:right w:val="none" w:color="auto" w:sz="0" w:space="0"/>
        </w:pBdr>
        <w:shd w:val="clear"/>
        <w:adjustRightInd/>
        <w:snapToGrid/>
        <w:spacing w:before="0" w:beforeLines="0" w:after="0" w:afterLines="0" w:line="240" w:lineRule="auto"/>
        <w:ind w:firstLine="420" w:firstLineChars="200"/>
        <w:jc w:val="both"/>
        <w:outlineLvl w:val="9"/>
        <w:rPr>
          <w:rFonts w:ascii="微软雅黑" w:hAnsi="微软雅黑" w:cs="微软雅黑"/>
          <w:color w:val="FF0000"/>
          <w:kern w:val="1"/>
          <w:sz w:val="21"/>
          <w:szCs w:val="21"/>
        </w:rPr>
      </w:pPr>
      <w:r>
        <w:rPr>
          <w:rFonts w:hint="eastAsia" w:ascii="微软雅黑" w:hAnsi="微软雅黑" w:cs="Times New Roman"/>
          <w:bCs/>
          <w:color w:val="auto"/>
          <w:kern w:val="2"/>
          <w:sz w:val="21"/>
          <w:szCs w:val="21"/>
          <w:lang w:val="en-US" w:eastAsia="zh-CN"/>
        </w:rPr>
        <w:t>一项Defactinib联合Avutometinib用于治疗携带KRAS基因突变在晚期实体瘤患者中疗效的I期临床试验正在招募中[NCT03875820]。</w:t>
      </w:r>
      <w:r>
        <w:rPr>
          <w:rFonts w:hint="eastAsia" w:ascii="微软雅黑" w:hAnsi="微软雅黑" w:cs="Times New Roman"/>
          <w:bCs/>
          <w:color w:val="auto"/>
          <w:kern w:val="2"/>
          <w:sz w:val="21"/>
          <w:szCs w:val="21"/>
          <w:highlight w:val="none"/>
          <w:lang w:val="en-US" w:eastAsia="zh-CN"/>
        </w:rPr>
        <w:t>一项Avutometinib（VS-6766）联合Defactinib用于治疗KRAS突变复发性低级别浆液性卵巢癌（LGSOC）成人患者的II期临床试验正在进行中[NCT04625270]。</w:t>
      </w:r>
      <w:r>
        <w:rPr>
          <w:rFonts w:hint="eastAsia" w:ascii="微软雅黑" w:hAnsi="微软雅黑" w:cs="Times New Roman"/>
          <w:bCs/>
          <w:color w:val="auto"/>
          <w:kern w:val="2"/>
          <w:sz w:val="21"/>
          <w:szCs w:val="21"/>
          <w:lang w:val="en-US" w:eastAsia="zh-CN"/>
        </w:rPr>
        <w:t>一项依维莫司联合Avutometinib用于治疗携带KRAS基因突变的在实体瘤或多发性骨髓瘤患者的I期临床试验正在招募患者[NCT02407509]。</w:t>
      </w:r>
      <w:r>
        <w:rPr>
          <w:rFonts w:hint="eastAsia" w:ascii="微软雅黑" w:hAnsi="微软雅黑" w:cs="Times New Roman"/>
          <w:bCs/>
          <w:color w:val="auto"/>
          <w:kern w:val="2"/>
          <w:sz w:val="21"/>
          <w:szCs w:val="21"/>
          <w:highlight w:val="none"/>
          <w:lang w:val="en-US" w:eastAsia="zh-CN"/>
        </w:rPr>
        <w:t>一项RMC-6236用于治疗携带RAS突变（KRAS、NRAS或HRAS在G12、G13或Q61处的任何非同义突变）的晚期实体瘤的多中心、开放标签、I/Ib期临床试验正在招募患者[NCT05379985]。</w:t>
      </w:r>
    </w:p>
    <w:p w14:paraId="3E32152A">
      <w:pPr>
        <w:numPr>
          <w:ilvl w:val="0"/>
          <w:numId w:val="14"/>
        </w:numPr>
        <w:spacing w:before="200"/>
        <w:ind w:left="420" w:hanging="420"/>
        <w:jc w:val="both"/>
        <w:rPr>
          <w:rFonts w:ascii="微软雅黑" w:hAnsi="微软雅黑" w:cs="微软雅黑"/>
          <w:color w:val="FF0000"/>
          <w:kern w:val="1"/>
          <w:sz w:val="21"/>
          <w:szCs w:val="21"/>
        </w:rPr>
      </w:pPr>
      <w:r>
        <w:rPr>
          <w:rStyle w:val="21"/>
          <w:rFonts w:hint="eastAsia" w:ascii="微软雅黑" w:hAnsi="微软雅黑" w:cs="微软雅黑"/>
          <w:b/>
          <w:bCs/>
          <w:color w:val="FF0000"/>
          <w:sz w:val="24"/>
          <w:szCs w:val="24"/>
          <w:u w:val="none"/>
        </w:rPr>
        <w:t>SETD2：c.4930G&gt;T，p.G1644*</w:t>
      </w:r>
      <w:r>
        <w:rPr>
          <w:rStyle w:val="21"/>
          <w:rFonts w:hint="eastAsia" w:ascii="微软雅黑" w:hAnsi="微软雅黑" w:cs="微软雅黑"/>
          <w:b/>
          <w:bCs/>
          <w:color w:val="FF0000"/>
          <w:sz w:val="24"/>
          <w:szCs w:val="24"/>
          <w:u w:val="none"/>
          <w:lang w:val="en-US" w:eastAsia="zh-CN"/>
        </w:rPr>
        <w:t>突变</w:t>
      </w:r>
      <w:r>
        <w:rPr>
          <w:rStyle w:val="21"/>
          <w:rFonts w:hint="eastAsia" w:ascii="微软雅黑" w:hAnsi="微软雅黑" w:cs="微软雅黑"/>
          <w:b/>
          <w:bCs/>
          <w:color w:val="FF0000"/>
          <w:sz w:val="24"/>
          <w:szCs w:val="24"/>
          <w:u w:val="none"/>
        </w:rPr>
        <w:t>相应靶向药物</w:t>
      </w:r>
    </w:p>
    <w:p w14:paraId="7AE381FA">
      <w:pPr>
        <w:numPr>
          <w:ilvl w:val="0"/>
          <w:numId w:val="12"/>
        </w:numPr>
        <w:adjustRightInd/>
        <w:snapToGrid/>
        <w:spacing w:before="200"/>
        <w:rPr>
          <w:rFonts w:ascii="微软雅黑" w:hAnsi="微软雅黑" w:cs="微软雅黑"/>
          <w:b/>
          <w:bCs/>
          <w:color w:val="0000FF"/>
        </w:rPr>
      </w:pPr>
      <w:r>
        <w:fldChar w:fldCharType="begin"/>
      </w:r>
      <w:r>
        <w:instrText xml:space="preserve"> HYPERLINK \l "基因变异检测结果及相关靶向药物信息" </w:instrText>
      </w:r>
      <w:r>
        <w:fldChar w:fldCharType="separate"/>
      </w:r>
      <w:r>
        <w:rPr>
          <w:rStyle w:val="23"/>
          <w:rFonts w:hint="eastAsia" w:ascii="微软雅黑" w:hAnsi="微软雅黑" w:cs="微软雅黑"/>
          <w:b/>
          <w:bCs/>
          <w:color w:val="0000FF"/>
          <w:sz w:val="24"/>
          <w:szCs w:val="24"/>
        </w:rPr>
        <w:t>AZD1775</w:t>
      </w:r>
      <w:r>
        <w:rPr>
          <w:rStyle w:val="23"/>
          <w:rFonts w:hint="eastAsia" w:ascii="微软雅黑" w:hAnsi="微软雅黑" w:cs="微软雅黑"/>
          <w:b/>
          <w:bCs/>
          <w:color w:val="0000FF"/>
          <w:sz w:val="24"/>
          <w:szCs w:val="24"/>
        </w:rPr>
        <w:fldChar w:fldCharType="end"/>
      </w:r>
    </w:p>
    <w:p w14:paraId="1999EA9B">
      <w:pPr>
        <w:spacing w:after="0"/>
        <w:jc w:val="both"/>
        <w:rPr>
          <w:b/>
          <w:bCs/>
          <w:kern w:val="2"/>
        </w:rPr>
      </w:pPr>
      <w:r>
        <w:rPr>
          <w:rFonts w:hint="eastAsia"/>
          <w:b/>
          <w:bCs/>
          <w:kern w:val="2"/>
        </w:rPr>
        <w:t>基因变异与药物关联分析：</w:t>
      </w:r>
    </w:p>
    <w:p w14:paraId="5AAE0313">
      <w:pPr>
        <w:spacing w:after="0"/>
        <w:ind w:firstLine="420" w:firstLineChars="200"/>
        <w:jc w:val="both"/>
        <w:rPr>
          <w:rFonts w:ascii="微软雅黑" w:hAnsi="微软雅黑" w:cs="Arial Unicode MS"/>
          <w:kern w:val="2"/>
          <w:sz w:val="21"/>
          <w:szCs w:val="21"/>
        </w:rPr>
      </w:pPr>
      <w:r>
        <w:rPr>
          <w:rFonts w:hint="eastAsia" w:ascii="微软雅黑" w:hAnsi="微软雅黑" w:cs="Arial Unicode MS"/>
          <w:kern w:val="2"/>
          <w:sz w:val="21"/>
          <w:szCs w:val="21"/>
          <w:lang w:val="en-US" w:eastAsia="zh-CN"/>
        </w:rPr>
        <w:t>该样本检出SETD2基因c.4930G&gt;T，p.G1644*无义突变，该突变导致蛋白翻译提前终止，产生截短的蛋白，可能导致蛋白功能缺失。有研究表明，SETD2缺失与WEE1抑制剂具有“合成致死”作用[29955114]。因此，可能从WEE1抑制剂的治疗中获益。</w:t>
      </w:r>
      <w:r>
        <w:rPr>
          <w:rFonts w:ascii="微软雅黑" w:hAnsi="微软雅黑" w:cs="Arial Unicode MS"/>
          <w:kern w:val="2"/>
          <w:sz w:val="21"/>
          <w:szCs w:val="21"/>
        </w:rPr>
        <w:t>AZD1775是一种WEE1激酶抑制剂，可以控制细胞分裂周期的G2检验点</w:t>
      </w:r>
      <w:r>
        <w:rPr>
          <w:rFonts w:hint="eastAsia" w:ascii="微软雅黑" w:hAnsi="微软雅黑" w:cs="Arial Unicode MS"/>
          <w:kern w:val="2"/>
          <w:sz w:val="21"/>
          <w:szCs w:val="21"/>
          <w:lang w:eastAsia="zh-CN"/>
        </w:rPr>
        <w:t>，</w:t>
      </w:r>
      <w:r>
        <w:rPr>
          <w:rFonts w:ascii="微软雅黑" w:hAnsi="微软雅黑" w:cs="Arial Unicode MS"/>
          <w:kern w:val="2"/>
          <w:sz w:val="21"/>
          <w:szCs w:val="21"/>
        </w:rPr>
        <w:t>目前该药正处于临床期。</w:t>
      </w:r>
    </w:p>
    <w:p w14:paraId="67B4F192">
      <w:pPr>
        <w:spacing w:after="0"/>
        <w:jc w:val="both"/>
        <w:rPr>
          <w:b/>
          <w:bCs/>
          <w:kern w:val="2"/>
        </w:rPr>
      </w:pPr>
      <w:r>
        <w:rPr>
          <w:rFonts w:hint="eastAsia"/>
          <w:b/>
          <w:bCs/>
          <w:kern w:val="2"/>
        </w:rPr>
        <w:t>药物疗效临床解析：</w:t>
      </w:r>
    </w:p>
    <w:p w14:paraId="461A3A82">
      <w:pPr>
        <w:keepNext w:val="0"/>
        <w:keepLines w:val="0"/>
        <w:pageBreakBefore w:val="0"/>
        <w:widowControl/>
        <w:kinsoku/>
        <w:wordWrap/>
        <w:overflowPunct/>
        <w:topLinePunct w:val="0"/>
        <w:autoSpaceDE/>
        <w:autoSpaceDN/>
        <w:bidi w:val="0"/>
        <w:adjustRightInd w:val="0"/>
        <w:snapToGrid w:val="0"/>
        <w:spacing w:after="0"/>
        <w:ind w:firstLine="420" w:firstLineChars="200"/>
        <w:jc w:val="both"/>
        <w:textAlignment w:val="auto"/>
        <w:rPr>
          <w:rFonts w:hint="eastAsia" w:ascii="微软雅黑" w:hAnsi="微软雅黑" w:cs="Times New Roman"/>
          <w:bCs/>
          <w:color w:val="auto"/>
          <w:kern w:val="2"/>
          <w:sz w:val="21"/>
          <w:szCs w:val="21"/>
          <w:lang w:val="en-US" w:eastAsia="zh-CN"/>
        </w:rPr>
      </w:pPr>
      <w:r>
        <w:rPr>
          <w:rFonts w:hint="eastAsia" w:ascii="微软雅黑" w:hAnsi="微软雅黑" w:cs="Arial Unicode MS"/>
          <w:kern w:val="2"/>
          <w:sz w:val="21"/>
          <w:szCs w:val="21"/>
          <w:lang w:val="en-US" w:eastAsia="zh-CN"/>
        </w:rPr>
        <w:t>一项</w:t>
      </w:r>
      <w:r>
        <w:rPr>
          <w:rFonts w:hint="eastAsia" w:ascii="微软雅黑" w:hAnsi="微软雅黑" w:cs="Arial Unicode MS"/>
          <w:kern w:val="2"/>
          <w:sz w:val="21"/>
          <w:szCs w:val="21"/>
        </w:rPr>
        <w:t>II期临床试验</w:t>
      </w:r>
      <w:r>
        <w:rPr>
          <w:rFonts w:hint="eastAsia" w:ascii="微软雅黑" w:hAnsi="微软雅黑" w:cs="Arial Unicode MS"/>
          <w:kern w:val="2"/>
          <w:sz w:val="21"/>
          <w:szCs w:val="21"/>
          <w:lang w:eastAsia="zh-CN"/>
        </w:rPr>
        <w:t>，</w:t>
      </w:r>
      <w:r>
        <w:rPr>
          <w:rFonts w:hint="eastAsia" w:ascii="微软雅黑" w:hAnsi="微软雅黑" w:cs="Arial Unicode MS"/>
          <w:kern w:val="2"/>
          <w:sz w:val="21"/>
          <w:szCs w:val="21"/>
          <w:lang w:val="en-US" w:eastAsia="zh-CN"/>
        </w:rPr>
        <w:t>旨在评估</w:t>
      </w:r>
      <w:r>
        <w:rPr>
          <w:rFonts w:ascii="微软雅黑" w:hAnsi="微软雅黑" w:cs="Arial Unicode MS"/>
          <w:kern w:val="2"/>
          <w:sz w:val="21"/>
          <w:szCs w:val="21"/>
        </w:rPr>
        <w:t>AZD1775</w:t>
      </w:r>
      <w:r>
        <w:rPr>
          <w:rFonts w:hint="eastAsia" w:ascii="微软雅黑" w:hAnsi="微软雅黑" w:cs="Arial Unicode MS"/>
          <w:kern w:val="2"/>
          <w:sz w:val="21"/>
          <w:szCs w:val="21"/>
        </w:rPr>
        <w:t>治疗SETD2缺陷实体瘤（已扩散到身体其</w:t>
      </w:r>
      <w:r>
        <w:rPr>
          <w:rFonts w:hint="eastAsia" w:ascii="微软雅黑" w:hAnsi="微软雅黑" w:cs="Arial Unicode MS"/>
          <w:kern w:val="2"/>
          <w:sz w:val="21"/>
          <w:szCs w:val="21"/>
          <w:lang w:val="en-US" w:eastAsia="zh-CN"/>
        </w:rPr>
        <w:t>它</w:t>
      </w:r>
      <w:r>
        <w:rPr>
          <w:rFonts w:hint="eastAsia" w:ascii="微软雅黑" w:hAnsi="微软雅黑" w:cs="Arial Unicode MS"/>
          <w:kern w:val="2"/>
          <w:sz w:val="21"/>
          <w:szCs w:val="21"/>
        </w:rPr>
        <w:t>部位）患者的</w:t>
      </w:r>
      <w:r>
        <w:rPr>
          <w:rFonts w:hint="eastAsia" w:ascii="微软雅黑" w:hAnsi="微软雅黑" w:cs="Arial Unicode MS"/>
          <w:kern w:val="2"/>
          <w:sz w:val="21"/>
          <w:szCs w:val="21"/>
          <w:lang w:val="en-US" w:eastAsia="zh-CN"/>
        </w:rPr>
        <w:t>有效性</w:t>
      </w:r>
      <w:r>
        <w:rPr>
          <w:rFonts w:hint="eastAsia" w:ascii="微软雅黑" w:hAnsi="微软雅黑" w:cs="Arial Unicode MS"/>
          <w:kern w:val="2"/>
          <w:sz w:val="21"/>
          <w:szCs w:val="21"/>
          <w:lang w:eastAsia="zh-CN"/>
        </w:rPr>
        <w:t>，</w:t>
      </w:r>
      <w:r>
        <w:rPr>
          <w:rFonts w:hint="eastAsia" w:ascii="微软雅黑" w:hAnsi="微软雅黑" w:cs="Arial Unicode MS"/>
          <w:kern w:val="2"/>
          <w:sz w:val="21"/>
          <w:szCs w:val="21"/>
          <w:lang w:val="en-US" w:eastAsia="zh-CN"/>
        </w:rPr>
        <w:t>目前正在开展，不招募患者[</w:t>
      </w:r>
      <w:bookmarkStart w:id="180" w:name="OLE_LINK14"/>
      <w:r>
        <w:rPr>
          <w:rFonts w:hint="eastAsia" w:ascii="微软雅黑" w:hAnsi="微软雅黑" w:cs="Arial Unicode MS"/>
          <w:kern w:val="2"/>
          <w:sz w:val="21"/>
          <w:szCs w:val="21"/>
          <w:lang w:val="en-US" w:eastAsia="zh-CN"/>
        </w:rPr>
        <w:t>NCT03284385</w:t>
      </w:r>
      <w:bookmarkEnd w:id="180"/>
      <w:r>
        <w:rPr>
          <w:rFonts w:hint="eastAsia" w:ascii="微软雅黑" w:hAnsi="微软雅黑" w:cs="Arial Unicode MS"/>
          <w:kern w:val="2"/>
          <w:sz w:val="21"/>
          <w:szCs w:val="21"/>
          <w:lang w:val="en-US" w:eastAsia="zh-CN"/>
        </w:rPr>
        <w:t>]</w:t>
      </w:r>
      <w:r>
        <w:rPr>
          <w:rFonts w:hint="eastAsia" w:ascii="微软雅黑" w:hAnsi="微软雅黑" w:cs="Arial Unicode MS"/>
          <w:kern w:val="2"/>
          <w:sz w:val="21"/>
          <w:szCs w:val="21"/>
        </w:rPr>
        <w:t>。</w:t>
      </w:r>
    </w:p>
    <w:p w14:paraId="0AA811E7">
      <w:pPr>
        <w:numPr>
          <w:ilvl w:val="0"/>
          <w:numId w:val="11"/>
        </w:numPr>
        <w:spacing w:before="200"/>
        <w:jc w:val="both"/>
        <w:rPr>
          <w:rFonts w:ascii="微软雅黑" w:hAnsi="微软雅黑" w:cs="微软雅黑"/>
          <w:color w:val="FF0000"/>
          <w:kern w:val="1"/>
          <w:sz w:val="21"/>
          <w:szCs w:val="21"/>
        </w:rPr>
      </w:pPr>
      <w:r>
        <w:rPr>
          <w:rFonts w:hint="eastAsia" w:ascii="微软雅黑" w:hAnsi="微软雅黑" w:cs="微软雅黑"/>
          <w:b/>
          <w:color w:val="FF0000"/>
          <w:sz w:val="24"/>
        </w:rPr>
        <w:t>ATM</w:t>
      </w:r>
      <w:r>
        <w:rPr>
          <w:rFonts w:ascii="微软雅黑" w:hAnsi="微软雅黑" w:cs="微软雅黑"/>
          <w:b/>
          <w:color w:val="FF0000"/>
          <w:sz w:val="24"/>
        </w:rPr>
        <w:t>：</w:t>
      </w:r>
      <w:r>
        <w:rPr>
          <w:rFonts w:hint="eastAsia" w:ascii="微软雅黑" w:hAnsi="微软雅黑" w:cs="微软雅黑"/>
          <w:b/>
          <w:color w:val="FF0000"/>
          <w:sz w:val="24"/>
        </w:rPr>
        <w:t>c.6874C&gt;T，p.Q2292*</w:t>
      </w:r>
      <w:r>
        <w:rPr>
          <w:rStyle w:val="21"/>
          <w:rFonts w:hint="eastAsia" w:ascii="微软雅黑" w:hAnsi="微软雅黑" w:cs="微软雅黑"/>
          <w:b/>
          <w:bCs/>
          <w:color w:val="FF0000"/>
          <w:sz w:val="24"/>
          <w:szCs w:val="24"/>
          <w:u w:val="none"/>
        </w:rPr>
        <w:t>突变相应靶向</w:t>
      </w:r>
      <w:r>
        <w:rPr>
          <w:rStyle w:val="21"/>
          <w:rFonts w:hint="eastAsia" w:ascii="微软雅黑" w:hAnsi="微软雅黑" w:cs="微软雅黑"/>
          <w:b/>
          <w:bCs/>
          <w:color w:val="FF0000"/>
          <w:sz w:val="24"/>
          <w:szCs w:val="24"/>
          <w:u w:val="none"/>
          <w:lang w:val="en-US" w:eastAsia="zh-CN"/>
        </w:rPr>
        <w:t>/免疫</w:t>
      </w:r>
      <w:r>
        <w:rPr>
          <w:rStyle w:val="21"/>
          <w:rFonts w:hint="eastAsia" w:ascii="微软雅黑" w:hAnsi="微软雅黑" w:cs="微软雅黑"/>
          <w:b/>
          <w:bCs/>
          <w:color w:val="FF0000"/>
          <w:sz w:val="24"/>
          <w:szCs w:val="24"/>
          <w:u w:val="none"/>
        </w:rPr>
        <w:t>药物</w:t>
      </w:r>
    </w:p>
    <w:p w14:paraId="39EC2229">
      <w:pPr>
        <w:numPr>
          <w:ilvl w:val="0"/>
          <w:numId w:val="13"/>
        </w:numPr>
        <w:spacing w:before="240" w:beforeLines="100" w:after="240" w:afterLines="100"/>
        <w:jc w:val="both"/>
        <w:rPr>
          <w:rFonts w:ascii="微软雅黑" w:hAnsi="微软雅黑" w:cs="微软雅黑"/>
          <w:b/>
          <w:bCs/>
          <w:sz w:val="24"/>
          <w:szCs w:val="24"/>
        </w:rPr>
      </w:pPr>
      <w:r>
        <w:rPr>
          <w:rFonts w:hint="eastAsia" w:ascii="微软雅黑" w:hAnsi="微软雅黑" w:cs="微软雅黑"/>
          <w:b/>
          <w:bCs/>
          <w:color w:val="0000FF"/>
          <w:sz w:val="24"/>
          <w:szCs w:val="24"/>
          <w:u w:val="single"/>
        </w:rPr>
        <w:t>奥拉帕利（Olaparib）、芦卡帕利（Rucaparib）、尼拉帕利（Niraparib）、盐酸可泮利塞+奥拉帕利+度伐利尤单抗（Copanlisib+Olaparib+Durvalumab）、帕米帕利+替雷利珠单抗（Pamiparib+Tislelizumab）、芦卡帕利+阿替利珠单抗（Rucaparib+Atezolizumab）、他拉唑帕利+阿替利珠单抗（Talazoparib+Atezolizumab）、他拉唑帕利（Talazoparib）、AZD6738+奥拉帕利（Olaparib）、阿维鲁单抗+他拉唑帕利（Avelumab+Talazoparib）、LY2606368、奥拉帕利+帕博利珠单抗（Olaparib+Pembrolizumab）</w:t>
      </w:r>
    </w:p>
    <w:p w14:paraId="5CBBE8C1">
      <w:pPr>
        <w:spacing w:after="0"/>
        <w:jc w:val="both"/>
        <w:rPr>
          <w:rFonts w:hint="eastAsia"/>
          <w:b/>
          <w:bCs/>
          <w:kern w:val="2"/>
        </w:rPr>
      </w:pPr>
      <w:r>
        <w:rPr>
          <w:rFonts w:hint="eastAsia"/>
          <w:b/>
          <w:bCs/>
          <w:kern w:val="2"/>
        </w:rPr>
        <w:t>基因变异与药物关联分析：</w:t>
      </w:r>
    </w:p>
    <w:p w14:paraId="02A991C6">
      <w:pPr>
        <w:spacing w:after="0"/>
        <w:ind w:firstLine="400"/>
        <w:jc w:val="both"/>
        <w:rPr>
          <w:rFonts w:ascii="微软雅黑" w:hAnsi="微软雅黑" w:cs="Arial Unicode MS"/>
          <w:kern w:val="2"/>
          <w:sz w:val="21"/>
          <w:szCs w:val="21"/>
        </w:rPr>
      </w:pPr>
      <w:r>
        <w:rPr>
          <w:rFonts w:hint="eastAsia" w:ascii="微软雅黑" w:hAnsi="微软雅黑" w:cs="微软雅黑"/>
          <w:sz w:val="21"/>
        </w:rPr>
        <w:t>该样本检出ATM基因c.6874C&gt;T，p.Q2292*无义突变，</w:t>
      </w:r>
      <w:r>
        <w:rPr>
          <w:rFonts w:hint="eastAsia" w:ascii="微软雅黑" w:hAnsi="微软雅黑" w:cs="Arial Unicode MS"/>
          <w:kern w:val="2"/>
          <w:sz w:val="21"/>
          <w:szCs w:val="21"/>
          <w:lang w:val="en-US" w:eastAsia="zh-CN"/>
        </w:rPr>
        <w:t>该突变导致蛋白翻译提前终止，产生截短的蛋白，可能导致蛋白功能缺失。</w:t>
      </w:r>
      <w:r>
        <w:rPr>
          <w:rFonts w:hint="eastAsia" w:ascii="微软雅黑" w:hAnsi="微软雅黑" w:cs="Arial Unicode MS"/>
          <w:color w:val="000000" w:themeColor="text1"/>
          <w:kern w:val="2"/>
          <w:sz w:val="21"/>
          <w:szCs w:val="21"/>
          <w14:textFill>
            <w14:solidFill>
              <w14:schemeClr w14:val="tx1"/>
            </w14:solidFill>
          </w14:textFill>
        </w:rPr>
        <w:t>ATM是一个抑癌基因，编码PI3K/PI4K家族的一个蛋白激酶。ATM缺陷细胞会导致DNA损伤的积累及基因组的不稳定，进而引起肿瘤发生。临床研究发现，ATM缺陷型的前列腺癌或胃癌等肿瘤对PARP抑制剂敏感[26282658，26510020]。因此，该患者可能从PARP抑制剂及相关抑制剂的治疗中获益。</w:t>
      </w:r>
      <w:r>
        <w:rPr>
          <w:rFonts w:hint="eastAsia" w:ascii="微软雅黑" w:hAnsi="微软雅黑" w:cs="Arial Unicode MS"/>
          <w:color w:val="000000" w:themeColor="text1"/>
          <w:kern w:val="2"/>
          <w:sz w:val="21"/>
          <w:szCs w:val="21"/>
          <w14:textFill>
            <w14:solidFill>
              <w14:schemeClr w14:val="tx1"/>
            </w14:solidFill>
          </w14:textFill>
        </w:rPr>
        <w:br w:type="textWrapping"/>
      </w:r>
      <w:r>
        <w:rPr>
          <w:rFonts w:hint="eastAsia" w:ascii="微软雅黑" w:hAnsi="微软雅黑" w:cs="Arial Unicode MS"/>
          <w:color w:val="000000" w:themeColor="text1"/>
          <w:kern w:val="2"/>
          <w:sz w:val="21"/>
          <w:szCs w:val="21"/>
          <w14:textFill>
            <w14:solidFill>
              <w14:schemeClr w14:val="tx1"/>
            </w14:solidFill>
          </w14:textFill>
        </w:rPr>
        <w:t>
目前，FDA和/或NMPA批准的PARP抑制剂有奥拉帕利、芦卡帕利、尼拉帕利、他拉唑帕利、帕米帕利。FDA批准奥拉帕利用于卵巢癌、输卵管癌或原发性腹膜癌、胰腺癌、乳腺癌以及前列腺癌患者的治疗；NMPA批准奥拉帕利用于卵巢癌和前列腺癌的治疗。FDA批准芦卡帕利用于治疗卵巢癌、输卵管癌或原发性腹膜癌以及前列腺癌患者。FDA批准尼拉帕利用于上皮性卵巢癌、输卵管癌或原发性腹膜癌患者的维持治疗；中国（香港）批准尼拉帕利用于治疗高级别浆液性上皮性卵巢癌患者；中国大陆批准尼拉帕利用于复发性卵巢癌的维持治疗。FDA批准他拉唑帕利用于治疗前列腺癌和乳腺癌成年患者。NMPA批准他拉唑帕利用于治疗前列腺癌患者。NMPA批准帕米帕利用于治疗存在已知致病或疑似致病的胚系BRCA突变的既往接受过两线或两线以上化疗的晚期卵巢癌、输卵管癌或原发性腹膜癌患者。</w:t>
      </w:r>
      <w:r>
        <w:rPr>
          <w:rFonts w:hint="eastAsia" w:ascii="微软雅黑" w:hAnsi="微软雅黑" w:cs="Arial Unicode MS"/>
          <w:color w:val="000000" w:themeColor="text1"/>
          <w:kern w:val="2"/>
          <w:sz w:val="21"/>
          <w:szCs w:val="21"/>
          <w14:textFill>
            <w14:solidFill>
              <w14:schemeClr w14:val="tx1"/>
            </w14:solidFill>
          </w14:textFill>
        </w:rPr>
        <w:br w:type="textWrapping"/>
      </w:r>
      <w:r>
        <w:rPr>
          <w:rFonts w:hint="eastAsia" w:ascii="微软雅黑" w:hAnsi="微软雅黑" w:cs="Arial Unicode MS"/>
          <w:color w:val="000000" w:themeColor="text1"/>
          <w:kern w:val="2"/>
          <w:sz w:val="21"/>
          <w:szCs w:val="21"/>
          <w14:textFill>
            <w14:solidFill>
              <w14:schemeClr w14:val="tx1"/>
            </w14:solidFill>
          </w14:textFill>
        </w:rPr>
        <w:t>
相关抑制剂包括阿维鲁单抗、LY2606368、盐酸可泮利塞、度伐利尤单抗、帕博利珠单抗、替雷利珠单抗、阿替利珠单抗、AZD6738。阿维鲁单抗是PD-L1抑制剂，已获FDA批准用于治疗默克细胞癌、尿路上皮癌患者。LY2606368是一种ATP竞争性CHK1抑制剂，目前正处于临床期。盐酸可泮利塞是一种PI3K抑制剂，已获FDA和NMPA批准用于治疗滤泡性淋巴瘤。度伐利尤单抗是一种PD-L1抑制剂，已获FDA和NMPA批准用于治疗非小细胞肺癌和小细胞肺癌患者。帕博利珠单抗已获FDA批准用于治疗黑色素瘤、转移性非小细胞肺癌、头颈部鳞状细胞癌、对卡介苗无反应的非肌层浸润性膀胱癌、微卫星不稳定性高（MSI-H）或错配修复缺陷的实体瘤（包括结直肠癌）等多种癌症，NMPA批准帕博利珠单抗用于治疗黑色素瘤、非小细胞肺癌患者等。替雷利珠单抗已获NMPA批准用于治疗经典型霍奇金淋巴瘤、尿路上皮癌、非小细胞肺癌、肝细胞癌患者。阿替利珠单抗已获FDA批准用于治疗尿路上皮癌、非小细胞癌、小细胞肺癌、肝细胞癌、黑色素瘤患者，已获NMPA批准用于治疗小细胞肺癌、肝细胞癌、非小细胞肺癌患者。AZD6738是一种新型的口服ATR抑制剂，目前正处于临床期。</w:t>
      </w:r>
    </w:p>
    <w:p w14:paraId="1B20A2B3">
      <w:pPr>
        <w:spacing w:after="0"/>
        <w:jc w:val="both"/>
        <w:rPr>
          <w:rFonts w:hint="eastAsia"/>
          <w:b/>
          <w:bCs/>
          <w:kern w:val="2"/>
        </w:rPr>
      </w:pPr>
      <w:r>
        <w:rPr>
          <w:rFonts w:hint="eastAsia"/>
          <w:b/>
          <w:bCs/>
          <w:kern w:val="2"/>
        </w:rPr>
        <w:t>药物疗效临床解析：</w:t>
      </w:r>
    </w:p>
    <w:p w14:paraId="3065661D">
      <w:pPr>
        <w:spacing w:after="0"/>
        <w:ind w:firstLine="400"/>
        <w:jc w:val="both"/>
        <w:rPr>
          <w:rFonts w:ascii="微软雅黑" w:hAnsi="微软雅黑" w:cs="Arial Unicode MS"/>
          <w:color w:val="000000" w:themeColor="text1"/>
          <w:kern w:val="2"/>
          <w:sz w:val="21"/>
          <w:szCs w:val="21"/>
          <w14:textFill>
            <w14:solidFill>
              <w14:schemeClr w14:val="tx1"/>
            </w14:solidFill>
          </w14:textFill>
        </w:rPr>
      </w:pPr>
      <w:r>
        <w:rPr>
          <w:rFonts w:hint="eastAsia" w:ascii="微软雅黑" w:hAnsi="微软雅黑" w:cs="Arial Unicode MS"/>
          <w:color w:val="000000" w:themeColor="text1"/>
          <w:kern w:val="2"/>
          <w:sz w:val="21"/>
          <w:szCs w:val="21"/>
          <w14:textFill>
            <w14:solidFill>
              <w14:schemeClr w14:val="tx1"/>
            </w14:solidFill>
          </w14:textFill>
        </w:rPr>
        <w:t>有研究显示，奥拉帕利用于治疗携带DDR致病性突变（包括BRCA1、BRCA2、PALB2、ATM、CDK12、ATRX、CHEK1、CHEK2、FANCA、FANCF、FANCG、FANCI、FANCM、RAD50、WRN基因突变）的转移性去势抵抗性前列腺癌具有一定的抗肿瘤活性，目前该试验状态未知[2019 JCO Abstract 5005，NCT01682772]。一项II期临床试验，旨在评估奥拉帕利单药或奥拉帕利联合AZD6738用于治疗具有同源DNA修复基因突变（包括ATM、CHK2、MRN（MRE11/NBS1/RAD50）、CDKN2A/B 和 APOBEC）的肿瘤患者的有效性和安全性，目前该试验正在进行，不招募患者[NCT02576444]。</w:t>
      </w:r>
      <w:r>
        <w:rPr>
          <w:rFonts w:hint="eastAsia" w:ascii="微软雅黑" w:hAnsi="微软雅黑" w:cs="Arial Unicode MS"/>
          <w:color w:val="000000" w:themeColor="text1"/>
          <w:kern w:val="2"/>
          <w:sz w:val="21"/>
          <w:szCs w:val="21"/>
          <w14:textFill>
            <w14:solidFill>
              <w14:schemeClr w14:val="tx1"/>
            </w14:solidFill>
          </w14:textFill>
        </w:rPr>
        <w:br w:type="textWrapping"/>
      </w:r>
      <w:r>
        <w:rPr>
          <w:rFonts w:hint="eastAsia" w:ascii="微软雅黑" w:hAnsi="微软雅黑" w:cs="Arial Unicode MS"/>
          <w:color w:val="000000" w:themeColor="text1"/>
          <w:kern w:val="2"/>
          <w:sz w:val="21"/>
          <w:szCs w:val="21"/>
          <w14:textFill>
            <w14:solidFill>
              <w14:schemeClr w14:val="tx1"/>
            </w14:solidFill>
          </w14:textFill>
        </w:rPr>
        <w:t>
一项由美国国家癌症研究所举办的临床I期试验，旨在评估盐酸可泮利塞、奥拉帕利联合度伐利尤单抗用于治疗具有ARID1A、ATM、ATRX、BARD1、BRCA1、BRCA2、BRIP1、CDK12、CHEK1、CHEK2、MSH2等基因突变的转移性或无法手术切术的实体瘤患者的毒副作用和最佳剂量，目前该试验正在招募中[NCT03842228]。一项II期临床试验，旨在评估奥拉帕利联合帕博利珠单抗治疗携带HR突变相关基因（ARID1A/B、ARID2、ATM、ATR、BARD1、BRCA1/2、BAP1、BRIP1、CHEK2、FANCA、FANCD2、MRN11A、PALB2、RAD50、RAD51、RAD54B）的黑色素瘤患者疗效，目前正在招募中[NCT04633902]。</w:t>
      </w:r>
      <w:r>
        <w:rPr>
          <w:rFonts w:hint="eastAsia" w:ascii="微软雅黑" w:hAnsi="微软雅黑" w:cs="Arial Unicode MS"/>
          <w:color w:val="000000" w:themeColor="text1"/>
          <w:kern w:val="2"/>
          <w:sz w:val="21"/>
          <w:szCs w:val="21"/>
          <w14:textFill>
            <w14:solidFill>
              <w14:schemeClr w14:val="tx1"/>
            </w14:solidFill>
          </w14:textFill>
        </w:rPr>
        <w:br w:type="textWrapping"/>
      </w:r>
      <w:r>
        <w:rPr>
          <w:rFonts w:hint="eastAsia" w:ascii="微软雅黑" w:hAnsi="微软雅黑" w:cs="Arial Unicode MS"/>
          <w:color w:val="000000" w:themeColor="text1"/>
          <w:kern w:val="2"/>
          <w:sz w:val="21"/>
          <w:szCs w:val="21"/>
          <w14:textFill>
            <w14:solidFill>
              <w14:schemeClr w14:val="tx1"/>
            </w14:solidFill>
          </w14:textFill>
        </w:rPr>
        <w:t>
芦卡帕利用于治疗携带一个或多个同源重组DNA修复基因突变（包括BRCA1、BRCA2、ATM、CHEK2、NBN、RAD50、RAD51C、RAD51D、PALB2、MRE11、FANCA、FANCB、FANCC、FANCD2、FANCE、FANCF、FANCG、FANCI、FANCM）的前列腺癌患者的II期临床试验，正在招募中[NCT03413995]。芦卡帕利联合阿替利珠单抗用于治疗具有ATM、BARD1、BRCA1、BRCA2、BRIP1、CDK12、CHEK2、PALB2、RAD51C、RAD51D、FANCA、NBN、RAD51、RAD54L突变和/或缺失的实体瘤患者的II期临床试验正在招募患者[NCT04276376]。</w:t>
      </w:r>
      <w:r>
        <w:rPr>
          <w:rFonts w:hint="eastAsia" w:ascii="微软雅黑" w:hAnsi="微软雅黑" w:cs="Arial Unicode MS"/>
          <w:color w:val="000000" w:themeColor="text1"/>
          <w:kern w:val="2"/>
          <w:sz w:val="21"/>
          <w:szCs w:val="21"/>
          <w14:textFill>
            <w14:solidFill>
              <w14:schemeClr w14:val="tx1"/>
            </w14:solidFill>
          </w14:textFill>
        </w:rPr>
        <w:br w:type="textWrapping"/>
      </w:r>
      <w:r>
        <w:rPr>
          <w:rFonts w:hint="eastAsia" w:ascii="微软雅黑" w:hAnsi="微软雅黑" w:cs="Arial Unicode MS"/>
          <w:color w:val="000000" w:themeColor="text1"/>
          <w:kern w:val="2"/>
          <w:sz w:val="21"/>
          <w:szCs w:val="21"/>
          <w14:textFill>
            <w14:solidFill>
              <w14:schemeClr w14:val="tx1"/>
            </w14:solidFill>
          </w14:textFill>
        </w:rPr>
        <w:t>
尼拉帕利用于治疗具有BAP1突变或其他DNA损伤修复缺陷（ARID1A、ATM、ATR、BACH1（BRIP1）、BAP1、BARD1、BLM、CHEK1、CHEK2、CDK2、CDK4、ERCC、FAM175A、FEN1、IDH1、IDH2、MRE11A（MRE11）、NBN（NBS1）、PALB2、POLD1、PRKDC（DNA-PK）、PTEN、RAD50、RAD51、RAD52、RAD54、RPA1、SLX4、WRN、XRCC）肿瘤患者的II期临床试验正在开展，暂不招募患者[NCT03207347]。</w:t>
      </w:r>
      <w:r>
        <w:rPr>
          <w:rFonts w:hint="eastAsia" w:ascii="微软雅黑" w:hAnsi="微软雅黑" w:cs="Arial Unicode MS"/>
          <w:color w:val="000000" w:themeColor="text1"/>
          <w:kern w:val="2"/>
          <w:sz w:val="21"/>
          <w:szCs w:val="21"/>
          <w14:textFill>
            <w14:solidFill>
              <w14:schemeClr w14:val="tx1"/>
            </w14:solidFill>
          </w14:textFill>
        </w:rPr>
        <w:br w:type="textWrapping"/>
      </w:r>
      <w:r>
        <w:rPr>
          <w:rFonts w:hint="eastAsia" w:ascii="微软雅黑" w:hAnsi="微软雅黑" w:cs="Arial Unicode MS"/>
          <w:color w:val="000000" w:themeColor="text1"/>
          <w:kern w:val="2"/>
          <w:sz w:val="21"/>
          <w:szCs w:val="21"/>
          <w14:textFill>
            <w14:solidFill>
              <w14:schemeClr w14:val="tx1"/>
            </w14:solidFill>
          </w14:textFill>
        </w:rPr>
        <w:t>
阿维鲁单抗联合他拉唑帕利 用于治疗具有BRCA或ATM 突变的实体瘤患者的II期临床试验正在进行，暂不招募患者[NCT03565991]。他拉唑帕利用于治疗具有ATM、BRCA1、BRCA2、PALB2、ATR基因突变的晚期恶性肿瘤患者的II期临床试验正在进行，暂不招募患者[NCT02286687]。他拉唑帕利联合阿替利珠单抗用于治疗具有BRCA1/2、PALB2、ATM、ATR、CHEK2、FANCA、RAD51C、NBN、MLH1、MRE11A、CDK12体细胞或胚系突变的实体瘤患者的II期临床试验正在招募患者[NCT02693535]。</w:t>
      </w:r>
      <w:r>
        <w:rPr>
          <w:rFonts w:hint="eastAsia" w:ascii="微软雅黑" w:hAnsi="微软雅黑" w:cs="Arial Unicode MS"/>
          <w:color w:val="000000" w:themeColor="text1"/>
          <w:kern w:val="2"/>
          <w:sz w:val="21"/>
          <w:szCs w:val="21"/>
          <w14:textFill>
            <w14:solidFill>
              <w14:schemeClr w14:val="tx1"/>
            </w14:solidFill>
          </w14:textFill>
        </w:rPr>
        <w:br w:type="textWrapping"/>
      </w:r>
      <w:r>
        <w:rPr>
          <w:rFonts w:hint="eastAsia" w:ascii="微软雅黑" w:hAnsi="微软雅黑" w:cs="Arial Unicode MS"/>
          <w:color w:val="000000" w:themeColor="text1"/>
          <w:kern w:val="2"/>
          <w:sz w:val="21"/>
          <w:szCs w:val="21"/>
          <w14:textFill>
            <w14:solidFill>
              <w14:schemeClr w14:val="tx1"/>
            </w14:solidFill>
          </w14:textFill>
        </w:rPr>
        <w:t>
帕米帕利联合替雷利珠单抗用于治疗具有BRCA1/2突变或其他HR相关基因（ATM、CDK12、PALB2、ARID1A、ATRX、BLM、BARD1、BRIP1、CHEK1、CHEK2、FANCA、FANCF、FANCG、FANCI、FANCL、FANCM、MSH2、NBN、RAD50、RAD51C、RAD51D、WRN）肿瘤患者的II期临床试验正在招募患者[NCT04985721]。</w:t>
      </w:r>
      <w:r>
        <w:rPr>
          <w:rFonts w:hint="eastAsia" w:ascii="微软雅黑" w:hAnsi="微软雅黑" w:cs="Arial Unicode MS"/>
          <w:color w:val="000000" w:themeColor="text1"/>
          <w:kern w:val="2"/>
          <w:sz w:val="21"/>
          <w:szCs w:val="21"/>
          <w14:textFill>
            <w14:solidFill>
              <w14:schemeClr w14:val="tx1"/>
            </w14:solidFill>
          </w14:textFill>
        </w:rPr>
        <w:br w:type="textWrapping"/>
      </w:r>
      <w:r>
        <w:rPr>
          <w:rFonts w:hint="eastAsia" w:ascii="微软雅黑" w:hAnsi="微软雅黑" w:cs="Arial Unicode MS"/>
          <w:color w:val="000000" w:themeColor="text1"/>
          <w:kern w:val="2"/>
          <w:sz w:val="21"/>
          <w:szCs w:val="21"/>
          <w14:textFill>
            <w14:solidFill>
              <w14:schemeClr w14:val="tx1"/>
            </w14:solidFill>
          </w14:textFill>
        </w:rPr>
        <w:t>
LY2606368用于治疗具有同源重组修复缺陷（包括BRCA1、BRCA2、PALB2、RAD51C、RAD51D、ATR、ATM、CHK2或Fanconi贫血途径基因突变）的肿瘤患者的II期临床试验，4个月无进展生存率为25%[NCT02873975]。</w:t>
      </w:r>
    </w:p>
    <w:p w14:paraId="769172EB">
      <w:pPr>
        <w:rPr>
          <w:rFonts w:ascii="微软雅黑" w:hAnsi="微软雅黑"/>
          <w:b/>
          <w:sz w:val="24"/>
          <w:szCs w:val="24"/>
        </w:rPr>
      </w:pPr>
    </w:p>
    <w:p w14:paraId="585386C0">
      <w:pPr>
        <w:numPr>
          <w:ilvl w:val="1"/>
          <w:numId w:val="9"/>
        </w:numPr>
        <w:spacing w:before="200"/>
        <w:jc w:val="both"/>
        <w:rPr>
          <w:rFonts w:ascii="微软雅黑" w:hAnsi="微软雅黑"/>
          <w:b/>
          <w:sz w:val="24"/>
          <w:szCs w:val="24"/>
        </w:rPr>
      </w:pPr>
      <w:r>
        <w:rPr>
          <w:rFonts w:ascii="微软雅黑" w:hAnsi="微软雅黑"/>
          <w:b/>
          <w:sz w:val="24"/>
          <w:szCs w:val="24"/>
        </w:rPr>
        <w:t>潜在</w:t>
      </w:r>
      <w:r>
        <w:rPr>
          <w:rFonts w:hint="eastAsia" w:ascii="微软雅黑" w:hAnsi="微软雅黑"/>
          <w:b/>
          <w:sz w:val="24"/>
          <w:szCs w:val="24"/>
        </w:rPr>
        <w:t>负相关</w:t>
      </w:r>
      <w:r>
        <w:rPr>
          <w:rFonts w:ascii="微软雅黑" w:hAnsi="微软雅黑"/>
          <w:b/>
          <w:sz w:val="24"/>
          <w:szCs w:val="24"/>
        </w:rPr>
        <w:t>靶向</w:t>
      </w:r>
      <w:r>
        <w:rPr>
          <w:rFonts w:hint="eastAsia" w:ascii="微软雅黑" w:hAnsi="微软雅黑"/>
          <w:b/>
          <w:sz w:val="24"/>
          <w:szCs w:val="24"/>
        </w:rPr>
        <w:t>/免疫</w:t>
      </w:r>
      <w:r>
        <w:rPr>
          <w:rFonts w:ascii="微软雅黑" w:hAnsi="微软雅黑"/>
          <w:b/>
          <w:sz w:val="24"/>
          <w:szCs w:val="24"/>
        </w:rPr>
        <w:t>药物解析</w:t>
      </w:r>
    </w:p>
    <w:p w14:paraId="1A383744">
      <w:pPr>
        <w:numPr>
          <w:ilvl w:val="0"/>
          <w:numId w:val="15"/>
        </w:numPr>
        <w:spacing w:before="200"/>
        <w:ind w:left="420" w:leftChars="0" w:hanging="420" w:firstLineChars="0"/>
        <w:outlineLvl w:val="9"/>
        <w:rPr>
          <w:rStyle w:val="21"/>
          <w:rFonts w:hint="eastAsia" w:ascii="微软雅黑" w:hAnsi="微软雅黑" w:cs="微软雅黑"/>
          <w:b/>
          <w:bCs/>
          <w:color w:val="FF0000"/>
          <w:kern w:val="0"/>
          <w:sz w:val="24"/>
          <w:szCs w:val="24"/>
          <w:highlight w:val="none"/>
          <w:lang w:val="en-US" w:eastAsia="zh-CN"/>
        </w:rPr>
      </w:pPr>
      <w:r>
        <w:rPr>
          <w:rStyle w:val="21"/>
          <w:rFonts w:hint="eastAsia" w:ascii="微软雅黑" w:hAnsi="微软雅黑" w:eastAsia="微软雅黑" w:cs="微软雅黑"/>
          <w:b/>
          <w:bCs/>
          <w:color w:val="FF0000"/>
          <w:kern w:val="0"/>
          <w:sz w:val="24"/>
          <w:szCs w:val="24"/>
          <w:highlight w:val="none"/>
          <w:u w:val="none"/>
          <w:lang w:val="en-US" w:eastAsia="zh-CN"/>
        </w:rPr>
        <w:t>KRAS</w:t>
      </w:r>
      <w:r>
        <w:rPr>
          <w:rStyle w:val="21"/>
          <w:rFonts w:hint="eastAsia" w:ascii="微软雅黑" w:hAnsi="微软雅黑" w:cs="微软雅黑"/>
          <w:b/>
          <w:bCs/>
          <w:color w:val="FF0000"/>
          <w:kern w:val="0"/>
          <w:sz w:val="24"/>
          <w:szCs w:val="24"/>
          <w:highlight w:val="none"/>
          <w:u w:val="none"/>
          <w:lang w:val="en-US" w:eastAsia="zh-CN"/>
        </w:rPr>
        <w:t>：{{ immune_KRAS_result }}</w:t>
      </w:r>
      <w:r>
        <w:rPr>
          <w:rStyle w:val="21"/>
          <w:rFonts w:hint="eastAsia" w:ascii="微软雅黑" w:hAnsi="微软雅黑" w:eastAsia="微软雅黑" w:cs="微软雅黑"/>
          <w:b/>
          <w:bCs/>
          <w:color w:val="FF0000"/>
          <w:kern w:val="0"/>
          <w:sz w:val="24"/>
          <w:szCs w:val="24"/>
          <w:highlight w:val="none"/>
          <w:u w:val="none"/>
          <w:lang w:val="en-US" w:eastAsia="zh-CN"/>
        </w:rPr>
        <w:t>突变</w:t>
      </w:r>
      <w:r>
        <w:rPr>
          <w:rStyle w:val="21"/>
          <w:rFonts w:hint="eastAsia" w:ascii="微软雅黑" w:hAnsi="微软雅黑" w:eastAsia="微软雅黑" w:cs="微软雅黑"/>
          <w:b/>
          <w:bCs/>
          <w:color w:val="FF0000"/>
          <w:kern w:val="0"/>
          <w:sz w:val="24"/>
          <w:szCs w:val="24"/>
          <w:highlight w:val="none"/>
          <w:u w:val="none"/>
          <w:lang w:eastAsia="zh-CN"/>
        </w:rPr>
        <w:t>相</w:t>
      </w:r>
      <w:r>
        <w:rPr>
          <w:rStyle w:val="21"/>
          <w:rFonts w:hint="eastAsia" w:ascii="微软雅黑" w:hAnsi="微软雅黑" w:cs="微软雅黑"/>
          <w:b/>
          <w:bCs/>
          <w:color w:val="FF0000"/>
          <w:kern w:val="0"/>
          <w:sz w:val="24"/>
          <w:szCs w:val="24"/>
          <w:highlight w:val="none"/>
          <w:u w:val="none"/>
          <w:lang w:eastAsia="zh-CN"/>
        </w:rPr>
        <w:t>应负相关</w:t>
      </w:r>
      <w:r>
        <w:rPr>
          <w:rStyle w:val="21"/>
          <w:rFonts w:hint="eastAsia" w:ascii="微软雅黑" w:hAnsi="微软雅黑" w:eastAsia="微软雅黑" w:cs="微软雅黑"/>
          <w:b/>
          <w:bCs/>
          <w:color w:val="FF0000"/>
          <w:kern w:val="0"/>
          <w:sz w:val="24"/>
          <w:szCs w:val="24"/>
          <w:highlight w:val="none"/>
          <w:u w:val="none"/>
          <w:lang w:eastAsia="zh-CN"/>
        </w:rPr>
        <w:t>靶向药物</w:t>
      </w:r>
    </w:p>
    <w:p w14:paraId="77AECB33">
      <w:pPr>
        <w:numPr>
          <w:ilvl w:val="0"/>
          <w:numId w:val="16"/>
        </w:numPr>
        <w:ind w:left="420" w:leftChars="0" w:hanging="420" w:firstLineChars="0"/>
        <w:outlineLvl w:val="9"/>
        <w:rPr>
          <w:rStyle w:val="21"/>
          <w:rFonts w:hint="eastAsia" w:ascii="微软雅黑" w:hAnsi="微软雅黑" w:cs="微软雅黑"/>
          <w:b/>
          <w:bCs/>
          <w:color w:val="0000FF"/>
          <w:kern w:val="0"/>
          <w:sz w:val="24"/>
          <w:szCs w:val="24"/>
          <w:highlight w:val="none"/>
          <w:lang w:val="en-US" w:eastAsia="zh-CN"/>
        </w:rPr>
      </w:pPr>
      <w:r>
        <w:rPr>
          <w:rFonts w:hint="eastAsia" w:ascii="微软雅黑" w:hAnsi="微软雅黑" w:cs="微软雅黑"/>
          <w:b/>
          <w:bCs/>
          <w:color w:val="0000FF"/>
          <w:kern w:val="0"/>
          <w:sz w:val="24"/>
          <w:szCs w:val="24"/>
          <w:highlight w:val="none"/>
          <w:u w:val="single"/>
          <w:lang w:eastAsia="zh-CN"/>
        </w:rPr>
        <w:fldChar w:fldCharType="begin"/>
      </w:r>
      <w:r>
        <w:rPr>
          <w:rFonts w:hint="eastAsia" w:ascii="微软雅黑" w:hAnsi="微软雅黑" w:cs="微软雅黑"/>
          <w:b/>
          <w:bCs/>
          <w:color w:val="0000FF"/>
          <w:kern w:val="0"/>
          <w:sz w:val="24"/>
          <w:szCs w:val="24"/>
          <w:highlight w:val="none"/>
          <w:u w:val="single"/>
          <w:lang w:eastAsia="zh-CN"/>
        </w:rPr>
        <w:instrText xml:space="preserve"> HYPERLINK \l "重要基因变异及潜在靶向药物信息" </w:instrText>
      </w:r>
      <w:r>
        <w:rPr>
          <w:rFonts w:hint="eastAsia" w:ascii="微软雅黑" w:hAnsi="微软雅黑" w:cs="微软雅黑"/>
          <w:b/>
          <w:bCs/>
          <w:color w:val="0000FF"/>
          <w:kern w:val="0"/>
          <w:sz w:val="24"/>
          <w:szCs w:val="24"/>
          <w:highlight w:val="none"/>
          <w:u w:val="single"/>
          <w:lang w:eastAsia="zh-CN"/>
        </w:rPr>
        <w:fldChar w:fldCharType="separate"/>
      </w:r>
      <w:r>
        <w:rPr>
          <w:rStyle w:val="21"/>
          <w:rFonts w:hint="eastAsia" w:ascii="微软雅黑" w:hAnsi="微软雅黑" w:cs="微软雅黑"/>
          <w:b/>
          <w:bCs/>
          <w:color w:val="0000FF"/>
          <w:kern w:val="0"/>
          <w:sz w:val="24"/>
          <w:szCs w:val="24"/>
          <w:highlight w:val="none"/>
          <w:lang w:eastAsia="zh-CN"/>
        </w:rPr>
        <w:t>西妥昔单抗（Cetuximab）、帕尼单抗（Panitumumab）</w:t>
      </w:r>
      <w:r>
        <w:rPr>
          <w:rFonts w:hint="eastAsia" w:ascii="微软雅黑" w:hAnsi="微软雅黑" w:cs="微软雅黑"/>
          <w:b/>
          <w:bCs/>
          <w:color w:val="0000FF"/>
          <w:kern w:val="0"/>
          <w:sz w:val="24"/>
          <w:szCs w:val="24"/>
          <w:highlight w:val="none"/>
          <w:u w:val="single"/>
          <w:lang w:eastAsia="zh-CN"/>
        </w:rPr>
        <w:fldChar w:fldCharType="end"/>
      </w:r>
    </w:p>
    <w:p w14:paraId="440C4DFE">
      <w:pPr>
        <w:spacing w:after="0"/>
        <w:jc w:val="both"/>
        <w:outlineLvl w:val="9"/>
        <w:rPr>
          <w:rFonts w:hint="eastAsia"/>
          <w:b/>
          <w:bCs/>
          <w:kern w:val="2"/>
          <w:highlight w:val="none"/>
          <w:lang w:eastAsia="zh-CN"/>
        </w:rPr>
      </w:pPr>
      <w:r>
        <w:rPr>
          <w:rFonts w:hint="eastAsia"/>
          <w:b/>
          <w:bCs/>
          <w:kern w:val="2"/>
          <w:highlight w:val="none"/>
          <w:lang w:eastAsia="zh-CN"/>
        </w:rPr>
        <w:t>基因变异与药物关联分析：</w:t>
      </w:r>
    </w:p>
    <w:p w14:paraId="02D0E55D">
      <w:pPr>
        <w:spacing w:after="0"/>
        <w:ind w:firstLine="420" w:firstLineChars="200"/>
        <w:jc w:val="both"/>
        <w:outlineLvl w:val="9"/>
        <w:rPr>
          <w:rFonts w:hint="eastAsia" w:ascii="微软雅黑" w:hAnsi="微软雅黑"/>
          <w:color w:val="auto"/>
          <w:kern w:val="2"/>
          <w:sz w:val="21"/>
          <w:szCs w:val="21"/>
          <w:highlight w:val="none"/>
          <w:lang w:val="en-US" w:eastAsia="zh-CN"/>
        </w:rPr>
      </w:pPr>
      <w:r>
        <w:rPr>
          <w:rFonts w:hint="eastAsia" w:ascii="微软雅黑" w:hAnsi="微软雅黑" w:eastAsia="微软雅黑" w:cs="Arial Unicode MS"/>
          <w:color w:val="auto"/>
          <w:kern w:val="2"/>
          <w:sz w:val="21"/>
          <w:szCs w:val="21"/>
          <w:highlight w:val="none"/>
          <w:lang w:val="en-US" w:eastAsia="zh-CN"/>
        </w:rPr>
        <w:t>该样本检出KRAS基因</w:t>
      </w:r>
      <w:r>
        <w:rPr>
          <w:rFonts w:hint="eastAsia" w:ascii="微软雅黑" w:hAnsi="微软雅黑" w:cs="Arial Unicode MS"/>
          <w:color w:val="auto"/>
          <w:kern w:val="2"/>
          <w:sz w:val="21"/>
          <w:szCs w:val="21"/>
          <w:highlight w:val="none"/>
          <w:lang w:val="en-US" w:eastAsia="zh-CN"/>
        </w:rPr>
        <w:t>c.34G&gt;A</w:t>
      </w:r>
      <w:r>
        <w:rPr>
          <w:rFonts w:hint="eastAsia" w:ascii="微软雅黑" w:hAnsi="微软雅黑" w:eastAsia="微软雅黑" w:cs="Arial Unicode MS"/>
          <w:color w:val="auto"/>
          <w:kern w:val="2"/>
          <w:sz w:val="21"/>
          <w:szCs w:val="21"/>
          <w:highlight w:val="none"/>
          <w:lang w:val="en-US" w:eastAsia="zh-CN"/>
        </w:rPr>
        <w:t>，</w:t>
      </w:r>
      <w:r>
        <w:rPr>
          <w:rFonts w:hint="eastAsia" w:ascii="微软雅黑" w:hAnsi="微软雅黑" w:cs="Arial Unicode MS"/>
          <w:color w:val="auto"/>
          <w:kern w:val="2"/>
          <w:sz w:val="21"/>
          <w:szCs w:val="21"/>
          <w:highlight w:val="none"/>
          <w:lang w:val="en-US" w:eastAsia="zh-CN"/>
        </w:rPr>
        <w:t>p.G12S</w:t>
      </w:r>
      <w:r>
        <w:rPr>
          <w:rFonts w:hint="eastAsia" w:ascii="微软雅黑" w:hAnsi="微软雅黑" w:eastAsia="微软雅黑" w:cs="Arial Unicode MS"/>
          <w:color w:val="auto"/>
          <w:kern w:val="2"/>
          <w:sz w:val="21"/>
          <w:szCs w:val="21"/>
          <w:highlight w:val="none"/>
          <w:lang w:val="en-US" w:eastAsia="zh-CN"/>
        </w:rPr>
        <w:t>错义突变，为已知激活突变，对蛋白功能有重要影响。</w:t>
      </w:r>
      <w:r>
        <w:rPr>
          <w:rFonts w:hint="eastAsia" w:ascii="微软雅黑" w:hAnsi="微软雅黑"/>
          <w:color w:val="auto"/>
          <w:kern w:val="2"/>
          <w:sz w:val="21"/>
          <w:szCs w:val="21"/>
          <w:highlight w:val="none"/>
          <w:lang w:val="en-US" w:eastAsia="zh-CN"/>
        </w:rPr>
        <w:t>已被证实</w:t>
      </w:r>
      <w:r>
        <w:rPr>
          <w:rFonts w:hint="eastAsia" w:ascii="微软雅黑" w:hAnsi="微软雅黑" w:eastAsia="微软雅黑" w:cs="Arial Unicode MS"/>
          <w:color w:val="auto"/>
          <w:kern w:val="2"/>
          <w:sz w:val="21"/>
          <w:szCs w:val="21"/>
          <w:highlight w:val="none"/>
          <w:lang w:val="en-US" w:eastAsia="zh-CN"/>
        </w:rPr>
        <w:t>KRAS基因</w:t>
      </w:r>
      <w:r>
        <w:rPr>
          <w:rFonts w:hint="eastAsia" w:ascii="微软雅黑" w:hAnsi="微软雅黑" w:cs="Arial Unicode MS"/>
          <w:color w:val="auto"/>
          <w:kern w:val="2"/>
          <w:sz w:val="21"/>
          <w:szCs w:val="21"/>
          <w:highlight w:val="none"/>
          <w:lang w:val="en-US" w:eastAsia="zh-CN"/>
        </w:rPr>
        <w:t>激活突变</w:t>
      </w:r>
      <w:r>
        <w:rPr>
          <w:rFonts w:hint="eastAsia" w:ascii="微软雅黑" w:hAnsi="微软雅黑"/>
          <w:color w:val="auto"/>
          <w:kern w:val="2"/>
          <w:sz w:val="21"/>
          <w:szCs w:val="21"/>
          <w:highlight w:val="none"/>
          <w:lang w:val="en-US" w:eastAsia="zh-CN"/>
        </w:rPr>
        <w:t>是anti-EGFR抗体药物（如西妥昔单抗、帕尼单抗）耐药的标志[20100961]。因此预测患者可能无法从anti-EGFR抗体药物治疗中获益。</w:t>
      </w:r>
    </w:p>
    <w:p w14:paraId="6E48A892">
      <w:pPr>
        <w:spacing w:after="0"/>
        <w:ind w:firstLine="420" w:firstLineChars="200"/>
        <w:jc w:val="both"/>
        <w:outlineLvl w:val="9"/>
        <w:rPr>
          <w:rFonts w:hint="eastAsia"/>
          <w:color w:val="auto"/>
          <w:kern w:val="2"/>
          <w:highlight w:val="none"/>
        </w:rPr>
      </w:pPr>
      <w:r>
        <w:rPr>
          <w:rFonts w:hint="eastAsia" w:ascii="微软雅黑" w:hAnsi="微软雅黑" w:cs="Arial Unicode MS"/>
          <w:color w:val="auto"/>
          <w:kern w:val="2"/>
          <w:sz w:val="21"/>
          <w:szCs w:val="21"/>
          <w:highlight w:val="none"/>
          <w:lang w:val="en-US" w:eastAsia="zh-CN"/>
        </w:rPr>
        <w:t>2022年</w:t>
      </w:r>
      <w:r>
        <w:rPr>
          <w:rFonts w:hint="eastAsia" w:ascii="微软雅黑" w:hAnsi="微软雅黑" w:cs="微软雅黑"/>
          <w:i w:val="0"/>
          <w:color w:val="auto"/>
          <w:kern w:val="2"/>
          <w:sz w:val="21"/>
          <w:szCs w:val="21"/>
          <w:highlight w:val="none"/>
          <w:lang w:val="en-US" w:eastAsia="zh-CN"/>
        </w:rPr>
        <w:t>结肠癌和直肠癌NCCN指南中指出，转移性结直肠癌如需使用西妥昔单抗或帕尼单抗治疗，需检测肿瘤</w:t>
      </w:r>
      <w:r>
        <w:rPr>
          <w:rFonts w:hint="eastAsia" w:ascii="微软雅黑" w:hAnsi="微软雅黑"/>
          <w:color w:val="auto"/>
          <w:kern w:val="1"/>
          <w:sz w:val="21"/>
          <w:szCs w:val="21"/>
          <w:highlight w:val="none"/>
          <w:lang w:val="en-US" w:eastAsia="zh-CN"/>
        </w:rPr>
        <w:t>KRAS/NRAS/BRAF</w:t>
      </w:r>
      <w:r>
        <w:rPr>
          <w:rFonts w:hint="eastAsia" w:ascii="微软雅黑" w:hAnsi="微软雅黑" w:cs="微软雅黑"/>
          <w:i w:val="0"/>
          <w:color w:val="auto"/>
          <w:kern w:val="2"/>
          <w:sz w:val="21"/>
          <w:szCs w:val="21"/>
          <w:highlight w:val="none"/>
          <w:lang w:val="en-US" w:eastAsia="zh-CN"/>
        </w:rPr>
        <w:t>基因的状态，仅限</w:t>
      </w:r>
      <w:r>
        <w:rPr>
          <w:rFonts w:hint="eastAsia" w:ascii="微软雅黑" w:hAnsi="微软雅黑"/>
          <w:color w:val="auto"/>
          <w:kern w:val="1"/>
          <w:sz w:val="21"/>
          <w:szCs w:val="21"/>
          <w:highlight w:val="none"/>
          <w:lang w:val="en-US" w:eastAsia="zh-CN"/>
        </w:rPr>
        <w:t>KRAS/NRAS/BRAF</w:t>
      </w:r>
      <w:r>
        <w:rPr>
          <w:rFonts w:hint="eastAsia" w:ascii="微软雅黑" w:hAnsi="微软雅黑" w:cs="微软雅黑"/>
          <w:i w:val="0"/>
          <w:color w:val="auto"/>
          <w:kern w:val="2"/>
          <w:sz w:val="21"/>
          <w:szCs w:val="21"/>
          <w:highlight w:val="none"/>
          <w:lang w:val="en-US" w:eastAsia="zh-CN"/>
        </w:rPr>
        <w:t>基因野生型患者使用，突变型患者基本无效。</w:t>
      </w:r>
      <w:r>
        <w:rPr>
          <w:rFonts w:hint="eastAsia" w:ascii="微软雅黑" w:hAnsi="微软雅黑"/>
          <w:color w:val="auto"/>
          <w:kern w:val="2"/>
          <w:sz w:val="21"/>
          <w:szCs w:val="21"/>
          <w:highlight w:val="none"/>
          <w:lang w:val="en-US" w:eastAsia="zh-CN"/>
        </w:rPr>
        <w:t>本次样本检测到KRAS重要突变，可能会对西妥昔单抗或帕尼单抗用药疗效呈负相关性。</w:t>
      </w:r>
      <w:r>
        <w:rPr>
          <w:rFonts w:hint="eastAsia" w:ascii="微软雅黑" w:hAnsi="微软雅黑"/>
          <w:color w:val="auto"/>
          <w:kern w:val="1"/>
          <w:sz w:val="21"/>
          <w:szCs w:val="21"/>
          <w:highlight w:val="none"/>
          <w:lang w:val="en-US" w:eastAsia="zh-CN"/>
        </w:rPr>
        <w:t>FDA和NMPA批准西妥昔单抗用于治疗结直肠癌和头颈部鳞状细胞癌</w:t>
      </w:r>
      <w:r>
        <w:rPr>
          <w:rFonts w:hint="eastAsia" w:ascii="微软雅黑" w:hAnsi="微软雅黑"/>
          <w:color w:val="auto"/>
          <w:kern w:val="1"/>
          <w:sz w:val="21"/>
          <w:szCs w:val="21"/>
          <w:highlight w:val="none"/>
        </w:rPr>
        <w:t>。</w:t>
      </w:r>
      <w:r>
        <w:rPr>
          <w:rFonts w:hint="eastAsia" w:ascii="微软雅黑" w:hAnsi="微软雅黑" w:eastAsia="微软雅黑"/>
          <w:b w:val="0"/>
          <w:bCs w:val="0"/>
          <w:color w:val="auto"/>
          <w:kern w:val="2"/>
          <w:sz w:val="21"/>
          <w:szCs w:val="21"/>
          <w:highlight w:val="none"/>
        </w:rPr>
        <w:t>FDA批准帕尼单抗用于治疗转移性结直肠癌。</w:t>
      </w:r>
    </w:p>
    <w:p w14:paraId="1735227F">
      <w:pPr>
        <w:spacing w:after="0"/>
        <w:jc w:val="both"/>
        <w:outlineLvl w:val="9"/>
        <w:rPr>
          <w:rFonts w:hint="eastAsia"/>
          <w:b/>
          <w:bCs/>
          <w:kern w:val="2"/>
          <w:highlight w:val="none"/>
          <w:lang w:eastAsia="zh-CN"/>
        </w:rPr>
      </w:pPr>
      <w:r>
        <w:rPr>
          <w:rFonts w:hint="eastAsia"/>
          <w:b/>
          <w:bCs/>
          <w:kern w:val="2"/>
          <w:highlight w:val="none"/>
          <w:lang w:eastAsia="zh-CN"/>
        </w:rPr>
        <w:t>药物疗效临床解析：</w:t>
      </w:r>
    </w:p>
    <w:p w14:paraId="220F9744">
      <w:pPr>
        <w:keepNext w:val="0"/>
        <w:keepLines w:val="0"/>
        <w:pageBreakBefore w:val="0"/>
        <w:widowControl/>
        <w:kinsoku/>
        <w:wordWrap/>
        <w:overflowPunct/>
        <w:topLinePunct w:val="0"/>
        <w:autoSpaceDE/>
        <w:autoSpaceDN/>
        <w:bidi w:val="0"/>
        <w:adjustRightInd w:val="0"/>
        <w:snapToGrid w:val="0"/>
        <w:spacing w:after="0" w:line="240" w:lineRule="auto"/>
        <w:ind w:left="0" w:leftChars="0" w:right="0" w:rightChars="0" w:firstLine="420" w:firstLineChars="200"/>
        <w:jc w:val="both"/>
        <w:textAlignment w:val="auto"/>
        <w:outlineLvl w:val="9"/>
        <w:rPr>
          <w:rFonts w:hint="eastAsia" w:ascii="微软雅黑" w:hAnsi="微软雅黑"/>
          <w:color w:val="auto"/>
          <w:kern w:val="2"/>
          <w:sz w:val="21"/>
          <w:szCs w:val="21"/>
          <w:highlight w:val="none"/>
          <w:lang w:val="en-US" w:eastAsia="zh-CN"/>
        </w:rPr>
      </w:pPr>
      <w:r>
        <w:rPr>
          <w:rFonts w:hint="eastAsia" w:ascii="微软雅黑" w:hAnsi="微软雅黑"/>
          <w:color w:val="auto"/>
          <w:kern w:val="2"/>
          <w:sz w:val="21"/>
          <w:szCs w:val="21"/>
          <w:highlight w:val="none"/>
          <w:lang w:val="en-US" w:eastAsia="zh-CN"/>
        </w:rPr>
        <w:t>西妥昔单抗：在包含30名结直肠癌患者的一项临床试验中，19名患者对西妥昔单抗不敏感，其中13名患者携带KRAS基因突变，而在11名对西妥昔单抗敏感的患者中没有检测到KRAS突变。KRAS基因突变与患者缺乏对西妥昔单抗的响应密切相关。即使将3名接受过西妥昔单抗联合FOLFIRI作为一线治疗的患者排除在外，差异依然显著。在余下的27名患者中，KRAS基因野生型患者的总生存期显著高于携带KRAS基因突变的患者。在这项试验中，KRAS基因野生型患者的中位总生存期高于携带KRAS突变的患者（16.3个月vs.6.9个月）。该试验表明KRAS基因野生型的结直肠癌患者更容易对西妥昔单抗敏感并获得更长的生存期。KRAS基因突变是患者对西妥昔单抗耐药的标志，并且与较差的预后相关[16618717]。在另一项试验中，100名患有转移性结直肠癌的患者参与西妥昔单抗单药治疗。试验结果显示，KRAS基因野生型患者的疾病控制率显著高于携带 KRAS基因突变的患者，该试验同样表明KRAS基因野生型的患者更能从西妥昔单抗的治疗中获益[17664471]。</w:t>
      </w:r>
      <w:r>
        <w:rPr>
          <w:rFonts w:hint="eastAsia" w:ascii="微软雅黑" w:hAnsi="微软雅黑"/>
          <w:color w:val="auto"/>
          <w:kern w:val="2"/>
          <w:sz w:val="21"/>
          <w:szCs w:val="21"/>
          <w:highlight w:val="none"/>
          <w:lang w:eastAsia="zh-CN"/>
        </w:rPr>
        <w:t>一项纳入了</w:t>
      </w:r>
      <w:r>
        <w:rPr>
          <w:rFonts w:hint="eastAsia" w:ascii="微软雅黑" w:hAnsi="微软雅黑"/>
          <w:color w:val="auto"/>
          <w:kern w:val="2"/>
          <w:sz w:val="21"/>
          <w:szCs w:val="21"/>
          <w:highlight w:val="none"/>
          <w:lang w:val="en-US" w:eastAsia="zh-CN"/>
        </w:rPr>
        <w:t>59例难治性转移性结直肠癌患者的</w:t>
      </w:r>
      <w:r>
        <w:rPr>
          <w:rFonts w:hint="eastAsia" w:ascii="微软雅黑" w:hAnsi="微软雅黑"/>
          <w:color w:val="auto"/>
          <w:kern w:val="2"/>
          <w:sz w:val="21"/>
          <w:szCs w:val="21"/>
          <w:highlight w:val="none"/>
          <w:lang w:eastAsia="zh-CN"/>
        </w:rPr>
        <w:t>研究</w:t>
      </w:r>
      <w:r>
        <w:rPr>
          <w:rFonts w:hint="eastAsia" w:ascii="微软雅黑" w:hAnsi="微软雅黑"/>
          <w:color w:val="auto"/>
          <w:kern w:val="2"/>
          <w:sz w:val="21"/>
          <w:szCs w:val="21"/>
          <w:highlight w:val="none"/>
          <w:lang w:val="en-US" w:eastAsia="zh-CN"/>
        </w:rPr>
        <w:t>，旨在评估西妥昔单抗加化疗的治疗效果。研究证实具有KRAS突变的患者对治疗无反应[17375050]。</w:t>
      </w:r>
    </w:p>
    <w:p w14:paraId="31CDCF0A">
      <w:pPr>
        <w:adjustRightInd w:val="0"/>
        <w:snapToGrid w:val="0"/>
        <w:spacing w:after="0"/>
        <w:ind w:firstLine="420" w:firstLineChars="200"/>
        <w:jc w:val="both"/>
        <w:outlineLvl w:val="9"/>
        <w:rPr>
          <w:rFonts w:hint="eastAsia" w:ascii="微软雅黑" w:hAnsi="微软雅黑" w:cs="Arial Unicode MS"/>
          <w:kern w:val="2"/>
          <w:sz w:val="21"/>
          <w:szCs w:val="21"/>
          <w:highlight w:val="none"/>
          <w:lang w:eastAsia="zh-CN"/>
        </w:rPr>
      </w:pPr>
      <w:r>
        <w:rPr>
          <w:rFonts w:hint="eastAsia" w:ascii="微软雅黑" w:hAnsi="微软雅黑"/>
          <w:color w:val="auto"/>
          <w:kern w:val="2"/>
          <w:sz w:val="21"/>
          <w:szCs w:val="21"/>
          <w:highlight w:val="none"/>
          <w:lang w:val="en-US" w:eastAsia="zh-CN"/>
        </w:rPr>
        <w:t>帕尼单抗：一项试验旨在评估含KRAS、BRAF或PIK3CA基因突变的患者对帕尼单抗单药治疗的耐受性。从3个评估帕尼单抗治疗转移性结直肠癌疗效的临床Ⅱ期试验中挑选出62名患者进行评估，通过测序确定患者DNA中基因突变情况。结果显示，62名患者中，有24名（38.7%）携带KRAS基因突变。在KRAS野生型患者中，11%的患者对帕尼单抗具有部分响应（PR），53%的患者在治疗后病情稳定（SD），37%的患者疾病进展（PD）。在KRAS基因突变患者中，有21%的患者病情稳定，79%的患者疾病进展，没有患者对帕尼单抗产生响应。由此看出，KRAS基因突变与患者对帕尼单抗治疗后响应的缺失密切相关（PR vs. SD vs. PD; P=0.0028）。野生型KRAS患者与携带KRAS 基因突变患者的无进展生存期风险比为0.4（95% CI, 0.2-0.7），总体生存期的风险比为0.5（95% CI, 0.3-0.9）。这些数据表明，携带KRAS激活突变的转移性结直肠癌患者不太可能对帕尼单抗单药治疗产生响应[18621636]。在另一项结直肠癌患者的Ⅲ期临床试验中，KRAS基因野生型的患者和携带KRAS基因突变的患者对帕尼单抗的响应率分别为17%和0%[23066310]。三项随机Ⅲ期试验研究的回顾性分析，评估了KRAS密码子12和13突变型对转移性结直肠癌患者使用帕尼单抗的影响，结果显示具有KRAS密码子12和13突变型的患者不能受益于帕尼单抗治疗[23182985]。</w:t>
      </w:r>
    </w:p>
    <w:p w14:paraId="72E2E25E">
      <w:pPr>
        <w:keepNext w:val="0"/>
        <w:keepLines w:val="0"/>
        <w:pageBreakBefore w:val="0"/>
        <w:widowControl/>
        <w:numPr>
          <w:ilvl w:val="0"/>
          <w:numId w:val="13"/>
        </w:numPr>
        <w:kinsoku/>
        <w:wordWrap/>
        <w:overflowPunct/>
        <w:topLinePunct w:val="0"/>
        <w:autoSpaceDE/>
        <w:autoSpaceDN/>
        <w:bidi w:val="0"/>
        <w:adjustRightInd w:val="0"/>
        <w:snapToGrid w:val="0"/>
        <w:spacing w:before="200" w:afterLines="0"/>
        <w:ind w:left="420" w:hanging="420"/>
        <w:jc w:val="both"/>
        <w:textAlignment w:val="auto"/>
        <w:rPr>
          <w:rFonts w:ascii="微软雅黑" w:hAnsi="微软雅黑" w:cs="微软雅黑"/>
          <w:b/>
          <w:bCs/>
          <w:sz w:val="24"/>
          <w:szCs w:val="24"/>
          <w:highlight w:val="none"/>
        </w:rPr>
      </w:pPr>
      <w:r>
        <w:rPr>
          <w:rFonts w:hint="eastAsia" w:ascii="微软雅黑" w:hAnsi="微软雅黑" w:cs="微软雅黑"/>
          <w:b/>
          <w:bCs/>
          <w:color w:val="0000FF"/>
          <w:sz w:val="24"/>
          <w:szCs w:val="24"/>
          <w:highlight w:val="none"/>
          <w:u w:val="single"/>
          <w:lang w:eastAsia="zh-CN"/>
        </w:rPr>
        <w:fldChar w:fldCharType="begin"/>
      </w:r>
      <w:r>
        <w:rPr>
          <w:rFonts w:hint="eastAsia" w:ascii="微软雅黑" w:hAnsi="微软雅黑" w:cs="微软雅黑"/>
          <w:b/>
          <w:bCs/>
          <w:color w:val="0000FF"/>
          <w:sz w:val="24"/>
          <w:szCs w:val="24"/>
          <w:highlight w:val="none"/>
          <w:u w:val="single"/>
          <w:lang w:eastAsia="zh-CN"/>
        </w:rPr>
        <w:instrText xml:space="preserve"> HYPERLINK \l "重要基因变异及潜在靶向药物信息" </w:instrText>
      </w:r>
      <w:r>
        <w:rPr>
          <w:rFonts w:hint="eastAsia" w:ascii="微软雅黑" w:hAnsi="微软雅黑" w:cs="微软雅黑"/>
          <w:b/>
          <w:bCs/>
          <w:color w:val="0000FF"/>
          <w:sz w:val="24"/>
          <w:szCs w:val="24"/>
          <w:highlight w:val="none"/>
          <w:u w:val="single"/>
          <w:lang w:eastAsia="zh-CN"/>
        </w:rPr>
        <w:fldChar w:fldCharType="separate"/>
      </w:r>
      <w:r>
        <w:rPr>
          <w:rStyle w:val="21"/>
          <w:rFonts w:hint="eastAsia" w:ascii="微软雅黑" w:hAnsi="微软雅黑" w:cs="微软雅黑"/>
          <w:b/>
          <w:bCs/>
          <w:color w:val="0000FF"/>
          <w:sz w:val="24"/>
          <w:szCs w:val="24"/>
          <w:highlight w:val="none"/>
          <w:lang w:eastAsia="zh-CN"/>
        </w:rPr>
        <w:t>依维莫司（Everolimus）</w:t>
      </w:r>
      <w:r>
        <w:rPr>
          <w:rFonts w:hint="eastAsia" w:ascii="微软雅黑" w:hAnsi="微软雅黑" w:cs="微软雅黑"/>
          <w:b/>
          <w:bCs/>
          <w:color w:val="0000FF"/>
          <w:sz w:val="24"/>
          <w:szCs w:val="24"/>
          <w:highlight w:val="none"/>
          <w:u w:val="single"/>
          <w:lang w:eastAsia="zh-CN"/>
        </w:rPr>
        <w:fldChar w:fldCharType="end"/>
      </w:r>
    </w:p>
    <w:p w14:paraId="0C399CE6">
      <w:pPr>
        <w:spacing w:after="0"/>
        <w:jc w:val="both"/>
        <w:rPr>
          <w:b/>
          <w:bCs/>
          <w:kern w:val="2"/>
          <w:highlight w:val="none"/>
        </w:rPr>
      </w:pPr>
      <w:r>
        <w:rPr>
          <w:rFonts w:hint="eastAsia"/>
          <w:b/>
          <w:bCs/>
          <w:kern w:val="2"/>
          <w:highlight w:val="none"/>
        </w:rPr>
        <w:t>基因变异与药物关联分析：</w:t>
      </w:r>
    </w:p>
    <w:p w14:paraId="3590D854">
      <w:pPr>
        <w:spacing w:after="0"/>
        <w:ind w:firstLine="420" w:firstLineChars="200"/>
        <w:jc w:val="both"/>
        <w:rPr>
          <w:rFonts w:ascii="微软雅黑" w:hAnsi="微软雅黑" w:cs="Arial Unicode MS"/>
          <w:kern w:val="2"/>
          <w:sz w:val="21"/>
          <w:szCs w:val="21"/>
          <w:highlight w:val="none"/>
        </w:rPr>
      </w:pPr>
      <w:r>
        <w:rPr>
          <w:rFonts w:hint="eastAsia" w:ascii="微软雅黑" w:hAnsi="微软雅黑" w:eastAsia="微软雅黑" w:cs="Arial Unicode MS"/>
          <w:color w:val="auto"/>
          <w:kern w:val="2"/>
          <w:sz w:val="21"/>
          <w:szCs w:val="21"/>
          <w:highlight w:val="none"/>
          <w:lang w:val="en-US" w:eastAsia="zh-CN"/>
        </w:rPr>
        <w:t>该样本检出KRAS基因</w:t>
      </w:r>
      <w:r>
        <w:rPr>
          <w:rFonts w:hint="eastAsia" w:ascii="微软雅黑" w:hAnsi="微软雅黑" w:cs="微软雅黑"/>
          <w:sz w:val="21"/>
          <w:lang w:eastAsia="zh-CN"/>
        </w:rPr>
        <w:t>c.34G&gt;A</w:t>
      </w:r>
      <w:r>
        <w:rPr>
          <w:rFonts w:hint="eastAsia" w:ascii="微软雅黑" w:hAnsi="微软雅黑" w:cs="微软雅黑"/>
          <w:sz w:val="21"/>
        </w:rPr>
        <w:t>，</w:t>
      </w:r>
      <w:r>
        <w:rPr>
          <w:rFonts w:hint="eastAsia" w:ascii="微软雅黑" w:hAnsi="微软雅黑" w:cs="微软雅黑"/>
          <w:sz w:val="21"/>
          <w:lang w:eastAsia="zh-CN"/>
        </w:rPr>
        <w:t>p.G12S</w:t>
      </w:r>
      <w:r>
        <w:rPr>
          <w:rFonts w:hint="eastAsia" w:ascii="微软雅黑" w:hAnsi="微软雅黑" w:cs="微软雅黑"/>
          <w:sz w:val="21"/>
        </w:rPr>
        <w:t>错义突变</w:t>
      </w:r>
      <w:r>
        <w:rPr>
          <w:rFonts w:hint="eastAsia" w:ascii="微软雅黑" w:hAnsi="微软雅黑" w:eastAsia="微软雅黑" w:cs="Arial Unicode MS"/>
          <w:color w:val="auto"/>
          <w:kern w:val="2"/>
          <w:sz w:val="21"/>
          <w:szCs w:val="21"/>
          <w:highlight w:val="none"/>
          <w:lang w:val="en-US" w:eastAsia="zh-CN"/>
        </w:rPr>
        <w:t>，为已知激活突变，对蛋白功能有重要影响。</w:t>
      </w:r>
      <w:r>
        <w:rPr>
          <w:rFonts w:hint="eastAsia" w:ascii="微软雅黑" w:hAnsi="微软雅黑" w:cs="Arial Unicode MS"/>
          <w:color w:val="auto"/>
          <w:kern w:val="2"/>
          <w:sz w:val="21"/>
          <w:szCs w:val="21"/>
          <w:highlight w:val="none"/>
          <w:lang w:val="en-US" w:eastAsia="zh-CN"/>
        </w:rPr>
        <w:t>临床前研究表明，含有KRAS突变的结肠癌细胞系对依维莫司不敏感[</w:t>
      </w:r>
      <w:r>
        <w:rPr>
          <w:rFonts w:hint="eastAsia" w:ascii="微软雅黑" w:hAnsi="微软雅黑" w:cs="Arial Unicode MS"/>
          <w:color w:val="auto"/>
          <w:kern w:val="2"/>
          <w:sz w:val="21"/>
          <w:szCs w:val="21"/>
          <w:highlight w:val="none"/>
          <w:lang w:val="en-US" w:eastAsia="zh-CN"/>
        </w:rPr>
        <w:fldChar w:fldCharType="begin"/>
      </w:r>
      <w:r>
        <w:rPr>
          <w:rFonts w:hint="eastAsia" w:ascii="微软雅黑" w:hAnsi="微软雅黑" w:cs="Arial Unicode MS"/>
          <w:color w:val="auto"/>
          <w:kern w:val="2"/>
          <w:sz w:val="21"/>
          <w:szCs w:val="21"/>
          <w:highlight w:val="none"/>
          <w:lang w:val="en-US" w:eastAsia="zh-CN"/>
        </w:rPr>
        <w:instrText xml:space="preserve"> HYPERLINK "https://www.ncbi.nlm.nih.gov/pubmed/29285035" </w:instrText>
      </w:r>
      <w:r>
        <w:rPr>
          <w:rFonts w:hint="eastAsia" w:ascii="微软雅黑" w:hAnsi="微软雅黑" w:cs="Arial Unicode MS"/>
          <w:color w:val="auto"/>
          <w:kern w:val="2"/>
          <w:sz w:val="21"/>
          <w:szCs w:val="21"/>
          <w:highlight w:val="none"/>
          <w:lang w:val="en-US" w:eastAsia="zh-CN"/>
        </w:rPr>
        <w:fldChar w:fldCharType="separate"/>
      </w:r>
      <w:r>
        <w:rPr>
          <w:rFonts w:hint="eastAsia" w:ascii="微软雅黑" w:hAnsi="微软雅黑" w:cs="Arial Unicode MS"/>
          <w:color w:val="auto"/>
          <w:kern w:val="2"/>
          <w:sz w:val="21"/>
          <w:szCs w:val="21"/>
          <w:highlight w:val="none"/>
          <w:lang w:val="en-US" w:eastAsia="zh-CN"/>
        </w:rPr>
        <w:t>29285035</w:t>
      </w:r>
      <w:r>
        <w:rPr>
          <w:rFonts w:hint="eastAsia" w:ascii="微软雅黑" w:hAnsi="微软雅黑" w:cs="Arial Unicode MS"/>
          <w:color w:val="auto"/>
          <w:kern w:val="2"/>
          <w:sz w:val="21"/>
          <w:szCs w:val="21"/>
          <w:highlight w:val="none"/>
          <w:lang w:val="en-US" w:eastAsia="zh-CN"/>
        </w:rPr>
        <w:fldChar w:fldCharType="end"/>
      </w:r>
      <w:r>
        <w:rPr>
          <w:rFonts w:hint="eastAsia" w:ascii="微软雅黑" w:hAnsi="微软雅黑" w:cs="Arial Unicode MS"/>
          <w:color w:val="auto"/>
          <w:kern w:val="2"/>
          <w:sz w:val="21"/>
          <w:szCs w:val="21"/>
          <w:highlight w:val="none"/>
          <w:lang w:val="en-US" w:eastAsia="zh-CN"/>
        </w:rPr>
        <w:t>，28544747]。</w:t>
      </w:r>
      <w:r>
        <w:rPr>
          <w:rFonts w:hint="eastAsia" w:ascii="微软雅黑" w:hAnsi="微软雅黑" w:cs="Arial Unicode MS"/>
          <w:kern w:val="2"/>
          <w:sz w:val="21"/>
          <w:szCs w:val="21"/>
          <w:highlight w:val="none"/>
          <w:lang w:val="en-US" w:eastAsia="zh-CN"/>
        </w:rPr>
        <w:t>因此，该患者</w:t>
      </w:r>
      <w:r>
        <w:rPr>
          <w:rFonts w:hint="eastAsia" w:ascii="微软雅黑" w:hAnsi="微软雅黑" w:cs="Arial Unicode MS"/>
          <w:kern w:val="2"/>
          <w:sz w:val="21"/>
          <w:szCs w:val="21"/>
          <w:highlight w:val="none"/>
        </w:rPr>
        <w:t>可能</w:t>
      </w:r>
      <w:r>
        <w:rPr>
          <w:rFonts w:hint="eastAsia" w:ascii="微软雅黑" w:hAnsi="微软雅黑" w:cs="Arial Unicode MS"/>
          <w:kern w:val="2"/>
          <w:sz w:val="21"/>
          <w:szCs w:val="21"/>
          <w:highlight w:val="none"/>
          <w:lang w:val="en-US" w:eastAsia="zh-CN"/>
        </w:rPr>
        <w:t>对依维莫司</w:t>
      </w:r>
      <w:r>
        <w:rPr>
          <w:rFonts w:hint="eastAsia" w:ascii="微软雅黑" w:hAnsi="微软雅黑" w:cs="Arial Unicode MS"/>
          <w:kern w:val="2"/>
          <w:sz w:val="21"/>
          <w:szCs w:val="21"/>
          <w:highlight w:val="none"/>
        </w:rPr>
        <w:t>的治疗</w:t>
      </w:r>
      <w:r>
        <w:rPr>
          <w:rFonts w:hint="eastAsia" w:ascii="微软雅黑" w:hAnsi="微软雅黑" w:cs="Arial Unicode MS"/>
          <w:kern w:val="2"/>
          <w:sz w:val="21"/>
          <w:szCs w:val="21"/>
          <w:highlight w:val="none"/>
          <w:lang w:eastAsia="zh-CN"/>
        </w:rPr>
        <w:t>负相关</w:t>
      </w:r>
      <w:r>
        <w:rPr>
          <w:rFonts w:hint="eastAsia" w:ascii="微软雅黑" w:hAnsi="微软雅黑" w:cs="Arial Unicode MS"/>
          <w:kern w:val="2"/>
          <w:sz w:val="21"/>
          <w:szCs w:val="21"/>
          <w:highlight w:val="none"/>
        </w:rPr>
        <w:t>。</w:t>
      </w:r>
      <w:r>
        <w:rPr>
          <w:rFonts w:hint="eastAsia" w:ascii="微软雅黑" w:hAnsi="微软雅黑" w:cs="微软雅黑"/>
          <w:color w:val="auto"/>
          <w:sz w:val="21"/>
          <w:szCs w:val="21"/>
          <w:highlight w:val="none"/>
          <w:lang w:val="en-US" w:eastAsia="zh-CN"/>
        </w:rPr>
        <w:t>依维莫司已获FDA批准，用于治疗乳腺癌、神经内分泌瘤、肾癌等疾病，并已获NMPA批准，用于治疗肾癌、室管膜下巨细胞型星形细胞瘤。</w:t>
      </w:r>
    </w:p>
    <w:p w14:paraId="39EE1902">
      <w:pPr>
        <w:spacing w:after="0"/>
        <w:jc w:val="both"/>
        <w:rPr>
          <w:b/>
          <w:bCs/>
          <w:kern w:val="2"/>
          <w:highlight w:val="none"/>
        </w:rPr>
      </w:pPr>
      <w:r>
        <w:rPr>
          <w:rFonts w:hint="eastAsia"/>
          <w:b/>
          <w:bCs/>
          <w:kern w:val="2"/>
          <w:highlight w:val="none"/>
        </w:rPr>
        <w:t>药物疗效临床解析：</w:t>
      </w:r>
    </w:p>
    <w:p w14:paraId="3E3C5B8D">
      <w:pPr>
        <w:keepNext w:val="0"/>
        <w:keepLines w:val="0"/>
        <w:pageBreakBefore w:val="0"/>
        <w:widowControl/>
        <w:numPr>
          <w:ilvl w:val="0"/>
          <w:numId w:val="0"/>
        </w:numPr>
        <w:kinsoku/>
        <w:wordWrap/>
        <w:overflowPunct/>
        <w:topLinePunct w:val="0"/>
        <w:autoSpaceDE/>
        <w:autoSpaceDN/>
        <w:bidi w:val="0"/>
        <w:adjustRightInd/>
        <w:snapToGrid/>
        <w:spacing w:before="0" w:beforeLines="-2147483648" w:after="0" w:afterLines="-2147483648" w:afterAutospacing="0"/>
        <w:ind w:firstLine="420" w:firstLineChars="200"/>
        <w:jc w:val="both"/>
        <w:textAlignment w:val="auto"/>
        <w:outlineLvl w:val="2"/>
        <w:rPr>
          <w:rFonts w:hint="eastAsia" w:ascii="微软雅黑" w:hAnsi="微软雅黑" w:eastAsia="微软雅黑" w:cs="Arial Unicode MS"/>
          <w:color w:val="auto"/>
          <w:kern w:val="2"/>
          <w:sz w:val="21"/>
          <w:szCs w:val="21"/>
          <w:highlight w:val="none"/>
          <w:lang w:val="en-US" w:eastAsia="zh-CN"/>
        </w:rPr>
      </w:pPr>
      <w:r>
        <w:rPr>
          <w:rFonts w:hint="eastAsia" w:ascii="微软雅黑" w:hAnsi="微软雅黑" w:eastAsia="微软雅黑" w:cs="Arial Unicode MS"/>
          <w:color w:val="auto"/>
          <w:kern w:val="2"/>
          <w:sz w:val="21"/>
          <w:szCs w:val="21"/>
          <w:highlight w:val="none"/>
          <w:lang w:val="en-US" w:eastAsia="zh-CN"/>
        </w:rPr>
        <w:t>临床前研究表明，含有KRAS突变的结肠癌细胞系对依维莫司不敏感[</w:t>
      </w:r>
      <w:r>
        <w:rPr>
          <w:rFonts w:hint="eastAsia" w:ascii="微软雅黑" w:hAnsi="微软雅黑" w:eastAsia="微软雅黑" w:cs="Arial Unicode MS"/>
          <w:color w:val="auto"/>
          <w:kern w:val="2"/>
          <w:sz w:val="21"/>
          <w:szCs w:val="21"/>
          <w:highlight w:val="none"/>
          <w:lang w:val="en-US" w:eastAsia="zh-CN"/>
        </w:rPr>
        <w:fldChar w:fldCharType="begin"/>
      </w:r>
      <w:r>
        <w:rPr>
          <w:rFonts w:hint="eastAsia" w:ascii="微软雅黑" w:hAnsi="微软雅黑" w:eastAsia="微软雅黑" w:cs="Arial Unicode MS"/>
          <w:color w:val="auto"/>
          <w:kern w:val="2"/>
          <w:sz w:val="21"/>
          <w:szCs w:val="21"/>
          <w:highlight w:val="none"/>
          <w:lang w:val="en-US" w:eastAsia="zh-CN"/>
        </w:rPr>
        <w:instrText xml:space="preserve"> HYPERLINK "https://www.ncbi.nlm.nih.gov/pubmed/29285035" </w:instrText>
      </w:r>
      <w:r>
        <w:rPr>
          <w:rFonts w:hint="eastAsia" w:ascii="微软雅黑" w:hAnsi="微软雅黑" w:eastAsia="微软雅黑" w:cs="Arial Unicode MS"/>
          <w:color w:val="auto"/>
          <w:kern w:val="2"/>
          <w:sz w:val="21"/>
          <w:szCs w:val="21"/>
          <w:highlight w:val="none"/>
          <w:lang w:val="en-US" w:eastAsia="zh-CN"/>
        </w:rPr>
        <w:fldChar w:fldCharType="separate"/>
      </w:r>
      <w:r>
        <w:rPr>
          <w:rFonts w:hint="eastAsia" w:ascii="微软雅黑" w:hAnsi="微软雅黑" w:eastAsia="微软雅黑" w:cs="Arial Unicode MS"/>
          <w:color w:val="auto"/>
          <w:kern w:val="2"/>
          <w:sz w:val="21"/>
          <w:szCs w:val="21"/>
          <w:highlight w:val="none"/>
          <w:lang w:val="en-US" w:eastAsia="zh-CN"/>
        </w:rPr>
        <w:t>29285035</w:t>
      </w:r>
      <w:r>
        <w:rPr>
          <w:rFonts w:hint="eastAsia" w:ascii="微软雅黑" w:hAnsi="微软雅黑" w:eastAsia="微软雅黑" w:cs="Arial Unicode MS"/>
          <w:color w:val="auto"/>
          <w:kern w:val="2"/>
          <w:sz w:val="21"/>
          <w:szCs w:val="21"/>
          <w:highlight w:val="none"/>
          <w:lang w:val="en-US" w:eastAsia="zh-CN"/>
        </w:rPr>
        <w:fldChar w:fldCharType="end"/>
      </w:r>
      <w:r>
        <w:rPr>
          <w:rFonts w:hint="eastAsia" w:ascii="微软雅黑" w:hAnsi="微软雅黑" w:eastAsia="微软雅黑" w:cs="Arial Unicode MS"/>
          <w:color w:val="auto"/>
          <w:kern w:val="2"/>
          <w:sz w:val="21"/>
          <w:szCs w:val="21"/>
          <w:highlight w:val="none"/>
          <w:lang w:val="en-US" w:eastAsia="zh-CN"/>
        </w:rPr>
        <w:t>，28544747]。在转移性癌症患者中，携带KRAS突变的患者接受依维莫司治疗后对依维莫司缺乏疗效，12例具有KRAS突变的肿瘤患者中11例均出现疾病进展，而31例KRAS野生型患者中仅16例患者未从依维莫司治疗中获益[20664172]。</w:t>
      </w:r>
    </w:p>
    <w:p w14:paraId="72A4F619">
      <w:pPr>
        <w:numPr>
          <w:ilvl w:val="255"/>
          <w:numId w:val="0"/>
        </w:numPr>
        <w:adjustRightInd/>
        <w:snapToGrid/>
        <w:spacing w:after="100" w:afterAutospacing="1"/>
        <w:ind w:firstLine="420" w:firstLineChars="200"/>
        <w:jc w:val="both"/>
        <w:rPr>
          <w:rFonts w:ascii="微软雅黑" w:hAnsi="微软雅黑" w:cs="Arial Unicode MS"/>
          <w:kern w:val="2"/>
          <w:sz w:val="21"/>
          <w:szCs w:val="21"/>
        </w:rPr>
      </w:pPr>
      <w:r>
        <w:rPr>
          <w:rFonts w:hint="eastAsia" w:ascii="微软雅黑" w:hAnsi="微软雅黑" w:cs="Arial Unicode MS"/>
          <w:kern w:val="2"/>
          <w:sz w:val="21"/>
          <w:szCs w:val="21"/>
        </w:rPr>
        <w:br w:type="page"/>
      </w:r>
    </w:p>
    <w:p w14:paraId="062BD906">
      <w:pPr>
        <w:adjustRightInd/>
        <w:snapToGrid/>
        <w:spacing w:line="220" w:lineRule="atLeast"/>
        <w:outlineLvl w:val="0"/>
        <w:rPr>
          <w:rFonts w:ascii="微软雅黑" w:hAnsi="微软雅黑"/>
          <w:b/>
          <w:sz w:val="24"/>
          <w:szCs w:val="24"/>
        </w:rPr>
      </w:pPr>
      <w:bookmarkStart w:id="181" w:name="_Toc3535"/>
      <w:r>
        <w:rPr>
          <w:rFonts w:hint="eastAsia" w:ascii="微软雅黑" w:hAnsi="微软雅黑"/>
          <w:b/>
          <w:sz w:val="24"/>
          <w:szCs w:val="24"/>
        </w:rPr>
        <w:t>3. 阅读说明</w:t>
      </w:r>
      <w:bookmarkEnd w:id="181"/>
      <w:r>
        <w:commentReference w:id="29"/>
      </w:r>
    </w:p>
    <w:p w14:paraId="2871E026">
      <w:pPr>
        <w:jc w:val="both"/>
        <w:rPr>
          <w:rFonts w:ascii="微软雅黑" w:hAnsi="微软雅黑" w:cs="微软雅黑"/>
          <w:b/>
          <w:bCs/>
          <w:sz w:val="21"/>
          <w:szCs w:val="21"/>
        </w:rPr>
      </w:pPr>
      <w:r>
        <w:rPr>
          <w:rFonts w:hint="eastAsia" w:ascii="微软雅黑" w:hAnsi="微软雅黑"/>
          <w:b/>
          <w:sz w:val="24"/>
          <w:szCs w:val="24"/>
        </w:rPr>
        <w:t>3.1 文中参考文献及临床试验编号说明</w:t>
      </w:r>
    </w:p>
    <w:p w14:paraId="1EA78AC6">
      <w:pPr>
        <w:numPr>
          <w:ilvl w:val="0"/>
          <w:numId w:val="17"/>
        </w:numPr>
        <w:spacing w:after="0"/>
        <w:jc w:val="both"/>
        <w:rPr>
          <w:rFonts w:ascii="微软雅黑" w:hAnsi="微软雅黑" w:cs="微软雅黑"/>
          <w:sz w:val="21"/>
          <w:szCs w:val="21"/>
        </w:rPr>
      </w:pPr>
      <w:r>
        <w:rPr>
          <w:rFonts w:hint="eastAsia" w:ascii="微软雅黑" w:hAnsi="微软雅黑" w:cs="微软雅黑"/>
          <w:sz w:val="21"/>
          <w:szCs w:val="21"/>
        </w:rPr>
        <w:t>以上“基因变异及相应靶向药物解析”部分，文中方括号内的数字编号为参考文献的PMID号，可根据此编号对应报告后面的参考文献列表。如编号[17401425]，在文后对应的参考文献为PMID: 17401425 TP53 mutations and hepatocellular carcinoma: insights into the etiology and pathogenesis of liver cancer.。</w:t>
      </w:r>
    </w:p>
    <w:p w14:paraId="68AC0C30">
      <w:pPr>
        <w:numPr>
          <w:ilvl w:val="0"/>
          <w:numId w:val="17"/>
        </w:numPr>
        <w:spacing w:after="0"/>
        <w:jc w:val="both"/>
        <w:rPr>
          <w:rFonts w:ascii="微软雅黑" w:hAnsi="微软雅黑" w:cs="微软雅黑"/>
          <w:sz w:val="21"/>
          <w:szCs w:val="21"/>
        </w:rPr>
      </w:pPr>
      <w:r>
        <w:rPr>
          <w:rFonts w:hint="eastAsia" w:ascii="微软雅黑" w:hAnsi="微软雅黑" w:cs="微软雅黑"/>
          <w:sz w:val="21"/>
          <w:szCs w:val="21"/>
        </w:rPr>
        <w:t>以上“基因变异及相应靶向药物解析”部分，文中的方括号内以NCT、CTR或者ChiCTR开头的编号为国际、国内临床试验编号，如NCT02098343</w:t>
      </w:r>
      <w:bookmarkStart w:id="182" w:name="2"/>
      <w:r>
        <w:rPr>
          <w:rFonts w:hint="eastAsia" w:ascii="微软雅黑" w:hAnsi="微软雅黑" w:cs="微软雅黑"/>
          <w:sz w:val="21"/>
          <w:szCs w:val="21"/>
        </w:rPr>
        <w:t>、</w:t>
      </w:r>
      <w:r>
        <w:fldChar w:fldCharType="begin"/>
      </w:r>
      <w:r>
        <w:instrText xml:space="preserve"> HYPERLINK "http://www.chinadrugtrials.org.cn/eap/javascript:void(0)" </w:instrText>
      </w:r>
      <w:r>
        <w:fldChar w:fldCharType="separate"/>
      </w:r>
      <w:r>
        <w:rPr>
          <w:rFonts w:hint="eastAsia" w:ascii="微软雅黑" w:hAnsi="微软雅黑" w:cs="微软雅黑"/>
          <w:sz w:val="21"/>
          <w:szCs w:val="21"/>
        </w:rPr>
        <w:t>CTR20190768</w:t>
      </w:r>
      <w:bookmarkEnd w:id="182"/>
      <w:r>
        <w:rPr>
          <w:rFonts w:hint="eastAsia" w:ascii="微软雅黑" w:hAnsi="微软雅黑" w:cs="微软雅黑"/>
          <w:sz w:val="21"/>
          <w:szCs w:val="21"/>
        </w:rPr>
        <w:fldChar w:fldCharType="end"/>
      </w:r>
      <w:r>
        <w:rPr>
          <w:rFonts w:hint="eastAsia" w:ascii="微软雅黑" w:hAnsi="微软雅黑" w:cs="微软雅黑"/>
          <w:sz w:val="21"/>
          <w:szCs w:val="21"/>
        </w:rPr>
        <w:t>、</w:t>
      </w:r>
      <w:bookmarkStart w:id="183" w:name="OLE_LINK106"/>
      <w:r>
        <w:rPr>
          <w:rFonts w:hint="eastAsia" w:ascii="微软雅黑" w:hAnsi="微软雅黑" w:cs="微软雅黑"/>
          <w:sz w:val="21"/>
          <w:szCs w:val="21"/>
        </w:rPr>
        <w:t>ChiCTR</w:t>
      </w:r>
      <w:bookmarkEnd w:id="183"/>
      <w:r>
        <w:rPr>
          <w:rFonts w:hint="eastAsia" w:ascii="微软雅黑" w:hAnsi="微软雅黑" w:cs="微软雅黑"/>
          <w:sz w:val="21"/>
          <w:szCs w:val="21"/>
        </w:rPr>
        <w:t xml:space="preserve">1900021450，具体的入组条件和试验设计等临床试验细节，可以通过检索相应的临床试验官网获得。国际临床试验网站：https://www.clinicaltrials.gov </w:t>
      </w:r>
      <w:bookmarkStart w:id="184" w:name="OLE_LINK107"/>
      <w:r>
        <w:rPr>
          <w:rFonts w:hint="eastAsia" w:ascii="微软雅黑" w:hAnsi="微软雅黑" w:cs="微软雅黑"/>
          <w:sz w:val="21"/>
          <w:szCs w:val="21"/>
        </w:rPr>
        <w:t>国内临床试验网站：http://www.chinadrugtrials.org.cn</w:t>
      </w:r>
      <w:bookmarkStart w:id="185" w:name="OLE_LINK104"/>
      <w:r>
        <w:rPr>
          <w:rFonts w:hint="eastAsia" w:ascii="微软雅黑" w:hAnsi="微软雅黑" w:cs="微软雅黑"/>
          <w:sz w:val="21"/>
          <w:szCs w:val="21"/>
        </w:rPr>
        <w:t>、http://www.chictr.org.cn</w:t>
      </w:r>
      <w:bookmarkEnd w:id="184"/>
      <w:bookmarkEnd w:id="185"/>
      <w:r>
        <w:rPr>
          <w:rFonts w:hint="eastAsia" w:ascii="微软雅黑" w:hAnsi="微软雅黑" w:cs="微软雅黑"/>
          <w:sz w:val="21"/>
          <w:szCs w:val="21"/>
        </w:rPr>
        <w:t>。这三个网站的临床试验信息持续更新，患者也可以通过上述网站关注后续更多的参与临床试验机会。</w:t>
      </w:r>
    </w:p>
    <w:p w14:paraId="0631F4CA">
      <w:pPr>
        <w:spacing w:before="200"/>
        <w:jc w:val="both"/>
        <w:rPr>
          <w:rFonts w:ascii="微软雅黑" w:hAnsi="微软雅黑"/>
          <w:b/>
          <w:sz w:val="24"/>
          <w:szCs w:val="24"/>
        </w:rPr>
      </w:pPr>
      <w:r>
        <w:rPr>
          <w:rFonts w:hint="eastAsia" w:ascii="微软雅黑" w:hAnsi="微软雅黑"/>
          <w:b/>
          <w:sz w:val="24"/>
          <w:szCs w:val="24"/>
        </w:rPr>
        <w:t>3.2 文中医学及生物学常见名词说明</w:t>
      </w:r>
    </w:p>
    <w:p w14:paraId="0D933840">
      <w:pPr>
        <w:ind w:firstLine="420" w:firstLineChars="200"/>
        <w:jc w:val="both"/>
        <w:rPr>
          <w:rFonts w:ascii="微软雅黑" w:hAnsi="微软雅黑" w:cs="微软雅黑"/>
          <w:sz w:val="21"/>
          <w:szCs w:val="21"/>
        </w:rPr>
      </w:pPr>
      <w:r>
        <w:rPr>
          <w:rFonts w:hint="eastAsia" w:ascii="微软雅黑" w:hAnsi="微软雅黑" w:cs="微软雅黑"/>
          <w:sz w:val="21"/>
          <w:szCs w:val="21"/>
        </w:rPr>
        <w:t>报告文中涉及很多医学或生物学专有名词，以下是一些常见的名词简介，希望能对给您的阅读带来帮助。</w:t>
      </w:r>
    </w:p>
    <w:p w14:paraId="32063964">
      <w:pPr>
        <w:jc w:val="both"/>
        <w:rPr>
          <w:rFonts w:ascii="微软雅黑" w:hAnsi="微软雅黑" w:cs="微软雅黑"/>
          <w:sz w:val="21"/>
          <w:szCs w:val="21"/>
          <w:u w:val="single"/>
        </w:rPr>
      </w:pPr>
      <w:r>
        <w:rPr>
          <w:rFonts w:hint="eastAsia" w:ascii="微软雅黑" w:hAnsi="微软雅黑" w:cs="微软雅黑"/>
          <w:b/>
          <w:bCs/>
          <w:sz w:val="21"/>
          <w:szCs w:val="21"/>
          <w:u w:val="single"/>
        </w:rPr>
        <w:t>肿瘤临床疗效常用评价指标：</w:t>
      </w:r>
    </w:p>
    <w:p w14:paraId="0E7BE900">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总生存期 （OS，Overall Survival）：</w:t>
      </w:r>
    </w:p>
    <w:p w14:paraId="2B7D77CE">
      <w:pPr>
        <w:pStyle w:val="14"/>
        <w:shd w:val="clear" w:color="auto" w:fill="FFFFFF"/>
        <w:spacing w:beforeAutospacing="0" w:afterAutospacing="0" w:line="264" w:lineRule="auto"/>
        <w:ind w:firstLine="420" w:firstLineChars="200"/>
        <w:jc w:val="both"/>
        <w:rPr>
          <w:rFonts w:ascii="微软雅黑" w:hAnsi="微软雅黑" w:cs="微软雅黑"/>
          <w:sz w:val="21"/>
          <w:szCs w:val="21"/>
          <w:shd w:val="clear" w:color="auto" w:fill="FFFFFF"/>
        </w:rPr>
      </w:pPr>
      <w:r>
        <w:rPr>
          <w:rFonts w:hint="eastAsia" w:ascii="微软雅黑" w:hAnsi="微软雅黑" w:cs="微软雅黑"/>
          <w:sz w:val="21"/>
          <w:szCs w:val="21"/>
          <w:shd w:val="clear" w:color="auto" w:fill="FFFFFF"/>
        </w:rPr>
        <w:t>OS是指从随机化（random assignment）开始至因任何原因引起死亡（death）的时间（失访患者为最后一次随访时间；研究结束时仍然存活患者，为随访结束日）。</w:t>
      </w:r>
    </w:p>
    <w:p w14:paraId="63DC42EE">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中位总生存（mOS，median OS）：</w:t>
      </w:r>
    </w:p>
    <w:p w14:paraId="0B303769">
      <w:pPr>
        <w:pStyle w:val="14"/>
        <w:shd w:val="clear" w:color="auto" w:fill="FFFFFF"/>
        <w:spacing w:beforeAutospacing="0" w:afterAutospacing="0" w:line="264" w:lineRule="auto"/>
        <w:ind w:firstLine="420" w:firstLineChars="200"/>
        <w:jc w:val="both"/>
        <w:rPr>
          <w:rFonts w:ascii="微软雅黑" w:hAnsi="微软雅黑" w:cs="微软雅黑"/>
          <w:sz w:val="21"/>
          <w:szCs w:val="21"/>
        </w:rPr>
      </w:pPr>
      <w:r>
        <w:rPr>
          <w:rStyle w:val="20"/>
          <w:rFonts w:hint="eastAsia" w:ascii="微软雅黑" w:hAnsi="微软雅黑" w:cs="微软雅黑"/>
          <w:b w:val="0"/>
          <w:sz w:val="21"/>
          <w:szCs w:val="21"/>
          <w:shd w:val="clear" w:color="auto" w:fill="FFFFFF"/>
        </w:rPr>
        <w:t>mOS</w:t>
      </w:r>
      <w:r>
        <w:rPr>
          <w:rFonts w:hint="eastAsia" w:ascii="微软雅黑" w:hAnsi="微软雅黑" w:cs="微软雅黑"/>
          <w:sz w:val="21"/>
          <w:szCs w:val="21"/>
          <w:shd w:val="clear" w:color="auto" w:fill="FFFFFF"/>
        </w:rPr>
        <w:t>又称半数生存期，表示恰好有50％的个体尚存活的时间。由于截尾数据的存在，计算不同于普通的中位数，利用生存曲线，令生存率为50%时，推算出生存时间。</w:t>
      </w:r>
    </w:p>
    <w:p w14:paraId="01544B3C">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无病生存期 （DFS，Disease Free Survival）：</w:t>
      </w:r>
    </w:p>
    <w:p w14:paraId="0B32572C">
      <w:pPr>
        <w:pStyle w:val="14"/>
        <w:shd w:val="clear" w:color="auto" w:fill="FFFFFF"/>
        <w:spacing w:beforeAutospacing="0" w:afterAutospacing="0" w:line="264" w:lineRule="auto"/>
        <w:ind w:firstLine="420" w:firstLineChars="200"/>
        <w:jc w:val="both"/>
        <w:rPr>
          <w:rFonts w:ascii="微软雅黑" w:hAnsi="微软雅黑" w:cs="微软雅黑"/>
          <w:sz w:val="21"/>
          <w:szCs w:val="21"/>
        </w:rPr>
      </w:pPr>
      <w:r>
        <w:rPr>
          <w:rFonts w:hint="eastAsia" w:ascii="微软雅黑" w:hAnsi="微软雅黑" w:cs="微软雅黑"/>
          <w:sz w:val="21"/>
          <w:szCs w:val="21"/>
          <w:shd w:val="clear" w:color="auto" w:fill="FFFFFF"/>
        </w:rPr>
        <w:t>DFS是指从随机化开始至第一次肿瘤复发/转移或由于任何原因导致受试者死亡的时间（失访患者为最后一次随访时间；研究结束时仍然存活患者，为随访结束日）。</w:t>
      </w:r>
      <w:r>
        <w:rPr>
          <w:rStyle w:val="20"/>
          <w:rFonts w:hint="eastAsia" w:ascii="微软雅黑" w:hAnsi="微软雅黑" w:cs="微软雅黑"/>
          <w:b w:val="0"/>
          <w:sz w:val="21"/>
          <w:szCs w:val="21"/>
          <w:shd w:val="clear" w:color="auto" w:fill="FFFFFF"/>
        </w:rPr>
        <w:t>通常作为根治术后的主要疗效指标</w:t>
      </w:r>
      <w:r>
        <w:rPr>
          <w:rFonts w:hint="eastAsia" w:ascii="微软雅黑" w:hAnsi="微软雅黑" w:cs="微软雅黑"/>
          <w:sz w:val="21"/>
          <w:szCs w:val="21"/>
          <w:shd w:val="clear" w:color="auto" w:fill="FFFFFF"/>
        </w:rPr>
        <w:t>。目前对DFS存在不同定义和解释，不同研究者之间在判断疾病复发或进展时容易产生偏倚。</w:t>
      </w:r>
    </w:p>
    <w:p w14:paraId="7F62D3AA">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中位无病生存期（mDFS，median DFS）：</w:t>
      </w:r>
    </w:p>
    <w:p w14:paraId="0D1D6F88">
      <w:pPr>
        <w:pStyle w:val="14"/>
        <w:spacing w:beforeAutospacing="0" w:afterAutospacing="0" w:line="264" w:lineRule="auto"/>
        <w:ind w:firstLine="420" w:firstLineChars="200"/>
        <w:jc w:val="both"/>
        <w:rPr>
          <w:rStyle w:val="20"/>
          <w:rFonts w:ascii="微软雅黑" w:hAnsi="微软雅黑" w:cs="微软雅黑"/>
          <w:bCs/>
          <w:sz w:val="21"/>
          <w:szCs w:val="21"/>
          <w:shd w:val="clear" w:color="auto" w:fill="FFFFFF"/>
        </w:rPr>
      </w:pPr>
      <w:r>
        <w:rPr>
          <w:rFonts w:hint="eastAsia" w:ascii="微软雅黑" w:hAnsi="微软雅黑" w:cs="微软雅黑"/>
          <w:sz w:val="21"/>
          <w:szCs w:val="21"/>
          <w:shd w:val="clear" w:color="auto" w:fill="FFFFFF"/>
        </w:rPr>
        <w:t>mDFS又称半数无病生存期，表示恰好有50％的个体未出现复发/转移的时间。</w:t>
      </w:r>
    </w:p>
    <w:p w14:paraId="49199F8D">
      <w:pPr>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br w:type="page"/>
      </w:r>
    </w:p>
    <w:p w14:paraId="02D688F5">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无进展生存期 （PFS，Progress Free Survival）：</w:t>
      </w:r>
    </w:p>
    <w:p w14:paraId="55123F75">
      <w:pPr>
        <w:pStyle w:val="14"/>
        <w:shd w:val="clear" w:color="auto" w:fill="FFFFFF"/>
        <w:spacing w:beforeAutospacing="0" w:afterAutospacing="0" w:line="264" w:lineRule="auto"/>
        <w:ind w:firstLine="420" w:firstLineChars="200"/>
        <w:jc w:val="both"/>
        <w:rPr>
          <w:rFonts w:ascii="微软雅黑" w:hAnsi="微软雅黑" w:cs="微软雅黑"/>
          <w:sz w:val="21"/>
          <w:szCs w:val="21"/>
        </w:rPr>
      </w:pPr>
      <w:r>
        <w:rPr>
          <w:rFonts w:hint="eastAsia" w:ascii="微软雅黑" w:hAnsi="微软雅黑" w:cs="微软雅黑"/>
          <w:sz w:val="21"/>
          <w:szCs w:val="21"/>
          <w:shd w:val="clear" w:color="auto" w:fill="FFFFFF"/>
        </w:rPr>
        <w:t>PFS指从随机分组开始到第一次肿瘤进展或死亡时间。</w:t>
      </w:r>
      <w:r>
        <w:rPr>
          <w:rStyle w:val="20"/>
          <w:rFonts w:hint="eastAsia" w:ascii="微软雅黑" w:hAnsi="微软雅黑" w:cs="微软雅黑"/>
          <w:b w:val="0"/>
          <w:sz w:val="21"/>
          <w:szCs w:val="21"/>
          <w:shd w:val="clear" w:color="auto" w:fill="FFFFFF"/>
        </w:rPr>
        <w:t>通常作为晚期肿瘤疗效评价的重要指标</w:t>
      </w:r>
      <w:r>
        <w:rPr>
          <w:rFonts w:hint="eastAsia" w:ascii="微软雅黑" w:hAnsi="微软雅黑" w:cs="微软雅黑"/>
          <w:sz w:val="21"/>
          <w:szCs w:val="21"/>
          <w:shd w:val="clear" w:color="auto" w:fill="FFFFFF"/>
        </w:rPr>
        <w:t>。目前对PFS存在不同定义和解释，不同研究者之间在判断疾病复发或进展时容易产生偏倚。</w:t>
      </w:r>
    </w:p>
    <w:p w14:paraId="78C81DD0">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疾病进展时间 （TTP，Time To Progress）：</w:t>
      </w:r>
    </w:p>
    <w:p w14:paraId="2765E8F8">
      <w:pPr>
        <w:pStyle w:val="14"/>
        <w:shd w:val="clear" w:color="auto" w:fill="FFFFFF"/>
        <w:spacing w:beforeAutospacing="0" w:afterAutospacing="0" w:line="264" w:lineRule="auto"/>
        <w:ind w:firstLine="420" w:firstLineChars="200"/>
        <w:jc w:val="both"/>
        <w:rPr>
          <w:rStyle w:val="20"/>
          <w:rFonts w:ascii="微软雅黑" w:hAnsi="微软雅黑" w:cs="微软雅黑"/>
          <w:b w:val="0"/>
          <w:sz w:val="21"/>
          <w:szCs w:val="21"/>
          <w:shd w:val="clear" w:color="auto" w:fill="FFFFFF"/>
        </w:rPr>
      </w:pPr>
      <w:r>
        <w:rPr>
          <w:rFonts w:hint="eastAsia" w:ascii="微软雅黑" w:hAnsi="微软雅黑" w:cs="微软雅黑"/>
          <w:sz w:val="21"/>
          <w:szCs w:val="21"/>
          <w:shd w:val="clear" w:color="auto" w:fill="FFFFFF"/>
        </w:rPr>
        <w:t>TTP指从随机分组开始到第一次肿瘤客观进展的时间。</w:t>
      </w:r>
      <w:r>
        <w:rPr>
          <w:rStyle w:val="20"/>
          <w:rFonts w:hint="eastAsia" w:ascii="微软雅黑" w:hAnsi="微软雅黑" w:cs="微软雅黑"/>
          <w:b w:val="0"/>
          <w:sz w:val="21"/>
          <w:szCs w:val="21"/>
          <w:shd w:val="clear" w:color="auto" w:fill="FFFFFF"/>
        </w:rPr>
        <w:t>与PFS唯一的不同在于，PFS包括死亡</w:t>
      </w:r>
      <w:r>
        <w:rPr>
          <w:rFonts w:hint="eastAsia" w:ascii="微软雅黑" w:hAnsi="微软雅黑" w:cs="微软雅黑"/>
          <w:sz w:val="21"/>
          <w:szCs w:val="21"/>
          <w:shd w:val="clear" w:color="auto" w:fill="FFFFFF"/>
        </w:rPr>
        <w:t>，而TTP不包括死亡，</w:t>
      </w:r>
      <w:r>
        <w:rPr>
          <w:rStyle w:val="20"/>
          <w:rFonts w:hint="eastAsia" w:ascii="微软雅黑" w:hAnsi="微软雅黑" w:cs="微软雅黑"/>
          <w:b w:val="0"/>
          <w:sz w:val="21"/>
          <w:szCs w:val="21"/>
          <w:shd w:val="clear" w:color="auto" w:fill="FFFFFF"/>
        </w:rPr>
        <w:t>因此PFS更能预测和反映临床获益，与OS一致性更好。</w:t>
      </w:r>
    </w:p>
    <w:p w14:paraId="417CE66E">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5年生存率（Five-year survival rate）：</w:t>
      </w:r>
    </w:p>
    <w:p w14:paraId="45564200">
      <w:pPr>
        <w:pStyle w:val="14"/>
        <w:shd w:val="clear" w:color="auto" w:fill="FFFFFF"/>
        <w:spacing w:beforeAutospacing="0" w:afterAutospacing="0" w:line="264" w:lineRule="auto"/>
        <w:ind w:firstLine="420" w:firstLineChars="200"/>
        <w:jc w:val="both"/>
        <w:rPr>
          <w:rFonts w:ascii="微软雅黑" w:hAnsi="微软雅黑" w:cs="微软雅黑"/>
          <w:sz w:val="21"/>
          <w:szCs w:val="21"/>
          <w:shd w:val="clear" w:color="auto" w:fill="FFFFFF"/>
        </w:rPr>
      </w:pPr>
      <w:r>
        <w:rPr>
          <w:rFonts w:hint="eastAsia" w:ascii="微软雅黑" w:hAnsi="微软雅黑" w:cs="微软雅黑"/>
          <w:sz w:val="21"/>
          <w:szCs w:val="21"/>
          <w:shd w:val="clear" w:color="auto" w:fill="FFFFFF"/>
        </w:rPr>
        <w:t>5年生存率是指某种</w:t>
      </w:r>
      <w:r>
        <w:fldChar w:fldCharType="begin"/>
      </w:r>
      <w:r>
        <w:instrText xml:space="preserve"> HYPERLINK "http://www.haodf.com/jibing/zhongliu.htm" \t "http://www.haodf.com/zhuanjiaguandian/_blank" </w:instrText>
      </w:r>
      <w:r>
        <w:fldChar w:fldCharType="separate"/>
      </w:r>
      <w:r>
        <w:rPr>
          <w:rFonts w:hint="eastAsia" w:ascii="微软雅黑" w:hAnsi="微软雅黑" w:cs="微软雅黑"/>
          <w:sz w:val="21"/>
          <w:szCs w:val="21"/>
          <w:shd w:val="clear" w:color="auto" w:fill="FFFFFF"/>
        </w:rPr>
        <w:t>肿瘤</w:t>
      </w:r>
      <w:r>
        <w:rPr>
          <w:rFonts w:hint="eastAsia" w:ascii="微软雅黑" w:hAnsi="微软雅黑" w:cs="微软雅黑"/>
          <w:sz w:val="21"/>
          <w:szCs w:val="21"/>
          <w:shd w:val="clear" w:color="auto" w:fill="FFFFFF"/>
        </w:rPr>
        <w:fldChar w:fldCharType="end"/>
      </w:r>
      <w:r>
        <w:rPr>
          <w:rFonts w:hint="eastAsia" w:ascii="微软雅黑" w:hAnsi="微软雅黑" w:cs="微软雅黑"/>
          <w:sz w:val="21"/>
          <w:szCs w:val="21"/>
          <w:shd w:val="clear" w:color="auto" w:fill="FFFFFF"/>
        </w:rPr>
        <w:t>经过各种综合治疗后，生存五年以上的比例。用五年生存率表达有其一定的科学性。某种</w:t>
      </w:r>
      <w:r>
        <w:fldChar w:fldCharType="begin"/>
      </w:r>
      <w:r>
        <w:instrText xml:space="preserve"> HYPERLINK "http://www.haodf.com/jibing/zhongliu.htm" \t "http://www.haodf.com/zhuanjiaguandian/_blank" </w:instrText>
      </w:r>
      <w:r>
        <w:fldChar w:fldCharType="separate"/>
      </w:r>
      <w:r>
        <w:rPr>
          <w:rFonts w:hint="eastAsia" w:ascii="微软雅黑" w:hAnsi="微软雅黑" w:cs="微软雅黑"/>
          <w:sz w:val="21"/>
          <w:szCs w:val="21"/>
          <w:shd w:val="clear" w:color="auto" w:fill="FFFFFF"/>
        </w:rPr>
        <w:t>肿瘤</w:t>
      </w:r>
      <w:r>
        <w:rPr>
          <w:rFonts w:hint="eastAsia" w:ascii="微软雅黑" w:hAnsi="微软雅黑" w:cs="微软雅黑"/>
          <w:sz w:val="21"/>
          <w:szCs w:val="21"/>
          <w:shd w:val="clear" w:color="auto" w:fill="FFFFFF"/>
        </w:rPr>
        <w:fldChar w:fldCharType="end"/>
      </w:r>
      <w:r>
        <w:rPr>
          <w:rFonts w:hint="eastAsia" w:ascii="微软雅黑" w:hAnsi="微软雅黑" w:cs="微软雅黑"/>
          <w:sz w:val="21"/>
          <w:szCs w:val="21"/>
          <w:shd w:val="clear" w:color="auto" w:fill="FFFFFF"/>
        </w:rPr>
        <w:t>经过治疗后，有一部分可能出现转移和复发，其中的一部分人可能因</w:t>
      </w:r>
      <w:r>
        <w:fldChar w:fldCharType="begin"/>
      </w:r>
      <w:r>
        <w:instrText xml:space="preserve"> HYPERLINK "http://www.haodf.com/jibing/zhongliu.htm" \t "http://www.haodf.com/zhuanjiaguandian/_blank" </w:instrText>
      </w:r>
      <w:r>
        <w:fldChar w:fldCharType="separate"/>
      </w:r>
      <w:r>
        <w:rPr>
          <w:rFonts w:hint="eastAsia" w:ascii="微软雅黑" w:hAnsi="微软雅黑" w:cs="微软雅黑"/>
          <w:sz w:val="21"/>
          <w:szCs w:val="21"/>
          <w:shd w:val="clear" w:color="auto" w:fill="FFFFFF"/>
        </w:rPr>
        <w:t>肿瘤</w:t>
      </w:r>
      <w:r>
        <w:rPr>
          <w:rFonts w:hint="eastAsia" w:ascii="微软雅黑" w:hAnsi="微软雅黑" w:cs="微软雅黑"/>
          <w:sz w:val="21"/>
          <w:szCs w:val="21"/>
          <w:shd w:val="clear" w:color="auto" w:fill="FFFFFF"/>
        </w:rPr>
        <w:fldChar w:fldCharType="end"/>
      </w:r>
      <w:r>
        <w:rPr>
          <w:rFonts w:hint="eastAsia" w:ascii="微软雅黑" w:hAnsi="微软雅黑" w:cs="微软雅黑"/>
          <w:sz w:val="21"/>
          <w:szCs w:val="21"/>
          <w:shd w:val="clear" w:color="auto" w:fill="FFFFFF"/>
        </w:rPr>
        <w:t>进入晚期而去世。转移和复发大多发生在根治术后三年之内，约占80%，少部分发生在根治术后五年之内，约占10%。所以，各种</w:t>
      </w:r>
      <w:r>
        <w:fldChar w:fldCharType="begin"/>
      </w:r>
      <w:r>
        <w:instrText xml:space="preserve"> HYPERLINK "http://www.haodf.com/jibing/zhongliu.htm" \t "http://www.haodf.com/zhuanjiaguandian/_blank" </w:instrText>
      </w:r>
      <w:r>
        <w:fldChar w:fldCharType="separate"/>
      </w:r>
      <w:r>
        <w:rPr>
          <w:rFonts w:hint="eastAsia" w:ascii="微软雅黑" w:hAnsi="微软雅黑" w:cs="微软雅黑"/>
          <w:sz w:val="21"/>
          <w:szCs w:val="21"/>
          <w:shd w:val="clear" w:color="auto" w:fill="FFFFFF"/>
        </w:rPr>
        <w:t>肿瘤</w:t>
      </w:r>
      <w:r>
        <w:rPr>
          <w:rFonts w:hint="eastAsia" w:ascii="微软雅黑" w:hAnsi="微软雅黑" w:cs="微软雅黑"/>
          <w:sz w:val="21"/>
          <w:szCs w:val="21"/>
          <w:shd w:val="clear" w:color="auto" w:fill="FFFFFF"/>
        </w:rPr>
        <w:fldChar w:fldCharType="end"/>
      </w:r>
      <w:r>
        <w:rPr>
          <w:rFonts w:hint="eastAsia" w:ascii="微软雅黑" w:hAnsi="微软雅黑" w:cs="微软雅黑"/>
          <w:sz w:val="21"/>
          <w:szCs w:val="21"/>
          <w:shd w:val="clear" w:color="auto" w:fill="FFFFFF"/>
        </w:rPr>
        <w:t>根治术后五年内不复发，再次复发的机会就很少了，故常用五年生存率表示各种癌症的疗效。</w:t>
      </w:r>
    </w:p>
    <w:p w14:paraId="11903047">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客观缓解率（ORR，Objective Response Rate）：</w:t>
      </w:r>
    </w:p>
    <w:p w14:paraId="51DA411B">
      <w:pPr>
        <w:pStyle w:val="14"/>
        <w:shd w:val="clear" w:color="auto" w:fill="FFFFFF"/>
        <w:spacing w:beforeAutospacing="0" w:afterAutospacing="0" w:line="264" w:lineRule="auto"/>
        <w:ind w:firstLine="420" w:firstLineChars="200"/>
        <w:jc w:val="both"/>
        <w:rPr>
          <w:rFonts w:ascii="微软雅黑" w:hAnsi="微软雅黑" w:cs="微软雅黑"/>
          <w:sz w:val="21"/>
          <w:szCs w:val="21"/>
        </w:rPr>
      </w:pPr>
      <w:r>
        <w:rPr>
          <w:rFonts w:hint="eastAsia" w:ascii="微软雅黑" w:hAnsi="微软雅黑" w:cs="微软雅黑"/>
          <w:sz w:val="21"/>
          <w:szCs w:val="21"/>
          <w:shd w:val="clear" w:color="auto" w:fill="FFFFFF"/>
        </w:rPr>
        <w:t>ORR是指肿瘤缩小达到一定量并且保持一定时间的病人的比例（主要针对实体瘤），包含</w:t>
      </w:r>
      <w:r>
        <w:rPr>
          <w:rStyle w:val="20"/>
          <w:rFonts w:hint="eastAsia" w:ascii="微软雅黑" w:hAnsi="微软雅黑" w:cs="微软雅黑"/>
          <w:b w:val="0"/>
          <w:sz w:val="21"/>
          <w:szCs w:val="21"/>
          <w:shd w:val="clear" w:color="auto" w:fill="FFFFFF"/>
        </w:rPr>
        <w:t>完全缓解（CR</w:t>
      </w:r>
      <w:r>
        <w:rPr>
          <w:rFonts w:hint="eastAsia" w:ascii="微软雅黑" w:hAnsi="微软雅黑" w:cs="微软雅黑"/>
          <w:sz w:val="21"/>
          <w:szCs w:val="21"/>
          <w:shd w:val="clear" w:color="auto" w:fill="FFFFFF"/>
        </w:rPr>
        <w:t>，Complete Response）和</w:t>
      </w:r>
      <w:r>
        <w:rPr>
          <w:rStyle w:val="20"/>
          <w:rFonts w:hint="eastAsia" w:ascii="微软雅黑" w:hAnsi="微软雅黑" w:cs="微软雅黑"/>
          <w:b w:val="0"/>
          <w:sz w:val="21"/>
          <w:szCs w:val="21"/>
          <w:shd w:val="clear" w:color="auto" w:fill="FFFFFF"/>
        </w:rPr>
        <w:t>部分缓解（PR</w:t>
      </w:r>
      <w:r>
        <w:rPr>
          <w:rFonts w:hint="eastAsia" w:ascii="微软雅黑" w:hAnsi="微软雅黑" w:cs="微软雅黑"/>
          <w:sz w:val="21"/>
          <w:szCs w:val="21"/>
          <w:shd w:val="clear" w:color="auto" w:fill="FFFFFF"/>
        </w:rPr>
        <w:t>，Partial Response）的病例。</w:t>
      </w:r>
    </w:p>
    <w:p w14:paraId="7800FA1D">
      <w:pPr>
        <w:pStyle w:val="14"/>
        <w:shd w:val="clear" w:color="auto" w:fill="FFFFFF"/>
        <w:spacing w:beforeAutospacing="0" w:afterAutospacing="0" w:line="264" w:lineRule="auto"/>
        <w:ind w:firstLine="420" w:firstLineChars="200"/>
        <w:jc w:val="both"/>
        <w:rPr>
          <w:rFonts w:ascii="微软雅黑" w:hAnsi="微软雅黑" w:cs="微软雅黑"/>
          <w:sz w:val="21"/>
          <w:szCs w:val="21"/>
        </w:rPr>
      </w:pPr>
      <w:r>
        <w:rPr>
          <w:rFonts w:hint="eastAsia" w:ascii="微软雅黑" w:hAnsi="微软雅黑" w:cs="微软雅黑"/>
          <w:sz w:val="21"/>
          <w:szCs w:val="21"/>
          <w:shd w:val="clear" w:color="auto" w:fill="FFFFFF"/>
        </w:rPr>
        <w:t>客观缓解率是II期试验的主要疗效评价指标，可提供药物具有生物活性的初步证据。但一般不作为III期临床试验的主要疗效指标。</w:t>
      </w:r>
    </w:p>
    <w:p w14:paraId="550BFE53">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疾病控制率 （DCR，Disease Control Rate）：</w:t>
      </w:r>
    </w:p>
    <w:p w14:paraId="7BDDA791">
      <w:pPr>
        <w:pStyle w:val="14"/>
        <w:shd w:val="clear" w:color="auto" w:fill="FFFFFF"/>
        <w:spacing w:beforeAutospacing="0" w:afterAutospacing="0" w:line="264" w:lineRule="auto"/>
        <w:ind w:firstLine="420" w:firstLineChars="200"/>
        <w:jc w:val="both"/>
        <w:rPr>
          <w:rFonts w:ascii="微软雅黑" w:hAnsi="微软雅黑" w:cs="微软雅黑"/>
          <w:sz w:val="21"/>
          <w:szCs w:val="21"/>
        </w:rPr>
      </w:pPr>
      <w:r>
        <w:rPr>
          <w:rFonts w:hint="eastAsia" w:ascii="微软雅黑" w:hAnsi="微软雅黑" w:cs="微软雅黑"/>
          <w:sz w:val="21"/>
          <w:szCs w:val="21"/>
          <w:shd w:val="clear" w:color="auto" w:fill="FFFFFF"/>
        </w:rPr>
        <w:t>DCR是指肿瘤缩小或稳定且保持一定时间的病人的比例（主要针对实体瘤），包含完全缓解（</w:t>
      </w:r>
      <w:r>
        <w:rPr>
          <w:rStyle w:val="20"/>
          <w:rFonts w:hint="eastAsia" w:ascii="微软雅黑" w:hAnsi="微软雅黑" w:cs="微软雅黑"/>
          <w:b w:val="0"/>
          <w:sz w:val="21"/>
          <w:szCs w:val="21"/>
          <w:shd w:val="clear" w:color="auto" w:fill="FFFFFF"/>
        </w:rPr>
        <w:t>CR</w:t>
      </w:r>
      <w:r>
        <w:rPr>
          <w:rFonts w:hint="eastAsia" w:ascii="微软雅黑" w:hAnsi="微软雅黑" w:cs="微软雅黑"/>
          <w:sz w:val="21"/>
          <w:szCs w:val="21"/>
          <w:shd w:val="clear" w:color="auto" w:fill="FFFFFF"/>
        </w:rPr>
        <w:t>，Complete Response）、部分缓解（</w:t>
      </w:r>
      <w:r>
        <w:rPr>
          <w:rStyle w:val="20"/>
          <w:rFonts w:hint="eastAsia" w:ascii="微软雅黑" w:hAnsi="微软雅黑" w:cs="微软雅黑"/>
          <w:b w:val="0"/>
          <w:sz w:val="21"/>
          <w:szCs w:val="21"/>
          <w:shd w:val="clear" w:color="auto" w:fill="FFFFFF"/>
        </w:rPr>
        <w:t>PR</w:t>
      </w:r>
      <w:r>
        <w:rPr>
          <w:rFonts w:hint="eastAsia" w:ascii="微软雅黑" w:hAnsi="微软雅黑" w:cs="微软雅黑"/>
          <w:sz w:val="21"/>
          <w:szCs w:val="21"/>
          <w:shd w:val="clear" w:color="auto" w:fill="FFFFFF"/>
        </w:rPr>
        <w:t>，Partial Response）和稳定（</w:t>
      </w:r>
      <w:r>
        <w:rPr>
          <w:rStyle w:val="20"/>
          <w:rFonts w:hint="eastAsia" w:ascii="微软雅黑" w:hAnsi="微软雅黑" w:cs="微软雅黑"/>
          <w:b w:val="0"/>
          <w:sz w:val="21"/>
          <w:szCs w:val="21"/>
          <w:shd w:val="clear" w:color="auto" w:fill="FFFFFF"/>
        </w:rPr>
        <w:t>SD</w:t>
      </w:r>
      <w:r>
        <w:rPr>
          <w:rFonts w:hint="eastAsia" w:ascii="微软雅黑" w:hAnsi="微软雅黑" w:cs="微软雅黑"/>
          <w:sz w:val="21"/>
          <w:szCs w:val="21"/>
          <w:shd w:val="clear" w:color="auto" w:fill="FFFFFF"/>
        </w:rPr>
        <w:t>，Stable Disease）的病例。</w:t>
      </w:r>
    </w:p>
    <w:p w14:paraId="1B35FB93">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缓解持续时间 （DOR，Duration of Response）：</w:t>
      </w:r>
    </w:p>
    <w:p w14:paraId="5FEE5690">
      <w:pPr>
        <w:pStyle w:val="14"/>
        <w:shd w:val="clear" w:color="auto" w:fill="FFFFFF"/>
        <w:spacing w:beforeAutospacing="0" w:afterAutospacing="0" w:line="264" w:lineRule="auto"/>
        <w:ind w:firstLine="420" w:firstLineChars="200"/>
        <w:jc w:val="both"/>
        <w:rPr>
          <w:rFonts w:ascii="微软雅黑" w:hAnsi="微软雅黑" w:cs="微软雅黑"/>
          <w:sz w:val="21"/>
          <w:szCs w:val="21"/>
        </w:rPr>
      </w:pPr>
      <w:r>
        <w:rPr>
          <w:rFonts w:hint="eastAsia" w:ascii="微软雅黑" w:hAnsi="微软雅黑" w:cs="微软雅黑"/>
          <w:sz w:val="21"/>
          <w:szCs w:val="21"/>
          <w:shd w:val="clear" w:color="auto" w:fill="FFFFFF"/>
        </w:rPr>
        <w:t>DOR是指肿瘤第一次评估为CR或PR开始到第一次评估为PD（Progressive Disease）或任何原因死亡的时间。</w:t>
      </w:r>
    </w:p>
    <w:p w14:paraId="02569C3B">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治疗失败的时间（TTF，Time To Failure）：</w:t>
      </w:r>
    </w:p>
    <w:p w14:paraId="1D0CE101">
      <w:pPr>
        <w:pStyle w:val="14"/>
        <w:shd w:val="clear" w:color="auto" w:fill="FFFFFF"/>
        <w:spacing w:beforeAutospacing="0" w:afterAutospacing="0" w:line="264" w:lineRule="auto"/>
        <w:ind w:firstLine="420" w:firstLineChars="200"/>
        <w:jc w:val="both"/>
        <w:rPr>
          <w:rFonts w:ascii="微软雅黑" w:hAnsi="微软雅黑" w:cs="微软雅黑"/>
          <w:sz w:val="21"/>
          <w:szCs w:val="21"/>
        </w:rPr>
      </w:pPr>
      <w:r>
        <w:rPr>
          <w:rFonts w:hint="eastAsia" w:ascii="微软雅黑" w:hAnsi="微软雅黑" w:cs="微软雅黑"/>
          <w:sz w:val="21"/>
          <w:szCs w:val="21"/>
          <w:shd w:val="clear" w:color="auto" w:fill="FFFFFF"/>
        </w:rPr>
        <w:t>TTF是指从随机化开始至治疗中止/终止的时间，包括任何中止/终止原因，如疾病进展、死亡、由于不良事件退出、受试者拒绝继续进行研究或者使用了新治疗的时间。</w:t>
      </w:r>
    </w:p>
    <w:p w14:paraId="5AE6762B">
      <w:pPr>
        <w:pStyle w:val="14"/>
        <w:shd w:val="clear" w:color="auto" w:fill="FFFFFF"/>
        <w:spacing w:beforeAutospacing="0" w:afterAutospacing="0" w:line="264" w:lineRule="auto"/>
        <w:ind w:firstLine="420" w:firstLineChars="200"/>
        <w:jc w:val="both"/>
        <w:rPr>
          <w:rFonts w:ascii="微软雅黑" w:hAnsi="微软雅黑" w:cs="微软雅黑"/>
          <w:sz w:val="21"/>
          <w:szCs w:val="21"/>
        </w:rPr>
      </w:pPr>
      <w:r>
        <w:rPr>
          <w:rFonts w:hint="eastAsia" w:ascii="微软雅黑" w:hAnsi="微软雅黑" w:cs="微软雅黑"/>
          <w:sz w:val="21"/>
          <w:szCs w:val="21"/>
          <w:shd w:val="clear" w:color="auto" w:fill="FFFFFF"/>
        </w:rPr>
        <w:t> </w:t>
      </w:r>
      <w:r>
        <w:rPr>
          <w:rStyle w:val="20"/>
          <w:rFonts w:hint="eastAsia" w:ascii="微软雅黑" w:hAnsi="微软雅黑" w:cs="微软雅黑"/>
          <w:b w:val="0"/>
          <w:sz w:val="21"/>
          <w:szCs w:val="21"/>
          <w:shd w:val="clear" w:color="auto" w:fill="FFFFFF"/>
        </w:rPr>
        <w:t>TTF综合了有效性与毒性的评价</w:t>
      </w:r>
      <w:r>
        <w:rPr>
          <w:rFonts w:hint="eastAsia" w:ascii="微软雅黑" w:hAnsi="微软雅黑" w:cs="微软雅黑"/>
          <w:sz w:val="21"/>
          <w:szCs w:val="21"/>
          <w:shd w:val="clear" w:color="auto" w:fill="FFFFFF"/>
        </w:rPr>
        <w:t>，是一个具有综合特性的指标，不推荐作为单独支持药物批准的疗效指标。</w:t>
      </w:r>
    </w:p>
    <w:p w14:paraId="1109B7B7">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疾病控制时间 （DDC，Duration of Disease Control）：</w:t>
      </w:r>
    </w:p>
    <w:p w14:paraId="5503ED3D">
      <w:pPr>
        <w:spacing w:after="0" w:line="264" w:lineRule="auto"/>
        <w:ind w:firstLine="420" w:firstLineChars="200"/>
        <w:jc w:val="both"/>
        <w:rPr>
          <w:rFonts w:ascii="微软雅黑" w:hAnsi="微软雅黑" w:cs="微软雅黑"/>
          <w:sz w:val="21"/>
          <w:szCs w:val="21"/>
          <w:shd w:val="clear" w:color="auto" w:fill="FFFFFF"/>
        </w:rPr>
      </w:pPr>
      <w:r>
        <w:rPr>
          <w:rFonts w:hint="eastAsia" w:ascii="微软雅黑" w:hAnsi="微软雅黑" w:cs="微软雅黑"/>
          <w:sz w:val="21"/>
          <w:szCs w:val="21"/>
          <w:shd w:val="clear" w:color="auto" w:fill="FFFFFF"/>
        </w:rPr>
        <w:t>DDC是指肿瘤第一次评估为CR、PR或SD开始到第一次评估为PD（Progressive Disease）或任何原因死亡的时间。</w:t>
      </w:r>
    </w:p>
    <w:p w14:paraId="20463039">
      <w:pPr>
        <w:spacing w:line="264" w:lineRule="auto"/>
        <w:jc w:val="both"/>
        <w:rPr>
          <w:rFonts w:ascii="微软雅黑" w:hAnsi="微软雅黑" w:cs="微软雅黑"/>
          <w:sz w:val="21"/>
          <w:szCs w:val="21"/>
          <w:shd w:val="clear" w:color="auto" w:fill="FFFFFF"/>
        </w:rPr>
      </w:pPr>
      <w:r>
        <w:rPr>
          <w:rFonts w:hint="eastAsia" w:ascii="微软雅黑" w:hAnsi="微软雅黑" w:cs="微软雅黑"/>
          <w:sz w:val="21"/>
          <w:szCs w:val="21"/>
          <w:shd w:val="clear" w:color="auto" w:fill="FFFFFF"/>
        </w:rPr>
        <w:br w:type="page"/>
      </w:r>
      <w:r>
        <w:rPr>
          <w:rFonts w:hint="eastAsia" w:ascii="微软雅黑" w:hAnsi="微软雅黑" w:cs="微软雅黑"/>
          <w:b/>
          <w:bCs/>
          <w:sz w:val="21"/>
          <w:szCs w:val="21"/>
          <w:u w:val="single"/>
        </w:rPr>
        <w:t>生物学常用名词：</w:t>
      </w:r>
    </w:p>
    <w:p w14:paraId="46050C58">
      <w:pPr>
        <w:numPr>
          <w:ilvl w:val="0"/>
          <w:numId w:val="19"/>
        </w:numPr>
        <w:adjustRightInd/>
        <w:snapToGrid/>
        <w:spacing w:after="0" w:line="264" w:lineRule="auto"/>
        <w:jc w:val="both"/>
        <w:rPr>
          <w:rFonts w:ascii="微软雅黑" w:hAnsi="微软雅黑" w:cs="Arial Unicode MS"/>
          <w:b/>
          <w:bCs/>
          <w:kern w:val="2"/>
          <w:sz w:val="21"/>
          <w:szCs w:val="21"/>
        </w:rPr>
      </w:pPr>
      <w:r>
        <w:rPr>
          <w:rFonts w:hint="eastAsia" w:ascii="微软雅黑" w:hAnsi="微软雅黑" w:cs="Arial Unicode MS"/>
          <w:b/>
          <w:bCs/>
          <w:kern w:val="2"/>
          <w:sz w:val="21"/>
          <w:szCs w:val="21"/>
        </w:rPr>
        <w:t>点突变（SNV）：</w:t>
      </w:r>
      <w:r>
        <w:rPr>
          <w:rFonts w:hint="eastAsia" w:ascii="微软雅黑" w:hAnsi="微软雅黑" w:cs="Arial Unicode MS"/>
          <w:kern w:val="2"/>
          <w:sz w:val="21"/>
          <w:szCs w:val="21"/>
        </w:rPr>
        <w:t>指只有一个碱基对发生改变，可发生在启动子、内含子、外显子以及内含子与外显子的交界处。一般而言，外显子区域的碱基突变可引起mRNA中密码子改变，编码相同或不同的氨基酸，相应地称为同义突变或有义突变。通常基因检测结果中呈现有义突变，包括错义突变、无义突变或移码突变。内含子与外显子交界处的碱基突变称为剪接突变，可能导致mRNA异常，进而可能影响蛋白功能。</w:t>
      </w:r>
    </w:p>
    <w:p w14:paraId="09545D3A">
      <w:pPr>
        <w:numPr>
          <w:ilvl w:val="0"/>
          <w:numId w:val="19"/>
        </w:numPr>
        <w:adjustRightInd/>
        <w:snapToGrid/>
        <w:spacing w:after="0" w:line="264" w:lineRule="auto"/>
        <w:jc w:val="both"/>
        <w:rPr>
          <w:rFonts w:ascii="微软雅黑" w:hAnsi="微软雅黑" w:cs="Arial Unicode MS"/>
          <w:b/>
          <w:bCs/>
          <w:kern w:val="2"/>
          <w:sz w:val="21"/>
          <w:szCs w:val="21"/>
        </w:rPr>
      </w:pPr>
      <w:r>
        <w:rPr>
          <w:rFonts w:hint="eastAsia" w:ascii="微软雅黑" w:hAnsi="微软雅黑" w:cs="Arial Unicode MS"/>
          <w:b/>
          <w:bCs/>
          <w:kern w:val="2"/>
          <w:sz w:val="21"/>
          <w:szCs w:val="21"/>
        </w:rPr>
        <w:t>插入缺失突变（Indel）：</w:t>
      </w:r>
      <w:r>
        <w:rPr>
          <w:rFonts w:hint="eastAsia" w:ascii="微软雅黑" w:hAnsi="微软雅黑" w:cs="Arial Unicode MS"/>
          <w:kern w:val="2"/>
          <w:sz w:val="21"/>
          <w:szCs w:val="21"/>
        </w:rPr>
        <w:t>指小片段（通常指1-20bp）的碱基插入或缺失，可能导致插入突变、缺失突变或移码突变，进而可能影响蛋白功能。</w:t>
      </w:r>
    </w:p>
    <w:p w14:paraId="12AEC334">
      <w:pPr>
        <w:numPr>
          <w:ilvl w:val="0"/>
          <w:numId w:val="19"/>
        </w:numPr>
        <w:adjustRightInd/>
        <w:snapToGrid/>
        <w:spacing w:after="0" w:line="264" w:lineRule="auto"/>
        <w:jc w:val="both"/>
        <w:rPr>
          <w:rFonts w:ascii="微软雅黑" w:hAnsi="微软雅黑" w:cs="Arial Unicode MS"/>
          <w:b/>
          <w:bCs/>
          <w:kern w:val="2"/>
          <w:sz w:val="21"/>
          <w:szCs w:val="21"/>
        </w:rPr>
      </w:pPr>
      <w:r>
        <w:rPr>
          <w:rFonts w:hint="eastAsia" w:ascii="微软雅黑" w:hAnsi="微软雅黑" w:cs="Arial Unicode MS"/>
          <w:b/>
          <w:bCs/>
          <w:kern w:val="2"/>
          <w:sz w:val="21"/>
          <w:szCs w:val="21"/>
        </w:rPr>
        <w:t>拷贝数变异（CNV）：</w:t>
      </w:r>
      <w:r>
        <w:rPr>
          <w:rFonts w:hint="eastAsia" w:ascii="微软雅黑" w:hAnsi="微软雅黑" w:cs="Arial Unicode MS"/>
          <w:kern w:val="2"/>
          <w:sz w:val="21"/>
          <w:szCs w:val="21"/>
        </w:rPr>
        <w:t>指某个基因的拷贝数增加或者减少，可能会引起蛋白表达水平的升高或降低，进而可能影响疾病的发生发展。</w:t>
      </w:r>
    </w:p>
    <w:p w14:paraId="3DBE60B3">
      <w:pPr>
        <w:numPr>
          <w:ilvl w:val="0"/>
          <w:numId w:val="19"/>
        </w:numPr>
        <w:adjustRightInd/>
        <w:snapToGrid/>
        <w:spacing w:after="0" w:line="264" w:lineRule="auto"/>
        <w:jc w:val="both"/>
        <w:rPr>
          <w:rFonts w:ascii="微软雅黑" w:hAnsi="微软雅黑" w:cs="Arial Unicode MS"/>
          <w:b/>
          <w:bCs/>
          <w:kern w:val="2"/>
          <w:sz w:val="21"/>
          <w:szCs w:val="21"/>
        </w:rPr>
      </w:pPr>
      <w:r>
        <w:rPr>
          <w:rFonts w:hint="eastAsia" w:ascii="微软雅黑" w:hAnsi="微软雅黑" w:cs="Arial Unicode MS"/>
          <w:b/>
          <w:bCs/>
          <w:kern w:val="2"/>
          <w:sz w:val="21"/>
          <w:szCs w:val="21"/>
        </w:rPr>
        <w:t>融合基因（Fusion Gene）：</w:t>
      </w:r>
      <w:r>
        <w:rPr>
          <w:rFonts w:hint="eastAsia" w:ascii="微软雅黑" w:hAnsi="微软雅黑" w:cs="Arial Unicode MS"/>
          <w:kern w:val="2"/>
          <w:sz w:val="21"/>
          <w:szCs w:val="21"/>
        </w:rPr>
        <w:t>指将两个或多个基因的编码区首尾相连，置于同一套调控序列（包括启动子、增强子、核糖体结合序列、终止子等）控制之下，构成的嵌合基因。融合基因的表达产物为融合蛋白。</w:t>
      </w:r>
    </w:p>
    <w:p w14:paraId="2BECCABF">
      <w:pPr>
        <w:numPr>
          <w:ilvl w:val="0"/>
          <w:numId w:val="19"/>
        </w:numPr>
        <w:adjustRightInd/>
        <w:snapToGrid/>
        <w:spacing w:after="0" w:line="264" w:lineRule="auto"/>
        <w:jc w:val="both"/>
        <w:rPr>
          <w:rFonts w:ascii="微软雅黑" w:hAnsi="微软雅黑" w:cs="Arial Unicode MS"/>
          <w:b/>
          <w:bCs/>
          <w:kern w:val="2"/>
          <w:sz w:val="21"/>
          <w:szCs w:val="21"/>
        </w:rPr>
      </w:pPr>
      <w:r>
        <w:rPr>
          <w:rFonts w:hint="eastAsia" w:ascii="微软雅黑" w:hAnsi="微软雅黑" w:cs="Arial Unicode MS"/>
          <w:b/>
          <w:bCs/>
          <w:kern w:val="2"/>
          <w:sz w:val="21"/>
          <w:szCs w:val="21"/>
        </w:rPr>
        <w:t>体细胞突变（Somatic Mutation）：</w:t>
      </w:r>
      <w:r>
        <w:rPr>
          <w:rFonts w:hint="eastAsia" w:ascii="微软雅黑" w:hAnsi="微软雅黑" w:cs="Arial Unicode MS"/>
          <w:kern w:val="2"/>
          <w:sz w:val="21"/>
          <w:szCs w:val="21"/>
        </w:rPr>
        <w:t>指发生在正常机体细胞中的突变，比如发生在皮肤或器官中的突变，不会传给后代。</w:t>
      </w:r>
    </w:p>
    <w:p w14:paraId="1784FDE5">
      <w:pPr>
        <w:numPr>
          <w:ilvl w:val="0"/>
          <w:numId w:val="19"/>
        </w:numPr>
        <w:adjustRightInd/>
        <w:snapToGrid/>
        <w:spacing w:after="0" w:line="264" w:lineRule="auto"/>
        <w:jc w:val="both"/>
        <w:rPr>
          <w:rFonts w:ascii="微软雅黑" w:hAnsi="微软雅黑" w:cs="Arial Unicode MS"/>
          <w:b/>
          <w:bCs/>
          <w:kern w:val="2"/>
          <w:sz w:val="21"/>
          <w:szCs w:val="21"/>
        </w:rPr>
      </w:pPr>
      <w:bookmarkStart w:id="186" w:name="OLE_LINK43"/>
      <w:r>
        <w:rPr>
          <w:rFonts w:hint="eastAsia" w:ascii="微软雅黑" w:hAnsi="微软雅黑" w:cs="Arial Unicode MS"/>
          <w:b/>
          <w:bCs/>
          <w:kern w:val="2"/>
          <w:sz w:val="21"/>
          <w:szCs w:val="21"/>
        </w:rPr>
        <w:t>生殖细胞突变</w:t>
      </w:r>
      <w:bookmarkEnd w:id="186"/>
      <w:r>
        <w:rPr>
          <w:rFonts w:hint="eastAsia" w:ascii="微软雅黑" w:hAnsi="微软雅黑" w:cs="Arial Unicode MS"/>
          <w:b/>
          <w:bCs/>
          <w:kern w:val="2"/>
          <w:sz w:val="21"/>
          <w:szCs w:val="21"/>
        </w:rPr>
        <w:t>（Germline Mutation）：</w:t>
      </w:r>
      <w:r>
        <w:rPr>
          <w:rFonts w:hint="eastAsia" w:ascii="微软雅黑" w:hAnsi="微软雅黑" w:cs="Arial Unicode MS"/>
          <w:kern w:val="2"/>
          <w:sz w:val="21"/>
          <w:szCs w:val="21"/>
        </w:rPr>
        <w:t>又称作</w:t>
      </w:r>
      <w:r>
        <w:rPr>
          <w:rFonts w:hint="eastAsia" w:ascii="微软雅黑" w:hAnsi="微软雅黑" w:cs="Arial Unicode MS"/>
          <w:b/>
          <w:bCs/>
          <w:kern w:val="2"/>
          <w:sz w:val="21"/>
          <w:szCs w:val="21"/>
        </w:rPr>
        <w:t>胚系突变</w:t>
      </w:r>
      <w:r>
        <w:rPr>
          <w:rFonts w:hint="eastAsia" w:ascii="微软雅黑" w:hAnsi="微软雅黑" w:cs="Arial Unicode MS"/>
          <w:kern w:val="2"/>
          <w:sz w:val="21"/>
          <w:szCs w:val="21"/>
        </w:rPr>
        <w:t>，指突变发生于精子或卵子，可传递给后代。</w:t>
      </w:r>
    </w:p>
    <w:p w14:paraId="23345C5B">
      <w:pPr>
        <w:numPr>
          <w:ilvl w:val="0"/>
          <w:numId w:val="19"/>
        </w:numPr>
        <w:adjustRightInd/>
        <w:snapToGrid/>
        <w:spacing w:before="200"/>
        <w:rPr>
          <w:rFonts w:ascii="微软雅黑" w:hAnsi="微软雅黑" w:cs="Arial Unicode MS"/>
          <w:kern w:val="2"/>
          <w:sz w:val="21"/>
          <w:szCs w:val="21"/>
        </w:rPr>
      </w:pPr>
      <w:r>
        <w:rPr>
          <w:rStyle w:val="20"/>
          <w:rFonts w:hint="eastAsia" w:ascii="微软雅黑" w:hAnsi="微软雅黑" w:cs="微软雅黑"/>
          <w:bCs/>
          <w:sz w:val="21"/>
          <w:szCs w:val="21"/>
          <w:shd w:val="clear" w:color="auto" w:fill="FFFFFF"/>
        </w:rPr>
        <w:t>碱基差异阅读参考：</w:t>
      </w:r>
      <w:r>
        <w:rPr>
          <w:rFonts w:hint="eastAsia" w:ascii="微软雅黑" w:hAnsi="微软雅黑" w:cs="Arial Unicode MS"/>
          <w:kern w:val="2"/>
          <w:sz w:val="21"/>
          <w:szCs w:val="21"/>
        </w:rPr>
        <w:t>人体的遗传物质DNA由A、G、T、C四种碱基构成。</w:t>
      </w:r>
    </w:p>
    <w:p w14:paraId="050FC258">
      <w:pPr>
        <w:numPr>
          <w:ilvl w:val="255"/>
          <w:numId w:val="0"/>
        </w:numPr>
        <w:adjustRightInd/>
        <w:snapToGrid/>
        <w:spacing w:after="0"/>
        <w:ind w:firstLine="420" w:firstLineChars="200"/>
        <w:rPr>
          <w:rFonts w:ascii="微软雅黑" w:hAnsi="微软雅黑" w:cs="Arial Unicode MS"/>
          <w:kern w:val="2"/>
          <w:sz w:val="21"/>
          <w:szCs w:val="21"/>
        </w:rPr>
      </w:pPr>
      <w:r>
        <w:rPr>
          <w:rFonts w:hint="eastAsia" w:ascii="微软雅黑" w:hAnsi="微软雅黑" w:cs="Arial Unicode MS"/>
          <w:kern w:val="2"/>
          <w:sz w:val="21"/>
          <w:szCs w:val="21"/>
        </w:rPr>
        <w:t>A：腺嘌呤脱氧核糖核苷酸；   G：鸟嘌呤脱氧核糖核苷酸；</w:t>
      </w:r>
    </w:p>
    <w:p w14:paraId="61C1F3B7">
      <w:pPr>
        <w:numPr>
          <w:ilvl w:val="255"/>
          <w:numId w:val="0"/>
        </w:numPr>
        <w:adjustRightInd/>
        <w:snapToGrid/>
        <w:spacing w:after="0"/>
        <w:ind w:firstLine="420" w:firstLineChars="200"/>
        <w:rPr>
          <w:rFonts w:ascii="微软雅黑" w:hAnsi="微软雅黑" w:cs="Arial Unicode MS"/>
          <w:kern w:val="2"/>
          <w:sz w:val="21"/>
          <w:szCs w:val="21"/>
        </w:rPr>
      </w:pPr>
      <w:r>
        <w:rPr>
          <w:rFonts w:hint="eastAsia" w:ascii="微软雅黑" w:hAnsi="微软雅黑" w:cs="Arial Unicode MS"/>
          <w:kern w:val="2"/>
          <w:sz w:val="21"/>
          <w:szCs w:val="21"/>
        </w:rPr>
        <w:t>T：胸腺嘧啶脱氧核糖核苷酸；C：胞嘧啶脱氧核糖核苷酸。</w:t>
      </w:r>
    </w:p>
    <w:p w14:paraId="027D9962">
      <w:pPr>
        <w:numPr>
          <w:ilvl w:val="0"/>
          <w:numId w:val="19"/>
        </w:numPr>
        <w:adjustRightInd/>
        <w:snapToGrid/>
        <w:spacing w:before="200"/>
        <w:rPr>
          <w:rFonts w:ascii="微软雅黑" w:hAnsi="微软雅黑" w:cs="Arial Unicode MS"/>
          <w:b/>
          <w:bCs/>
          <w:kern w:val="2"/>
          <w:sz w:val="21"/>
          <w:szCs w:val="21"/>
        </w:rPr>
      </w:pPr>
      <w:r>
        <w:rPr>
          <w:rStyle w:val="20"/>
          <w:rFonts w:hint="eastAsia" w:ascii="微软雅黑" w:hAnsi="微软雅黑" w:cs="微软雅黑"/>
          <w:bCs/>
          <w:sz w:val="21"/>
          <w:szCs w:val="21"/>
          <w:shd w:val="clear" w:color="auto" w:fill="FFFFFF"/>
        </w:rPr>
        <w:t>氨基酸差异阅读参考：</w:t>
      </w:r>
      <w:r>
        <w:rPr>
          <w:rFonts w:hint="eastAsia" w:ascii="微软雅黑" w:hAnsi="微软雅黑" w:cs="Arial Unicode MS"/>
          <w:kern w:val="2"/>
          <w:sz w:val="21"/>
          <w:szCs w:val="21"/>
        </w:rPr>
        <w:t>下表为人体的20种氨基酸。</w:t>
      </w:r>
    </w:p>
    <w:tbl>
      <w:tblPr>
        <w:tblStyle w:val="16"/>
        <w:tblW w:w="82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73"/>
        <w:gridCol w:w="1374"/>
        <w:gridCol w:w="1373"/>
        <w:gridCol w:w="1373"/>
        <w:gridCol w:w="1374"/>
        <w:gridCol w:w="1373"/>
      </w:tblGrid>
      <w:tr w14:paraId="3367F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single" w:color="000000" w:sz="8" w:space="0"/>
              <w:left w:val="dotted" w:color="auto" w:sz="8" w:space="0"/>
              <w:bottom w:val="single" w:color="000000" w:sz="8" w:space="0"/>
              <w:right w:val="dotted" w:color="auto" w:sz="8" w:space="0"/>
            </w:tcBorders>
            <w:shd w:val="clear" w:color="auto" w:fill="FFFFFF"/>
            <w:vAlign w:val="center"/>
          </w:tcPr>
          <w:p w14:paraId="620B1522">
            <w:pPr>
              <w:keepNext w:val="0"/>
              <w:keepLines w:val="0"/>
              <w:widowControl/>
              <w:numPr>
                <w:ilvl w:val="255"/>
                <w:numId w:val="0"/>
              </w:numPr>
              <w:suppressLineNumbers w:val="0"/>
              <w:adjustRightInd/>
              <w:snapToGrid/>
              <w:spacing w:before="0" w:beforeAutospacing="0" w:after="0" w:afterAutospacing="0" w:line="220" w:lineRule="atLeast"/>
              <w:ind w:left="0" w:right="0"/>
              <w:jc w:val="center"/>
              <w:rPr>
                <w:rFonts w:hint="default"/>
                <w:b/>
                <w:bCs/>
                <w:color w:val="000000"/>
                <w:kern w:val="2"/>
                <w:sz w:val="21"/>
                <w:szCs w:val="21"/>
              </w:rPr>
            </w:pPr>
            <w:r>
              <w:rPr>
                <w:rFonts w:hint="eastAsia"/>
                <w:b/>
                <w:bCs/>
                <w:color w:val="000000"/>
                <w:kern w:val="2"/>
                <w:sz w:val="21"/>
                <w:szCs w:val="21"/>
              </w:rPr>
              <w:t>氨基酸缩写</w:t>
            </w:r>
          </w:p>
        </w:tc>
        <w:tc>
          <w:tcPr>
            <w:tcW w:w="1374" w:type="dxa"/>
            <w:tcBorders>
              <w:top w:val="single" w:color="000000" w:sz="8" w:space="0"/>
              <w:left w:val="dotted" w:color="auto" w:sz="8" w:space="0"/>
              <w:bottom w:val="single" w:color="000000" w:sz="8" w:space="0"/>
              <w:right w:val="dotted" w:color="auto" w:sz="8" w:space="0"/>
            </w:tcBorders>
            <w:shd w:val="clear" w:color="auto" w:fill="FFFFFF"/>
            <w:vAlign w:val="center"/>
          </w:tcPr>
          <w:p w14:paraId="5555AF20">
            <w:pPr>
              <w:keepNext w:val="0"/>
              <w:keepLines w:val="0"/>
              <w:widowControl/>
              <w:numPr>
                <w:ilvl w:val="255"/>
                <w:numId w:val="0"/>
              </w:numPr>
              <w:suppressLineNumbers w:val="0"/>
              <w:adjustRightInd/>
              <w:snapToGrid/>
              <w:spacing w:before="0" w:beforeAutospacing="0" w:after="0" w:afterAutospacing="0" w:line="220" w:lineRule="atLeast"/>
              <w:ind w:left="0" w:right="0"/>
              <w:jc w:val="center"/>
              <w:rPr>
                <w:rFonts w:hint="default"/>
                <w:b/>
                <w:bCs/>
                <w:color w:val="000000"/>
                <w:kern w:val="2"/>
                <w:sz w:val="21"/>
                <w:szCs w:val="21"/>
              </w:rPr>
            </w:pPr>
            <w:r>
              <w:rPr>
                <w:rFonts w:hint="eastAsia"/>
                <w:b/>
                <w:bCs/>
                <w:color w:val="000000"/>
                <w:kern w:val="2"/>
                <w:sz w:val="21"/>
                <w:szCs w:val="21"/>
              </w:rPr>
              <w:t>中文名</w:t>
            </w:r>
          </w:p>
        </w:tc>
        <w:tc>
          <w:tcPr>
            <w:tcW w:w="1373" w:type="dxa"/>
            <w:tcBorders>
              <w:top w:val="single" w:color="000000" w:sz="8" w:space="0"/>
              <w:left w:val="dotted" w:color="auto" w:sz="8" w:space="0"/>
              <w:bottom w:val="single" w:color="000000" w:sz="8" w:space="0"/>
              <w:right w:val="dotted" w:color="auto" w:sz="8" w:space="0"/>
            </w:tcBorders>
            <w:shd w:val="clear" w:color="auto" w:fill="FFFFFF"/>
            <w:vAlign w:val="center"/>
          </w:tcPr>
          <w:p w14:paraId="59AA17EE">
            <w:pPr>
              <w:keepNext w:val="0"/>
              <w:keepLines w:val="0"/>
              <w:widowControl/>
              <w:numPr>
                <w:ilvl w:val="255"/>
                <w:numId w:val="0"/>
              </w:numPr>
              <w:suppressLineNumbers w:val="0"/>
              <w:adjustRightInd/>
              <w:snapToGrid/>
              <w:spacing w:before="0" w:beforeAutospacing="0" w:after="0" w:afterAutospacing="0" w:line="220" w:lineRule="atLeast"/>
              <w:ind w:left="0" w:right="0"/>
              <w:jc w:val="center"/>
              <w:rPr>
                <w:rFonts w:hint="default"/>
                <w:b/>
                <w:bCs/>
                <w:color w:val="000000"/>
                <w:kern w:val="2"/>
                <w:sz w:val="21"/>
                <w:szCs w:val="21"/>
              </w:rPr>
            </w:pPr>
            <w:r>
              <w:rPr>
                <w:rFonts w:hint="eastAsia"/>
                <w:b/>
                <w:bCs/>
                <w:color w:val="000000"/>
                <w:kern w:val="2"/>
                <w:sz w:val="21"/>
                <w:szCs w:val="21"/>
              </w:rPr>
              <w:t>氨基酸缩写</w:t>
            </w:r>
          </w:p>
        </w:tc>
        <w:tc>
          <w:tcPr>
            <w:tcW w:w="1373" w:type="dxa"/>
            <w:tcBorders>
              <w:top w:val="single" w:color="000000" w:sz="8" w:space="0"/>
              <w:left w:val="dotted" w:color="auto" w:sz="8" w:space="0"/>
              <w:bottom w:val="single" w:color="000000" w:sz="8" w:space="0"/>
              <w:right w:val="dotted" w:color="auto" w:sz="8" w:space="0"/>
            </w:tcBorders>
            <w:shd w:val="clear" w:color="auto" w:fill="FFFFFF"/>
            <w:vAlign w:val="center"/>
          </w:tcPr>
          <w:p w14:paraId="0EF7EEC4">
            <w:pPr>
              <w:keepNext w:val="0"/>
              <w:keepLines w:val="0"/>
              <w:widowControl/>
              <w:numPr>
                <w:ilvl w:val="255"/>
                <w:numId w:val="0"/>
              </w:numPr>
              <w:suppressLineNumbers w:val="0"/>
              <w:adjustRightInd/>
              <w:snapToGrid/>
              <w:spacing w:before="0" w:beforeAutospacing="0" w:after="0" w:afterAutospacing="0" w:line="220" w:lineRule="atLeast"/>
              <w:ind w:left="0" w:right="0"/>
              <w:jc w:val="center"/>
              <w:rPr>
                <w:rFonts w:hint="default"/>
                <w:b/>
                <w:bCs/>
                <w:color w:val="000000"/>
                <w:kern w:val="2"/>
                <w:sz w:val="21"/>
                <w:szCs w:val="21"/>
              </w:rPr>
            </w:pPr>
            <w:r>
              <w:rPr>
                <w:rFonts w:hint="eastAsia"/>
                <w:b/>
                <w:bCs/>
                <w:color w:val="000000"/>
                <w:kern w:val="2"/>
                <w:sz w:val="21"/>
                <w:szCs w:val="21"/>
              </w:rPr>
              <w:t>中文名</w:t>
            </w:r>
          </w:p>
        </w:tc>
        <w:tc>
          <w:tcPr>
            <w:tcW w:w="1374" w:type="dxa"/>
            <w:tcBorders>
              <w:top w:val="single" w:color="000000" w:sz="8" w:space="0"/>
              <w:left w:val="dotted" w:color="auto" w:sz="8" w:space="0"/>
              <w:bottom w:val="single" w:color="000000" w:sz="8" w:space="0"/>
              <w:right w:val="dotted" w:color="auto" w:sz="8" w:space="0"/>
            </w:tcBorders>
            <w:shd w:val="clear" w:color="auto" w:fill="FFFFFF"/>
            <w:vAlign w:val="center"/>
          </w:tcPr>
          <w:p w14:paraId="3882E653">
            <w:pPr>
              <w:keepNext w:val="0"/>
              <w:keepLines w:val="0"/>
              <w:widowControl/>
              <w:numPr>
                <w:ilvl w:val="255"/>
                <w:numId w:val="0"/>
              </w:numPr>
              <w:suppressLineNumbers w:val="0"/>
              <w:adjustRightInd/>
              <w:snapToGrid/>
              <w:spacing w:before="0" w:beforeAutospacing="0" w:after="0" w:afterAutospacing="0" w:line="220" w:lineRule="atLeast"/>
              <w:ind w:left="0" w:right="0"/>
              <w:jc w:val="center"/>
              <w:rPr>
                <w:rFonts w:hint="default"/>
                <w:b/>
                <w:bCs/>
                <w:color w:val="000000"/>
                <w:kern w:val="2"/>
                <w:sz w:val="21"/>
                <w:szCs w:val="21"/>
              </w:rPr>
            </w:pPr>
            <w:r>
              <w:rPr>
                <w:rFonts w:hint="eastAsia"/>
                <w:b/>
                <w:bCs/>
                <w:color w:val="000000"/>
                <w:kern w:val="2"/>
                <w:sz w:val="21"/>
                <w:szCs w:val="21"/>
              </w:rPr>
              <w:t>氨基酸缩写</w:t>
            </w:r>
          </w:p>
        </w:tc>
        <w:tc>
          <w:tcPr>
            <w:tcW w:w="1373" w:type="dxa"/>
            <w:tcBorders>
              <w:top w:val="single" w:color="000000" w:sz="8" w:space="0"/>
              <w:left w:val="dotted" w:color="auto" w:sz="8" w:space="0"/>
              <w:bottom w:val="single" w:color="000000" w:sz="8" w:space="0"/>
              <w:right w:val="dotted" w:color="auto" w:sz="8" w:space="0"/>
            </w:tcBorders>
            <w:shd w:val="clear" w:color="auto" w:fill="FFFFFF"/>
            <w:vAlign w:val="center"/>
          </w:tcPr>
          <w:p w14:paraId="1D47496A">
            <w:pPr>
              <w:keepNext w:val="0"/>
              <w:keepLines w:val="0"/>
              <w:widowControl/>
              <w:numPr>
                <w:ilvl w:val="255"/>
                <w:numId w:val="0"/>
              </w:numPr>
              <w:suppressLineNumbers w:val="0"/>
              <w:adjustRightInd/>
              <w:snapToGrid/>
              <w:spacing w:before="0" w:beforeAutospacing="0" w:after="0" w:afterAutospacing="0" w:line="220" w:lineRule="atLeast"/>
              <w:ind w:left="0" w:right="0"/>
              <w:jc w:val="center"/>
              <w:rPr>
                <w:rFonts w:hint="default"/>
                <w:b/>
                <w:bCs/>
                <w:color w:val="000000"/>
                <w:kern w:val="2"/>
                <w:sz w:val="21"/>
                <w:szCs w:val="21"/>
              </w:rPr>
            </w:pPr>
            <w:r>
              <w:rPr>
                <w:rFonts w:hint="eastAsia"/>
                <w:b/>
                <w:bCs/>
                <w:color w:val="000000"/>
                <w:kern w:val="2"/>
                <w:sz w:val="21"/>
                <w:szCs w:val="21"/>
              </w:rPr>
              <w:t>中文名</w:t>
            </w:r>
          </w:p>
        </w:tc>
      </w:tr>
      <w:tr w14:paraId="068CE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single" w:color="000000" w:sz="8" w:space="0"/>
              <w:left w:val="dotted" w:color="auto" w:sz="8" w:space="0"/>
              <w:bottom w:val="dotted" w:color="auto" w:sz="8" w:space="0"/>
              <w:right w:val="dotted" w:color="auto" w:sz="8" w:space="0"/>
            </w:tcBorders>
            <w:shd w:val="clear" w:color="auto" w:fill="FFFFFF"/>
            <w:vAlign w:val="center"/>
          </w:tcPr>
          <w:p w14:paraId="3935C66A">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Ala（A）</w:t>
            </w:r>
          </w:p>
        </w:tc>
        <w:tc>
          <w:tcPr>
            <w:tcW w:w="1374" w:type="dxa"/>
            <w:tcBorders>
              <w:top w:val="single" w:color="000000" w:sz="8" w:space="0"/>
              <w:left w:val="dotted" w:color="auto" w:sz="8" w:space="0"/>
              <w:bottom w:val="dotted" w:color="auto" w:sz="8" w:space="0"/>
              <w:right w:val="dotted" w:color="auto" w:sz="8" w:space="0"/>
            </w:tcBorders>
            <w:shd w:val="clear" w:color="auto" w:fill="FFFFFF"/>
            <w:vAlign w:val="center"/>
          </w:tcPr>
          <w:p w14:paraId="5608EFED">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丙氨酸</w:t>
            </w:r>
          </w:p>
        </w:tc>
        <w:tc>
          <w:tcPr>
            <w:tcW w:w="1373" w:type="dxa"/>
            <w:tcBorders>
              <w:top w:val="single" w:color="000000" w:sz="8" w:space="0"/>
              <w:left w:val="dotted" w:color="auto" w:sz="8" w:space="0"/>
              <w:bottom w:val="dotted" w:color="auto" w:sz="8" w:space="0"/>
              <w:right w:val="dotted" w:color="auto" w:sz="8" w:space="0"/>
            </w:tcBorders>
            <w:shd w:val="clear" w:color="auto" w:fill="FFFFFF"/>
            <w:vAlign w:val="center"/>
          </w:tcPr>
          <w:p w14:paraId="7AEBBD52">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Gly（G）</w:t>
            </w:r>
          </w:p>
        </w:tc>
        <w:tc>
          <w:tcPr>
            <w:tcW w:w="1373" w:type="dxa"/>
            <w:tcBorders>
              <w:top w:val="single" w:color="000000" w:sz="8" w:space="0"/>
              <w:left w:val="dotted" w:color="auto" w:sz="8" w:space="0"/>
              <w:bottom w:val="dotted" w:color="auto" w:sz="8" w:space="0"/>
              <w:right w:val="dotted" w:color="auto" w:sz="8" w:space="0"/>
            </w:tcBorders>
            <w:shd w:val="clear" w:color="auto" w:fill="FFFFFF"/>
            <w:vAlign w:val="center"/>
          </w:tcPr>
          <w:p w14:paraId="79C8F62C">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甘氨酸</w:t>
            </w:r>
          </w:p>
        </w:tc>
        <w:tc>
          <w:tcPr>
            <w:tcW w:w="1374" w:type="dxa"/>
            <w:tcBorders>
              <w:top w:val="single" w:color="000000" w:sz="8" w:space="0"/>
              <w:left w:val="dotted" w:color="auto" w:sz="8" w:space="0"/>
              <w:bottom w:val="dotted" w:color="auto" w:sz="8" w:space="0"/>
              <w:right w:val="dotted" w:color="auto" w:sz="8" w:space="0"/>
            </w:tcBorders>
            <w:shd w:val="clear" w:color="auto" w:fill="FFFFFF"/>
            <w:vAlign w:val="center"/>
          </w:tcPr>
          <w:p w14:paraId="39F99142">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Pro（P）</w:t>
            </w:r>
          </w:p>
        </w:tc>
        <w:tc>
          <w:tcPr>
            <w:tcW w:w="1373" w:type="dxa"/>
            <w:tcBorders>
              <w:top w:val="single" w:color="000000" w:sz="8" w:space="0"/>
              <w:left w:val="dotted" w:color="auto" w:sz="8" w:space="0"/>
              <w:bottom w:val="dotted" w:color="auto" w:sz="8" w:space="0"/>
              <w:right w:val="dotted" w:color="auto" w:sz="8" w:space="0"/>
            </w:tcBorders>
            <w:shd w:val="clear" w:color="auto" w:fill="FFFFFF"/>
            <w:vAlign w:val="center"/>
          </w:tcPr>
          <w:p w14:paraId="4FC53BF6">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脯氨酸</w:t>
            </w:r>
          </w:p>
        </w:tc>
      </w:tr>
      <w:tr w14:paraId="30C8C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4074D965">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Arg（R）</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58FAEF97">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精氨酸</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6045E550">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His（H）</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27AFBFC8">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组氨酸</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0806E685">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Ser（S）</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2C16D016">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丝氨酸</w:t>
            </w:r>
          </w:p>
        </w:tc>
      </w:tr>
      <w:tr w14:paraId="00FE0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1FA16E68">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Asn（N）</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74962E73">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天冬酰胺</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0476F312">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Ile（I）</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18FE9416">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异亮氨酸</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414E0DC9">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Thr（T）</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1FA2DB47">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苏氨酸</w:t>
            </w:r>
          </w:p>
        </w:tc>
      </w:tr>
      <w:tr w14:paraId="51F20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1ACB0A7C">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Asp（D）</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77D153CC">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天冬氨酸</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51DCE5EC">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Leu（L）</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50E8DE1D">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亮氨酸</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348A5F4B">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Trp（W）</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7A1DBE66">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色氨酸</w:t>
            </w:r>
          </w:p>
        </w:tc>
      </w:tr>
      <w:tr w14:paraId="04E90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59B07123">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Cys（C）</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1DB7957E">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半胱氨酸</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77D523A4">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Lys（K）</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1F15C693">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赖氨酸</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68099FF0">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Tyr（Y）</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108B46C5">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酪氨酸</w:t>
            </w:r>
          </w:p>
        </w:tc>
      </w:tr>
      <w:tr w14:paraId="7EAFC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372AACF0">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Gln（Q）</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55EFEE13">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谷氨酰胺</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4ECB978D">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Met（M）</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7E7C5E53">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甲硫氨酸</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7B769C75">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Val（V）</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019A86D0">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缬氨酸</w:t>
            </w:r>
          </w:p>
        </w:tc>
      </w:tr>
      <w:tr w14:paraId="051E2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dotted" w:color="auto" w:sz="8" w:space="0"/>
              <w:left w:val="dotted" w:color="auto" w:sz="8" w:space="0"/>
              <w:bottom w:val="single" w:color="000000" w:sz="8" w:space="0"/>
              <w:right w:val="dotted" w:color="auto" w:sz="8" w:space="0"/>
            </w:tcBorders>
            <w:shd w:val="clear" w:color="auto" w:fill="FFFFFF"/>
            <w:vAlign w:val="center"/>
          </w:tcPr>
          <w:p w14:paraId="076F1243">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Glu（E）</w:t>
            </w:r>
          </w:p>
        </w:tc>
        <w:tc>
          <w:tcPr>
            <w:tcW w:w="1374" w:type="dxa"/>
            <w:tcBorders>
              <w:top w:val="dotted" w:color="auto" w:sz="8" w:space="0"/>
              <w:left w:val="dotted" w:color="auto" w:sz="8" w:space="0"/>
              <w:bottom w:val="single" w:color="000000" w:sz="8" w:space="0"/>
              <w:right w:val="dotted" w:color="auto" w:sz="8" w:space="0"/>
            </w:tcBorders>
            <w:shd w:val="clear" w:color="auto" w:fill="FFFFFF"/>
            <w:vAlign w:val="center"/>
          </w:tcPr>
          <w:p w14:paraId="02AA3F46">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谷氨酸</w:t>
            </w:r>
          </w:p>
        </w:tc>
        <w:tc>
          <w:tcPr>
            <w:tcW w:w="1373" w:type="dxa"/>
            <w:tcBorders>
              <w:top w:val="dotted" w:color="auto" w:sz="8" w:space="0"/>
              <w:left w:val="dotted" w:color="auto" w:sz="8" w:space="0"/>
              <w:bottom w:val="single" w:color="000000" w:sz="8" w:space="0"/>
              <w:right w:val="dotted" w:color="auto" w:sz="8" w:space="0"/>
            </w:tcBorders>
            <w:shd w:val="clear" w:color="auto" w:fill="FFFFFF"/>
            <w:vAlign w:val="center"/>
          </w:tcPr>
          <w:p w14:paraId="27323865">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Phe（F）</w:t>
            </w:r>
          </w:p>
        </w:tc>
        <w:tc>
          <w:tcPr>
            <w:tcW w:w="1373" w:type="dxa"/>
            <w:tcBorders>
              <w:top w:val="dotted" w:color="auto" w:sz="8" w:space="0"/>
              <w:left w:val="dotted" w:color="auto" w:sz="8" w:space="0"/>
              <w:bottom w:val="single" w:color="000000" w:sz="8" w:space="0"/>
              <w:right w:val="dotted" w:color="auto" w:sz="8" w:space="0"/>
            </w:tcBorders>
            <w:shd w:val="clear" w:color="auto" w:fill="FFFFFF"/>
            <w:vAlign w:val="center"/>
          </w:tcPr>
          <w:p w14:paraId="0B79E38D">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苯丙氨酸</w:t>
            </w:r>
          </w:p>
        </w:tc>
        <w:tc>
          <w:tcPr>
            <w:tcW w:w="1374" w:type="dxa"/>
            <w:tcBorders>
              <w:top w:val="dotted" w:color="auto" w:sz="8" w:space="0"/>
              <w:left w:val="dotted" w:color="auto" w:sz="8" w:space="0"/>
              <w:bottom w:val="single" w:color="000000" w:sz="8" w:space="0"/>
              <w:right w:val="dotted" w:color="auto" w:sz="8" w:space="0"/>
            </w:tcBorders>
            <w:shd w:val="clear" w:color="auto" w:fill="FFFFFF"/>
            <w:vAlign w:val="center"/>
          </w:tcPr>
          <w:p w14:paraId="76278534">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p>
        </w:tc>
        <w:tc>
          <w:tcPr>
            <w:tcW w:w="1373" w:type="dxa"/>
            <w:tcBorders>
              <w:top w:val="dotted" w:color="auto" w:sz="8" w:space="0"/>
              <w:left w:val="dotted" w:color="auto" w:sz="8" w:space="0"/>
              <w:bottom w:val="single" w:color="000000" w:sz="8" w:space="0"/>
              <w:right w:val="dotted" w:color="auto" w:sz="8" w:space="0"/>
            </w:tcBorders>
            <w:shd w:val="clear" w:color="auto" w:fill="FFFFFF"/>
            <w:vAlign w:val="center"/>
          </w:tcPr>
          <w:p w14:paraId="441FDB36">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p>
        </w:tc>
      </w:tr>
    </w:tbl>
    <w:p w14:paraId="6575191E">
      <w:pPr>
        <w:pStyle w:val="29"/>
        <w:adjustRightInd/>
        <w:snapToGrid/>
        <w:spacing w:after="300" w:line="220" w:lineRule="atLeast"/>
        <w:ind w:firstLine="0" w:firstLineChars="0"/>
        <w:jc w:val="center"/>
        <w:rPr>
          <w:rFonts w:ascii="微软雅黑" w:hAnsi="微软雅黑"/>
          <w:b/>
          <w:sz w:val="36"/>
          <w:szCs w:val="36"/>
        </w:rPr>
      </w:pPr>
    </w:p>
    <w:p w14:paraId="5502E5D8">
      <w:pPr>
        <w:pStyle w:val="29"/>
        <w:adjustRightInd/>
        <w:snapToGrid/>
        <w:spacing w:after="300" w:line="220" w:lineRule="atLeast"/>
        <w:ind w:firstLine="0" w:firstLineChars="0"/>
        <w:jc w:val="center"/>
        <w:rPr>
          <w:rFonts w:ascii="微软雅黑" w:hAnsi="微软雅黑"/>
          <w:b/>
          <w:sz w:val="36"/>
          <w:szCs w:val="36"/>
        </w:rPr>
      </w:pPr>
    </w:p>
    <w:p w14:paraId="535752B4">
      <w:pPr>
        <w:pStyle w:val="29"/>
        <w:adjustRightInd/>
        <w:snapToGrid/>
        <w:spacing w:after="300" w:line="220" w:lineRule="atLeast"/>
        <w:ind w:firstLine="0" w:firstLineChars="0"/>
        <w:jc w:val="center"/>
        <w:outlineLvl w:val="0"/>
        <w:rPr>
          <w:rFonts w:ascii="微软雅黑" w:hAnsi="微软雅黑"/>
          <w:b/>
          <w:sz w:val="36"/>
          <w:szCs w:val="36"/>
        </w:rPr>
      </w:pPr>
      <w:bookmarkStart w:id="187" w:name="_Toc28254"/>
      <w:r>
        <w:rPr>
          <w:rFonts w:hint="eastAsia" w:ascii="微软雅黑" w:hAnsi="微软雅黑"/>
          <w:b/>
          <w:sz w:val="36"/>
          <w:szCs w:val="36"/>
        </w:rPr>
        <w:t>第四部分：附录</w:t>
      </w:r>
      <w:bookmarkEnd w:id="187"/>
      <w:r>
        <w:commentReference w:id="30"/>
      </w:r>
    </w:p>
    <w:p w14:paraId="569DF217">
      <w:pPr>
        <w:numPr>
          <w:ilvl w:val="0"/>
          <w:numId w:val="20"/>
        </w:numPr>
        <w:spacing w:after="240" w:afterLines="100" w:line="288" w:lineRule="auto"/>
        <w:jc w:val="both"/>
        <w:outlineLvl w:val="0"/>
        <w:rPr>
          <w:rFonts w:ascii="微软雅黑" w:hAnsi="微软雅黑"/>
          <w:b/>
          <w:sz w:val="24"/>
          <w:szCs w:val="24"/>
        </w:rPr>
      </w:pPr>
      <w:bookmarkStart w:id="188" w:name="_Toc6659"/>
      <w:bookmarkStart w:id="189" w:name="_Toc11173"/>
      <w:bookmarkStart w:id="190" w:name="_Toc30037"/>
      <w:bookmarkStart w:id="191" w:name="_Toc28988"/>
      <w:bookmarkStart w:id="192" w:name="_Toc2981"/>
      <w:bookmarkStart w:id="193" w:name="_Toc8652"/>
      <w:bookmarkStart w:id="194" w:name="_Toc6795"/>
      <w:bookmarkStart w:id="195" w:name="_Toc7531"/>
      <w:bookmarkStart w:id="196" w:name="_Toc7887"/>
      <w:bookmarkStart w:id="197" w:name="_Toc4199"/>
      <w:bookmarkStart w:id="198" w:name="_Toc15057"/>
      <w:bookmarkStart w:id="199" w:name="_Toc3318"/>
      <w:r>
        <w:rPr>
          <w:rFonts w:hint="eastAsia" w:ascii="微软雅黑" w:hAnsi="微软雅黑"/>
          <w:b/>
          <w:sz w:val="24"/>
          <w:szCs w:val="24"/>
        </w:rPr>
        <w:t>常见问题解答</w:t>
      </w:r>
      <w:bookmarkEnd w:id="188"/>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7486"/>
      </w:tblGrid>
      <w:tr w14:paraId="267F3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103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42C89FE8">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问题1</w:t>
            </w:r>
          </w:p>
        </w:tc>
        <w:tc>
          <w:tcPr>
            <w:tcW w:w="748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2393310D">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肿瘤患者为什么要进行基因检测？</w:t>
            </w:r>
          </w:p>
        </w:tc>
      </w:tr>
      <w:tr w14:paraId="1AB23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3435318D">
            <w:pPr>
              <w:keepNext w:val="0"/>
              <w:keepLines w:val="0"/>
              <w:widowControl/>
              <w:numPr>
                <w:ilvl w:val="0"/>
                <w:numId w:val="21"/>
              </w:numPr>
              <w:suppressLineNumbers w:val="0"/>
              <w:spacing w:before="0" w:beforeAutospacing="0" w:after="40" w:afterAutospacing="0" w:line="460" w:lineRule="exact"/>
              <w:ind w:left="425" w:right="0" w:hanging="142"/>
              <w:rPr>
                <w:rFonts w:hint="default" w:ascii="微软雅黑" w:hAnsi="微软雅黑" w:cs="微软雅黑"/>
                <w:kern w:val="0"/>
                <w:sz w:val="21"/>
                <w:szCs w:val="21"/>
                <w:shd w:val="clear" w:color="auto" w:fill="FFFFFF"/>
              </w:rPr>
            </w:pPr>
            <w:r>
              <w:rPr>
                <w:rFonts w:hint="eastAsia" w:ascii="微软雅黑" w:hAnsi="微软雅黑" w:cs="微软雅黑"/>
                <w:kern w:val="0"/>
                <w:sz w:val="21"/>
                <w:szCs w:val="21"/>
                <w:shd w:val="clear" w:color="auto" w:fill="FFFFFF"/>
              </w:rPr>
              <w:t>决策治疗方案：患者通过基因检测明确是否有突变，明确后续靶药选择；</w:t>
            </w:r>
          </w:p>
          <w:p w14:paraId="655B8FB6">
            <w:pPr>
              <w:keepNext w:val="0"/>
              <w:keepLines w:val="0"/>
              <w:widowControl/>
              <w:numPr>
                <w:ilvl w:val="0"/>
                <w:numId w:val="21"/>
              </w:numPr>
              <w:suppressLineNumbers w:val="0"/>
              <w:spacing w:before="0" w:beforeAutospacing="0" w:after="40" w:afterAutospacing="0" w:line="460" w:lineRule="exact"/>
              <w:ind w:left="425" w:right="0" w:hanging="142"/>
              <w:rPr>
                <w:rFonts w:hint="default" w:ascii="微软雅黑" w:hAnsi="微软雅黑" w:cs="微软雅黑"/>
                <w:kern w:val="0"/>
                <w:sz w:val="21"/>
                <w:szCs w:val="21"/>
                <w:shd w:val="clear" w:color="auto" w:fill="FFFFFF"/>
              </w:rPr>
            </w:pPr>
            <w:r>
              <w:rPr>
                <w:rFonts w:hint="eastAsia" w:ascii="微软雅黑" w:hAnsi="微软雅黑" w:cs="微软雅黑"/>
                <w:kern w:val="0"/>
                <w:sz w:val="21"/>
                <w:szCs w:val="21"/>
                <w:shd w:val="clear" w:color="auto" w:fill="FFFFFF"/>
              </w:rPr>
              <w:t>明确耐药原因：靶药耐药后，通过基因检测明确耐药原因，指导后续方案；</w:t>
            </w:r>
          </w:p>
          <w:p w14:paraId="4261B4E6">
            <w:pPr>
              <w:keepNext w:val="0"/>
              <w:keepLines w:val="0"/>
              <w:widowControl/>
              <w:numPr>
                <w:ilvl w:val="0"/>
                <w:numId w:val="21"/>
              </w:numPr>
              <w:suppressLineNumbers w:val="0"/>
              <w:spacing w:before="0" w:beforeAutospacing="0" w:after="40" w:afterAutospacing="0" w:line="460" w:lineRule="exact"/>
              <w:ind w:left="448" w:right="0" w:hanging="164"/>
              <w:rPr>
                <w:rFonts w:hint="default" w:ascii="微软雅黑" w:hAnsi="微软雅黑" w:cs="微软雅黑"/>
                <w:kern w:val="0"/>
                <w:sz w:val="21"/>
                <w:szCs w:val="21"/>
                <w:shd w:val="clear" w:color="auto" w:fill="FFFFFF"/>
              </w:rPr>
            </w:pPr>
            <w:r>
              <w:rPr>
                <w:rFonts w:hint="default" w:ascii="微软雅黑" w:hAnsi="微软雅黑" w:cs="微软雅黑"/>
                <w:kern w:val="0"/>
                <w:sz w:val="21"/>
                <w:szCs w:val="21"/>
                <w:shd w:val="clear" w:color="auto" w:fill="FFFFFF"/>
              </w:rPr>
              <w:t>指导</w:t>
            </w:r>
            <w:r>
              <w:rPr>
                <w:rFonts w:hint="eastAsia" w:ascii="微软雅黑" w:hAnsi="微软雅黑" w:cs="微软雅黑"/>
                <w:kern w:val="0"/>
                <w:sz w:val="21"/>
                <w:szCs w:val="21"/>
                <w:shd w:val="clear" w:color="auto" w:fill="FFFFFF"/>
              </w:rPr>
              <w:t xml:space="preserve">免疫用药：通过对肿瘤突变负荷TMB及其它相关生物标志物进行检测评估预  </w:t>
            </w:r>
          </w:p>
          <w:p w14:paraId="7B4647CB">
            <w:pPr>
              <w:keepNext w:val="0"/>
              <w:keepLines w:val="0"/>
              <w:widowControl/>
              <w:numPr>
                <w:ilvl w:val="255"/>
                <w:numId w:val="0"/>
              </w:numPr>
              <w:suppressLineNumbers w:val="0"/>
              <w:spacing w:before="0" w:beforeAutospacing="0" w:after="40" w:afterAutospacing="0" w:line="460" w:lineRule="exact"/>
              <w:ind w:left="284" w:right="0" w:firstLine="420" w:firstLineChars="200"/>
              <w:rPr>
                <w:rFonts w:hint="default" w:ascii="微软雅黑" w:hAnsi="微软雅黑" w:cs="微软雅黑"/>
                <w:kern w:val="0"/>
                <w:sz w:val="21"/>
                <w:szCs w:val="21"/>
                <w:shd w:val="clear" w:color="auto" w:fill="FFFFFF"/>
              </w:rPr>
            </w:pPr>
            <w:r>
              <w:rPr>
                <w:rFonts w:hint="eastAsia" w:ascii="微软雅黑" w:hAnsi="微软雅黑" w:cs="微软雅黑"/>
                <w:kern w:val="0"/>
                <w:sz w:val="21"/>
                <w:szCs w:val="21"/>
                <w:shd w:val="clear" w:color="auto" w:fill="FFFFFF"/>
              </w:rPr>
              <w:t>测免疫疗效；</w:t>
            </w:r>
          </w:p>
          <w:p w14:paraId="3297856B">
            <w:pPr>
              <w:keepNext w:val="0"/>
              <w:keepLines w:val="0"/>
              <w:widowControl/>
              <w:numPr>
                <w:ilvl w:val="0"/>
                <w:numId w:val="21"/>
              </w:numPr>
              <w:suppressLineNumbers w:val="0"/>
              <w:spacing w:before="0" w:beforeAutospacing="0" w:after="40" w:afterAutospacing="0" w:line="460" w:lineRule="exact"/>
              <w:ind w:left="425" w:right="0" w:hanging="142"/>
              <w:rPr>
                <w:rFonts w:hint="default" w:ascii="微软雅黑" w:hAnsi="微软雅黑" w:cs="微软雅黑"/>
                <w:kern w:val="2"/>
                <w:sz w:val="18"/>
                <w:szCs w:val="18"/>
              </w:rPr>
            </w:pPr>
            <w:r>
              <w:rPr>
                <w:rFonts w:hint="eastAsia" w:ascii="微软雅黑" w:hAnsi="微软雅黑" w:cs="微软雅黑"/>
                <w:kern w:val="0"/>
                <w:sz w:val="21"/>
                <w:szCs w:val="21"/>
                <w:shd w:val="clear" w:color="auto" w:fill="FFFFFF"/>
              </w:rPr>
              <w:t xml:space="preserve">动态监测病情：治疗过程中配合动态基因检测，观察突变丰度变化，洞悉体内瘤  </w:t>
            </w:r>
          </w:p>
          <w:p w14:paraId="3892AE07">
            <w:pPr>
              <w:keepNext w:val="0"/>
              <w:keepLines w:val="0"/>
              <w:widowControl/>
              <w:suppressLineNumbers w:val="0"/>
              <w:spacing w:before="0" w:beforeAutospacing="0" w:after="40" w:afterAutospacing="0" w:line="460" w:lineRule="exact"/>
              <w:ind w:left="283" w:right="0" w:firstLine="420" w:firstLineChars="200"/>
              <w:rPr>
                <w:rFonts w:hint="default" w:ascii="微软雅黑" w:hAnsi="微软雅黑" w:cs="微软雅黑"/>
                <w:kern w:val="2"/>
                <w:sz w:val="18"/>
                <w:szCs w:val="18"/>
              </w:rPr>
            </w:pPr>
            <w:r>
              <w:rPr>
                <w:rFonts w:hint="eastAsia" w:ascii="微软雅黑" w:hAnsi="微软雅黑" w:cs="微软雅黑"/>
                <w:kern w:val="0"/>
                <w:sz w:val="21"/>
                <w:szCs w:val="21"/>
                <w:shd w:val="clear" w:color="auto" w:fill="FFFFFF"/>
              </w:rPr>
              <w:t>群变动，预测治疗疗效及耐药趋向。</w:t>
            </w:r>
          </w:p>
        </w:tc>
      </w:tr>
    </w:tbl>
    <w:p w14:paraId="424DFD08">
      <w:pPr>
        <w:spacing w:after="0" w:line="288" w:lineRule="auto"/>
        <w:jc w:val="both"/>
        <w:rPr>
          <w:rFonts w:ascii="微软雅黑" w:hAnsi="微软雅黑"/>
          <w:b/>
          <w:sz w:val="24"/>
          <w:szCs w:val="24"/>
        </w:rPr>
      </w:pP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7486"/>
      </w:tblGrid>
      <w:tr w14:paraId="235DD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103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00321F3B">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问题2</w:t>
            </w:r>
          </w:p>
        </w:tc>
        <w:tc>
          <w:tcPr>
            <w:tcW w:w="748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0A8219A9">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什么是靶向治疗？</w:t>
            </w:r>
          </w:p>
        </w:tc>
      </w:tr>
      <w:tr w14:paraId="6A4BA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2650137D">
            <w:pPr>
              <w:pStyle w:val="14"/>
              <w:keepNext w:val="0"/>
              <w:keepLines w:val="0"/>
              <w:widowControl/>
              <w:numPr>
                <w:ilvl w:val="255"/>
                <w:numId w:val="0"/>
              </w:numPr>
              <w:suppressLineNumbers w:val="0"/>
              <w:shd w:val="clear" w:color="auto" w:fill="FFFFFF"/>
              <w:spacing w:before="120" w:beforeLines="50" w:beforeAutospacing="0" w:after="120" w:afterLines="50" w:afterAutospacing="0" w:line="264" w:lineRule="auto"/>
              <w:ind w:left="0" w:right="0" w:firstLine="420" w:firstLineChars="200"/>
              <w:jc w:val="both"/>
              <w:rPr>
                <w:rFonts w:hint="default" w:ascii="微软雅黑" w:hAnsi="微软雅黑" w:cs="微软雅黑"/>
                <w:kern w:val="2"/>
                <w:sz w:val="18"/>
                <w:szCs w:val="18"/>
              </w:rPr>
            </w:pPr>
            <w:r>
              <w:rPr>
                <w:rFonts w:hint="eastAsia" w:ascii="微软雅黑" w:hAnsi="微软雅黑" w:cs="微软雅黑"/>
                <w:kern w:val="2"/>
                <w:sz w:val="21"/>
                <w:szCs w:val="21"/>
                <w:shd w:val="clear" w:color="auto" w:fill="FFFFFF"/>
              </w:rPr>
              <w:t>靶向治疗，是指在细胞分子水平上，针对已经明确的致癌位点，也就是我们通常说的靶标，（该位点可以是肿瘤细胞内部的一个蛋白分子，也可以是一个基因片段）设计相应的靶向药物，药物进入体内会特意选择致癌位点相结合，通过干扰参与癌症生长、发展和传播，使肿瘤细胞特异性死亡，而不会波及肿瘤周围的正常组织细胞，最终实现对不同患者和疾病的精准治疗并取得最佳治疗效果。</w:t>
            </w:r>
          </w:p>
        </w:tc>
      </w:tr>
    </w:tbl>
    <w:p w14:paraId="25654089">
      <w:pPr>
        <w:spacing w:after="0" w:line="288" w:lineRule="auto"/>
        <w:jc w:val="both"/>
        <w:rPr>
          <w:rFonts w:ascii="微软雅黑" w:hAnsi="微软雅黑"/>
          <w:b/>
          <w:sz w:val="24"/>
          <w:szCs w:val="24"/>
        </w:rPr>
      </w:pP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7486"/>
      </w:tblGrid>
      <w:tr w14:paraId="28C62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103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77960E6B">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问题3</w:t>
            </w:r>
          </w:p>
        </w:tc>
        <w:tc>
          <w:tcPr>
            <w:tcW w:w="748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0F8A01BC">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靶向治疗有副作用吗？</w:t>
            </w:r>
          </w:p>
        </w:tc>
      </w:tr>
      <w:tr w14:paraId="26BB6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3C6137B9">
            <w:pPr>
              <w:pStyle w:val="14"/>
              <w:keepNext w:val="0"/>
              <w:keepLines w:val="0"/>
              <w:widowControl/>
              <w:numPr>
                <w:ilvl w:val="255"/>
                <w:numId w:val="0"/>
              </w:numPr>
              <w:suppressLineNumbers w:val="0"/>
              <w:shd w:val="clear" w:color="auto" w:fill="FFFFFF"/>
              <w:spacing w:before="120" w:beforeLines="50" w:beforeAutospacing="0" w:after="120" w:afterLines="50" w:afterAutospacing="0" w:line="264" w:lineRule="auto"/>
              <w:ind w:left="0" w:right="0" w:firstLine="420" w:firstLineChars="200"/>
              <w:jc w:val="both"/>
              <w:rPr>
                <w:rFonts w:hint="default" w:ascii="微软雅黑" w:hAnsi="微软雅黑" w:cs="微软雅黑"/>
                <w:kern w:val="2"/>
                <w:sz w:val="18"/>
                <w:szCs w:val="18"/>
              </w:rPr>
            </w:pPr>
            <w:r>
              <w:rPr>
                <w:rFonts w:hint="eastAsia" w:ascii="微软雅黑" w:hAnsi="微软雅黑" w:cs="微软雅黑"/>
                <w:kern w:val="2"/>
                <w:sz w:val="21"/>
                <w:szCs w:val="21"/>
                <w:shd w:val="clear" w:color="auto" w:fill="FFFFFF"/>
              </w:rPr>
              <w:t>靶向治疗的毒性远低于传统化疗药物，因为癌细胞比正常细胞更依赖于靶点。但是，靶向治疗也是具有副作用的</w:t>
            </w:r>
            <w:r>
              <w:rPr>
                <w:rFonts w:hint="eastAsia" w:ascii="微软雅黑" w:hAnsi="微软雅黑" w:cs="微软雅黑"/>
                <w:kern w:val="0"/>
                <w:sz w:val="21"/>
                <w:szCs w:val="21"/>
                <w:shd w:val="clear" w:color="auto" w:fill="FFFFFF"/>
              </w:rPr>
              <w:t>。</w:t>
            </w:r>
          </w:p>
        </w:tc>
      </w:tr>
    </w:tbl>
    <w:p w14:paraId="1F6562D2">
      <w:pPr>
        <w:spacing w:after="0" w:line="288" w:lineRule="auto"/>
        <w:jc w:val="both"/>
        <w:rPr>
          <w:rFonts w:ascii="微软雅黑" w:hAnsi="微软雅黑"/>
          <w:b/>
          <w:sz w:val="24"/>
          <w:szCs w:val="24"/>
        </w:rPr>
      </w:pP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7486"/>
      </w:tblGrid>
      <w:tr w14:paraId="5C5D9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103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6CD4DFB5">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问题4</w:t>
            </w:r>
          </w:p>
        </w:tc>
        <w:tc>
          <w:tcPr>
            <w:tcW w:w="748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512E5548">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什么时期接受靶向治疗最好？</w:t>
            </w:r>
          </w:p>
        </w:tc>
      </w:tr>
      <w:tr w14:paraId="08F6B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5C73329B">
            <w:pPr>
              <w:pStyle w:val="14"/>
              <w:keepNext w:val="0"/>
              <w:keepLines w:val="0"/>
              <w:widowControl/>
              <w:numPr>
                <w:ilvl w:val="255"/>
                <w:numId w:val="0"/>
              </w:numPr>
              <w:suppressLineNumbers w:val="0"/>
              <w:shd w:val="clear" w:color="auto" w:fill="FFFFFF"/>
              <w:spacing w:before="120" w:beforeLines="50" w:beforeAutospacing="0" w:after="120" w:afterLines="50" w:afterAutospacing="0" w:line="264" w:lineRule="auto"/>
              <w:ind w:left="0" w:right="0" w:firstLine="420" w:firstLineChars="200"/>
              <w:jc w:val="both"/>
              <w:rPr>
                <w:rFonts w:hint="default" w:ascii="微软雅黑" w:hAnsi="微软雅黑" w:cs="微软雅黑"/>
                <w:kern w:val="2"/>
                <w:sz w:val="18"/>
                <w:szCs w:val="18"/>
              </w:rPr>
            </w:pPr>
            <w:r>
              <w:rPr>
                <w:rFonts w:hint="eastAsia" w:ascii="微软雅黑" w:hAnsi="微软雅黑" w:cs="微软雅黑"/>
                <w:kern w:val="2"/>
                <w:sz w:val="21"/>
                <w:szCs w:val="21"/>
                <w:shd w:val="clear" w:color="auto" w:fill="FFFFFF"/>
              </w:rPr>
              <w:t>有时，靶向治疗是癌症确诊后的首选治疗方案，而有时，靶向治疗是作为放化疗无效，已经没有更好治疗方法时的最后尝试。最佳的选择时间，需要有经验的临床医生根据基因检测报告和患者自身的情况判断。</w:t>
            </w:r>
          </w:p>
        </w:tc>
      </w:tr>
    </w:tbl>
    <w:p w14:paraId="26210329">
      <w:pPr>
        <w:spacing w:after="0" w:line="288" w:lineRule="auto"/>
        <w:jc w:val="both"/>
        <w:rPr>
          <w:rFonts w:ascii="微软雅黑" w:hAnsi="微软雅黑"/>
          <w:b/>
          <w:sz w:val="24"/>
          <w:szCs w:val="24"/>
        </w:rPr>
      </w:pP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7486"/>
      </w:tblGrid>
      <w:tr w14:paraId="2FB1E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103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6AEFBF1D">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问题5</w:t>
            </w:r>
          </w:p>
        </w:tc>
        <w:tc>
          <w:tcPr>
            <w:tcW w:w="748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7E718F6F">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PD-1抑制剂为何能获得医生、患者及其家属的极度关注呢？</w:t>
            </w:r>
          </w:p>
        </w:tc>
      </w:tr>
      <w:tr w14:paraId="04E67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13DA7053">
            <w:pPr>
              <w:pStyle w:val="14"/>
              <w:keepNext w:val="0"/>
              <w:keepLines w:val="0"/>
              <w:widowControl/>
              <w:numPr>
                <w:ilvl w:val="255"/>
                <w:numId w:val="0"/>
              </w:numPr>
              <w:suppressLineNumbers w:val="0"/>
              <w:shd w:val="clear" w:color="auto" w:fill="FFFFFF"/>
              <w:spacing w:before="120" w:beforeLines="50" w:beforeAutospacing="0" w:after="120" w:afterLines="50" w:afterAutospacing="0" w:line="264" w:lineRule="auto"/>
              <w:ind w:left="0" w:right="0" w:firstLine="420" w:firstLineChars="200"/>
              <w:jc w:val="both"/>
              <w:rPr>
                <w:rFonts w:hint="default" w:ascii="微软雅黑" w:hAnsi="微软雅黑" w:cs="微软雅黑"/>
                <w:kern w:val="2"/>
                <w:sz w:val="18"/>
                <w:szCs w:val="18"/>
              </w:rPr>
            </w:pPr>
            <w:r>
              <w:rPr>
                <w:rFonts w:hint="eastAsia" w:ascii="微软雅黑" w:hAnsi="微软雅黑" w:cs="微软雅黑"/>
                <w:kern w:val="0"/>
                <w:sz w:val="21"/>
                <w:szCs w:val="21"/>
                <w:shd w:val="clear" w:color="auto" w:fill="FFFFFF"/>
              </w:rPr>
              <w:t>主要的原因是：PD-1抑制剂疗效的持久性。由于免疫系统具有记忆功能，因此一旦PD-1抑制剂起效，其中部分病友实现临床治愈。尤其是较早的恶性黑色瘤、肾癌以及非小细胞肺癌中，都已经观察到了类似的现象。</w:t>
            </w:r>
          </w:p>
        </w:tc>
      </w:tr>
    </w:tbl>
    <w:tbl>
      <w:tblPr>
        <w:tblStyle w:val="16"/>
        <w:tblpPr w:leftFromText="180" w:rightFromText="180" w:vertAnchor="text" w:horzAnchor="page" w:tblpX="1780" w:tblpY="485"/>
        <w:tblOverlap w:val="never"/>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7486"/>
      </w:tblGrid>
      <w:tr w14:paraId="5788E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103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058D2C59">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问题6</w:t>
            </w:r>
          </w:p>
        </w:tc>
        <w:tc>
          <w:tcPr>
            <w:tcW w:w="748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78B48E24">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什么是临床实验？</w:t>
            </w:r>
          </w:p>
        </w:tc>
      </w:tr>
      <w:tr w14:paraId="7EB2B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7BF9A1DA">
            <w:pPr>
              <w:pStyle w:val="14"/>
              <w:keepNext w:val="0"/>
              <w:keepLines w:val="0"/>
              <w:widowControl/>
              <w:numPr>
                <w:ilvl w:val="255"/>
                <w:numId w:val="0"/>
              </w:numPr>
              <w:suppressLineNumbers w:val="0"/>
              <w:shd w:val="clear" w:color="auto" w:fill="FFFFFF"/>
              <w:spacing w:before="120" w:beforeLines="50" w:beforeAutospacing="0" w:after="120" w:afterLines="50" w:afterAutospacing="0" w:line="264" w:lineRule="auto"/>
              <w:ind w:left="0" w:right="0" w:firstLine="420" w:firstLineChars="200"/>
              <w:jc w:val="both"/>
              <w:rPr>
                <w:rFonts w:hint="default" w:ascii="微软雅黑" w:hAnsi="微软雅黑" w:cs="微软雅黑"/>
                <w:kern w:val="2"/>
                <w:sz w:val="18"/>
                <w:szCs w:val="18"/>
              </w:rPr>
            </w:pPr>
            <w:r>
              <w:rPr>
                <w:rFonts w:hint="eastAsia" w:ascii="微软雅黑" w:hAnsi="微软雅黑" w:cs="微软雅黑"/>
                <w:kern w:val="0"/>
                <w:sz w:val="21"/>
                <w:szCs w:val="21"/>
                <w:shd w:val="clear" w:color="auto" w:fill="FFFFFF"/>
              </w:rPr>
              <w:t>国内药厂等研发机构研发的抗癌新药以及国外的药物在国内上市前都要进行药物的临床实验，包含Ⅰ期-Ⅲ期。需要适合试验要求背景的患者进行用药试验。患者在知情同意后入组获得免费的用药机会，用药期间的试验药物费用、定期检查费用均为免费。所有的试验项目都在国家NMPA官网可查，并获得伦理审查。</w:t>
            </w:r>
          </w:p>
        </w:tc>
      </w:tr>
    </w:tbl>
    <w:p w14:paraId="12563FAC">
      <w:pPr>
        <w:spacing w:after="0" w:line="240" w:lineRule="atLeast"/>
        <w:jc w:val="both"/>
        <w:rPr>
          <w:rFonts w:ascii="微软雅黑" w:hAnsi="微软雅黑" w:cs="微软雅黑"/>
          <w:sz w:val="21"/>
          <w:szCs w:val="21"/>
          <w:shd w:val="clear" w:color="auto" w:fill="FFFFFF"/>
        </w:rPr>
      </w:pPr>
    </w:p>
    <w:p w14:paraId="7D1C5BAA">
      <w:pPr>
        <w:spacing w:after="0" w:line="240" w:lineRule="atLeast"/>
        <w:jc w:val="both"/>
        <w:rPr>
          <w:rFonts w:ascii="微软雅黑" w:hAnsi="微软雅黑" w:cs="微软雅黑"/>
          <w:sz w:val="21"/>
          <w:szCs w:val="21"/>
          <w:shd w:val="clear" w:color="auto" w:fill="FFFFFF"/>
        </w:rPr>
      </w:pP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7486"/>
      </w:tblGrid>
      <w:tr w14:paraId="31D3A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103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4B71843B">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问题7</w:t>
            </w:r>
          </w:p>
        </w:tc>
        <w:tc>
          <w:tcPr>
            <w:tcW w:w="748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089E7A80">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参加临床实验有什么好处？</w:t>
            </w:r>
          </w:p>
        </w:tc>
      </w:tr>
      <w:tr w14:paraId="481B3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6D6284B0">
            <w:pPr>
              <w:keepNext w:val="0"/>
              <w:keepLines w:val="0"/>
              <w:widowControl/>
              <w:numPr>
                <w:ilvl w:val="0"/>
                <w:numId w:val="21"/>
              </w:numPr>
              <w:suppressLineNumbers w:val="0"/>
              <w:spacing w:before="0" w:beforeAutospacing="0" w:after="40" w:afterAutospacing="0" w:line="460" w:lineRule="exact"/>
              <w:ind w:right="0"/>
              <w:jc w:val="both"/>
              <w:rPr>
                <w:rFonts w:hint="default" w:ascii="微软雅黑" w:hAnsi="微软雅黑" w:cs="微软雅黑"/>
                <w:kern w:val="2"/>
                <w:sz w:val="18"/>
                <w:szCs w:val="18"/>
              </w:rPr>
            </w:pPr>
            <w:r>
              <w:rPr>
                <w:rFonts w:hint="eastAsia" w:ascii="微软雅黑" w:hAnsi="微软雅黑" w:cs="微软雅黑"/>
                <w:kern w:val="0"/>
                <w:sz w:val="21"/>
                <w:szCs w:val="21"/>
                <w:shd w:val="clear" w:color="auto" w:fill="FFFFFF"/>
              </w:rPr>
              <w:t>寻求新的治疗希望：很多新药是针对新兴研究的靶点，部分药物是国外已经上市的。特别是对于后期无药可选的患者参加临床试验是重要的治疗机会。</w:t>
            </w:r>
          </w:p>
          <w:p w14:paraId="1BC1A6C5">
            <w:pPr>
              <w:keepNext w:val="0"/>
              <w:keepLines w:val="0"/>
              <w:widowControl/>
              <w:numPr>
                <w:ilvl w:val="0"/>
                <w:numId w:val="21"/>
              </w:numPr>
              <w:suppressLineNumbers w:val="0"/>
              <w:spacing w:before="0" w:beforeAutospacing="0" w:after="40" w:afterAutospacing="0" w:line="460" w:lineRule="exact"/>
              <w:ind w:right="0"/>
              <w:jc w:val="both"/>
              <w:rPr>
                <w:rFonts w:hint="default" w:ascii="微软雅黑" w:hAnsi="微软雅黑" w:cs="微软雅黑"/>
                <w:kern w:val="2"/>
                <w:sz w:val="18"/>
                <w:szCs w:val="18"/>
              </w:rPr>
            </w:pPr>
            <w:r>
              <w:rPr>
                <w:rFonts w:hint="eastAsia" w:ascii="微软雅黑" w:hAnsi="微软雅黑" w:cs="微软雅黑"/>
                <w:kern w:val="0"/>
                <w:sz w:val="21"/>
                <w:szCs w:val="21"/>
                <w:shd w:val="clear" w:color="auto" w:fill="FFFFFF"/>
              </w:rPr>
              <w:t>减轻家庭经济负担：肿瘤患者病情反复，巨额费用普通家庭很难承受，选择合适的临床实验可以适度减轻家庭经济负担。</w:t>
            </w:r>
          </w:p>
        </w:tc>
      </w:tr>
    </w:tbl>
    <w:p w14:paraId="1051C5E9">
      <w:pPr>
        <w:spacing w:after="0" w:line="140" w:lineRule="atLeast"/>
        <w:jc w:val="both"/>
        <w:rPr>
          <w:rFonts w:ascii="微软雅黑" w:hAnsi="微软雅黑" w:cs="微软雅黑"/>
          <w:sz w:val="21"/>
          <w:szCs w:val="21"/>
          <w:shd w:val="clear" w:color="auto" w:fill="FFFFFF"/>
        </w:rPr>
      </w:pPr>
    </w:p>
    <w:p w14:paraId="061AF2F3">
      <w:pPr>
        <w:pStyle w:val="14"/>
        <w:numPr>
          <w:ilvl w:val="255"/>
          <w:numId w:val="0"/>
        </w:numPr>
        <w:shd w:val="clear" w:color="auto" w:fill="FFFFFF"/>
        <w:spacing w:before="120" w:beforeLines="50" w:beforeAutospacing="0" w:after="120" w:afterLines="50" w:afterAutospacing="0" w:line="264" w:lineRule="auto"/>
        <w:ind w:firstLine="420" w:firstLineChars="200"/>
        <w:jc w:val="both"/>
        <w:rPr>
          <w:rFonts w:ascii="微软雅黑" w:hAnsi="微软雅黑" w:cs="微软雅黑"/>
          <w:sz w:val="21"/>
          <w:szCs w:val="21"/>
          <w:shd w:val="clear" w:color="auto" w:fill="FFFFFF"/>
        </w:rPr>
      </w:pPr>
    </w:p>
    <w:p w14:paraId="391E22CC">
      <w:pPr>
        <w:spacing w:line="460" w:lineRule="exact"/>
        <w:ind w:firstLine="420" w:firstLineChars="200"/>
        <w:jc w:val="both"/>
        <w:rPr>
          <w:rFonts w:ascii="微软雅黑" w:hAnsi="微软雅黑" w:cs="微软雅黑"/>
          <w:sz w:val="21"/>
          <w:szCs w:val="21"/>
          <w:shd w:val="clear" w:color="auto" w:fill="FFFFFF"/>
        </w:rPr>
      </w:pPr>
    </w:p>
    <w:p w14:paraId="071778AE">
      <w:pPr>
        <w:spacing w:line="460" w:lineRule="exact"/>
        <w:ind w:firstLine="420" w:firstLineChars="200"/>
        <w:jc w:val="both"/>
        <w:rPr>
          <w:rFonts w:ascii="微软雅黑" w:hAnsi="微软雅黑" w:cs="微软雅黑"/>
          <w:sz w:val="21"/>
          <w:szCs w:val="21"/>
          <w:shd w:val="clear" w:color="auto" w:fill="FFFFFF"/>
        </w:rPr>
      </w:pPr>
    </w:p>
    <w:p w14:paraId="09975B55">
      <w:pPr>
        <w:rPr>
          <w:rFonts w:ascii="微软雅黑" w:hAnsi="微软雅黑"/>
          <w:b/>
          <w:sz w:val="24"/>
          <w:szCs w:val="24"/>
        </w:rPr>
      </w:pPr>
      <w:r>
        <w:rPr>
          <w:rFonts w:hint="eastAsia" w:ascii="微软雅黑" w:hAnsi="微软雅黑"/>
          <w:b/>
          <w:sz w:val="24"/>
          <w:szCs w:val="24"/>
        </w:rPr>
        <w:br w:type="page"/>
      </w:r>
    </w:p>
    <w:bookmarkEnd w:id="189"/>
    <w:p w14:paraId="39F1532C">
      <w:pPr>
        <w:spacing w:after="0" w:line="288" w:lineRule="auto"/>
        <w:jc w:val="both"/>
        <w:outlineLvl w:val="0"/>
        <w:rPr>
          <w:rFonts w:ascii="微软雅黑" w:hAnsi="微软雅黑"/>
          <w:b/>
          <w:sz w:val="24"/>
          <w:szCs w:val="24"/>
        </w:rPr>
      </w:pPr>
      <w:bookmarkStart w:id="200" w:name="_Toc9100"/>
      <w:bookmarkStart w:id="201" w:name="_Toc21727"/>
      <w:bookmarkStart w:id="202" w:name="OLE_LINK34"/>
      <w:r>
        <w:rPr>
          <w:rFonts w:hint="eastAsia" w:ascii="微软雅黑" w:hAnsi="微软雅黑"/>
          <w:b/>
          <w:sz w:val="24"/>
          <w:szCs w:val="24"/>
        </w:rPr>
        <w:t>2. 结直肠癌诊疗知识</w:t>
      </w:r>
      <w:bookmarkEnd w:id="200"/>
      <w:r>
        <w:commentReference w:id="31"/>
      </w:r>
    </w:p>
    <w:p w14:paraId="57E445E7">
      <w:pPr>
        <w:ind w:firstLine="420" w:firstLineChars="200"/>
        <w:jc w:val="both"/>
        <w:rPr>
          <w:rFonts w:ascii="微软雅黑" w:hAnsi="微软雅黑" w:cs="微软雅黑"/>
          <w:sz w:val="18"/>
        </w:rPr>
      </w:pPr>
      <w:r>
        <w:rPr>
          <w:rFonts w:hint="eastAsia" w:ascii="微软雅黑" w:hAnsi="微软雅黑" w:cs="微软雅黑"/>
          <w:sz w:val="21"/>
          <w:szCs w:val="21"/>
        </w:rPr>
        <w:t>结直肠癌（Colorectal cancer，CRC）是胃肠道中常见的恶性肿瘤，早期症状不明显，随着肿瘤的增大而表现排便习惯改变、便血、腹泻、腹泻与便秘交替、局部腹痛等症状，晚期则表现为贫血、体重减轻等全身症状。结直肠癌约占全世界每年新增诊断癌症和癌症相关死亡的10%，在女性常见癌种中排名第二，男性常见癌种中排名第三</w:t>
      </w:r>
      <w:r>
        <w:rPr>
          <w:rFonts w:hint="eastAsia" w:ascii="微软雅黑" w:hAnsi="微软雅黑" w:cs="微软雅黑"/>
          <w:sz w:val="21"/>
          <w:szCs w:val="21"/>
          <w:vertAlign w:val="superscript"/>
        </w:rPr>
        <w:t>[1]</w:t>
      </w:r>
      <w:r>
        <w:rPr>
          <w:rFonts w:hint="eastAsia" w:ascii="微软雅黑" w:hAnsi="微软雅黑" w:cs="微软雅黑"/>
          <w:sz w:val="21"/>
          <w:szCs w:val="21"/>
        </w:rPr>
        <w:t>。结直肠癌发病率因性别、地区而异，男性的大肠癌的年龄标准化发病率（ASRi）（每十万人中20.6）高于女性（每十万人中14.3），</w:t>
      </w:r>
      <w:r>
        <w:rPr>
          <w:rFonts w:ascii="微软雅黑" w:hAnsi="微软雅黑" w:cs="微软雅黑"/>
          <w:sz w:val="21"/>
          <w:szCs w:val="21"/>
        </w:rPr>
        <w:t>较发达的地区</w:t>
      </w:r>
      <w:r>
        <w:rPr>
          <w:rFonts w:hint="eastAsia" w:ascii="微软雅黑" w:hAnsi="微软雅黑" w:cs="微软雅黑"/>
          <w:sz w:val="21"/>
          <w:szCs w:val="21"/>
        </w:rPr>
        <w:t>高于欠发达地区（图1）。发病率和死亡率在消化系统恶性肿瘤中仅次于胃癌、食管癌和原发性肝癌，2013年全球约77.1万人死于大肠癌，成为继肺癌、肝癌和胃癌之后全球第四大最常见的癌症相关死亡原因</w:t>
      </w:r>
      <w:r>
        <w:rPr>
          <w:rFonts w:hint="eastAsia" w:ascii="微软雅黑" w:hAnsi="微软雅黑" w:cs="微软雅黑"/>
          <w:sz w:val="21"/>
          <w:szCs w:val="21"/>
          <w:vertAlign w:val="superscript"/>
        </w:rPr>
        <w:t>[2]</w:t>
      </w:r>
      <w:r>
        <w:rPr>
          <w:rFonts w:hint="eastAsia" w:ascii="微软雅黑" w:hAnsi="微软雅黑" w:cs="微软雅黑"/>
          <w:sz w:val="21"/>
          <w:szCs w:val="21"/>
        </w:rPr>
        <w:t>。</w:t>
      </w:r>
    </w:p>
    <w:p w14:paraId="48956F8C">
      <w:pPr>
        <w:jc w:val="center"/>
      </w:pPr>
      <w:r>
        <w:drawing>
          <wp:inline distT="0" distB="0" distL="114300" distR="114300">
            <wp:extent cx="5220335" cy="3353435"/>
            <wp:effectExtent l="0" t="0" r="18415" b="18415"/>
            <wp:docPr id="102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图片 15"/>
                    <pic:cNvPicPr>
                      <a:picLocks noChangeAspect="1"/>
                    </pic:cNvPicPr>
                  </pic:nvPicPr>
                  <pic:blipFill>
                    <a:blip r:embed="rId28"/>
                    <a:srcRect l="988"/>
                    <a:stretch>
                      <a:fillRect/>
                    </a:stretch>
                  </pic:blipFill>
                  <pic:spPr>
                    <a:xfrm>
                      <a:off x="0" y="0"/>
                      <a:ext cx="5220335" cy="3353435"/>
                    </a:xfrm>
                    <a:prstGeom prst="rect">
                      <a:avLst/>
                    </a:prstGeom>
                    <a:noFill/>
                    <a:ln>
                      <a:noFill/>
                    </a:ln>
                  </pic:spPr>
                </pic:pic>
              </a:graphicData>
            </a:graphic>
          </wp:inline>
        </w:drawing>
      </w:r>
    </w:p>
    <w:p w14:paraId="7FCBB05F">
      <w:pPr>
        <w:jc w:val="center"/>
        <w:rPr>
          <w:sz w:val="20"/>
          <w:szCs w:val="20"/>
        </w:rPr>
      </w:pPr>
      <w:r>
        <w:rPr>
          <w:rFonts w:hint="eastAsia"/>
          <w:sz w:val="20"/>
          <w:szCs w:val="20"/>
        </w:rPr>
        <w:t>图1 各地理区域男女（每10万人）的年龄标准化发病率和死亡率</w:t>
      </w:r>
      <w:r>
        <w:rPr>
          <w:rFonts w:hint="eastAsia" w:ascii="微软雅黑" w:hAnsi="微软雅黑" w:cs="微软雅黑"/>
          <w:sz w:val="20"/>
          <w:szCs w:val="20"/>
          <w:vertAlign w:val="superscript"/>
        </w:rPr>
        <w:t>[3]</w:t>
      </w:r>
    </w:p>
    <w:p w14:paraId="09586B67">
      <w:pPr>
        <w:jc w:val="both"/>
        <w:rPr>
          <w:b/>
          <w:bCs/>
        </w:rPr>
      </w:pPr>
      <w:r>
        <w:rPr>
          <w:rFonts w:hint="eastAsia"/>
          <w:b/>
          <w:bCs/>
        </w:rPr>
        <w:t>1、高危患病因素</w:t>
      </w:r>
    </w:p>
    <w:p w14:paraId="0AF8DB60">
      <w:pPr>
        <w:ind w:firstLine="420" w:firstLineChars="200"/>
        <w:jc w:val="both"/>
        <w:rPr>
          <w:rFonts w:ascii="微软雅黑" w:hAnsi="微软雅黑" w:cs="微软雅黑"/>
          <w:sz w:val="21"/>
          <w:szCs w:val="21"/>
        </w:rPr>
      </w:pPr>
      <w:r>
        <w:rPr>
          <w:rFonts w:hint="eastAsia" w:ascii="微软雅黑" w:hAnsi="微软雅黑" w:cs="微软雅黑"/>
          <w:sz w:val="21"/>
          <w:szCs w:val="21"/>
        </w:rPr>
        <w:t>流行病学研究表明，性别和年龄增长与结直肠癌发病率密切相关。同时，遗传和环境因素对结直肠发病起着重要作用（图2）。大多数西方人群中，结直肠癌的平均终生风险在3％-5％。大多数结直肠癌是散发性的，大约10-20%的结直肠癌患者有家族史</w:t>
      </w:r>
      <w:r>
        <w:rPr>
          <w:rFonts w:hint="eastAsia" w:ascii="微软雅黑" w:hAnsi="微软雅黑" w:cs="微软雅黑"/>
          <w:sz w:val="21"/>
          <w:szCs w:val="21"/>
          <w:vertAlign w:val="superscript"/>
        </w:rPr>
        <w:t>[4]</w:t>
      </w:r>
      <w:r>
        <w:rPr>
          <w:rFonts w:hint="eastAsia" w:ascii="微软雅黑" w:hAnsi="微软雅黑" w:cs="微软雅黑"/>
          <w:sz w:val="21"/>
          <w:szCs w:val="21"/>
        </w:rPr>
        <w:t>，其患病风险取决于患病家属年龄与数量</w:t>
      </w:r>
      <w:r>
        <w:rPr>
          <w:rFonts w:hint="eastAsia" w:ascii="微软雅黑" w:hAnsi="微软雅黑" w:cs="微软雅黑"/>
          <w:sz w:val="21"/>
          <w:szCs w:val="21"/>
          <w:vertAlign w:val="superscript"/>
        </w:rPr>
        <w:t>[5]</w:t>
      </w:r>
      <w:r>
        <w:rPr>
          <w:rFonts w:hint="eastAsia" w:ascii="微软雅黑" w:hAnsi="微软雅黑" w:cs="微软雅黑"/>
          <w:sz w:val="21"/>
          <w:szCs w:val="21"/>
        </w:rPr>
        <w:t>。如直系亲属诊断时年龄小于50岁，则患病风险增加三倍。长期患有炎症性肠病和有结直肠癌或腺瘤病史的患者患结直肠癌的风险较高，需要进行适当的监测</w:t>
      </w:r>
      <w:r>
        <w:rPr>
          <w:rFonts w:hint="eastAsia" w:ascii="微软雅黑" w:hAnsi="微软雅黑" w:cs="微软雅黑"/>
          <w:sz w:val="21"/>
          <w:szCs w:val="21"/>
          <w:vertAlign w:val="superscript"/>
        </w:rPr>
        <w:t>[6，7]</w:t>
      </w:r>
      <w:r>
        <w:rPr>
          <w:rFonts w:hint="eastAsia" w:ascii="微软雅黑" w:hAnsi="微软雅黑" w:cs="微软雅黑"/>
          <w:sz w:val="21"/>
          <w:szCs w:val="21"/>
        </w:rPr>
        <w:t>。</w:t>
      </w:r>
    </w:p>
    <w:p w14:paraId="45809160">
      <w:pPr>
        <w:jc w:val="center"/>
      </w:pPr>
      <w:r>
        <w:drawing>
          <wp:inline distT="0" distB="0" distL="114300" distR="114300">
            <wp:extent cx="5175885" cy="3589020"/>
            <wp:effectExtent l="0" t="0" r="5715" b="11430"/>
            <wp:docPr id="102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图片 11"/>
                    <pic:cNvPicPr>
                      <a:picLocks noChangeAspect="1"/>
                    </pic:cNvPicPr>
                  </pic:nvPicPr>
                  <pic:blipFill>
                    <a:blip r:embed="rId29"/>
                    <a:srcRect b="2092"/>
                    <a:stretch>
                      <a:fillRect/>
                    </a:stretch>
                  </pic:blipFill>
                  <pic:spPr>
                    <a:xfrm>
                      <a:off x="0" y="0"/>
                      <a:ext cx="5175885" cy="3589020"/>
                    </a:xfrm>
                    <a:prstGeom prst="rect">
                      <a:avLst/>
                    </a:prstGeom>
                    <a:noFill/>
                    <a:ln>
                      <a:noFill/>
                    </a:ln>
                  </pic:spPr>
                </pic:pic>
              </a:graphicData>
            </a:graphic>
          </wp:inline>
        </w:drawing>
      </w:r>
    </w:p>
    <w:p w14:paraId="38B92595">
      <w:pPr>
        <w:jc w:val="center"/>
        <w:rPr>
          <w:sz w:val="20"/>
          <w:szCs w:val="20"/>
        </w:rPr>
      </w:pPr>
      <w:r>
        <w:rPr>
          <w:rFonts w:hint="eastAsia"/>
          <w:sz w:val="20"/>
          <w:szCs w:val="20"/>
        </w:rPr>
        <w:t>图2 结直肠癌发病危险因素</w:t>
      </w:r>
      <w:r>
        <w:rPr>
          <w:rFonts w:hint="eastAsia" w:ascii="微软雅黑" w:hAnsi="微软雅黑" w:cs="微软雅黑"/>
          <w:sz w:val="20"/>
          <w:szCs w:val="20"/>
          <w:vertAlign w:val="superscript"/>
        </w:rPr>
        <w:t>[1]</w:t>
      </w:r>
    </w:p>
    <w:p w14:paraId="6EE58CF2">
      <w:pPr>
        <w:ind w:firstLine="420" w:firstLineChars="200"/>
        <w:jc w:val="both"/>
        <w:rPr>
          <w:rFonts w:ascii="微软雅黑" w:hAnsi="微软雅黑" w:cs="微软雅黑"/>
          <w:sz w:val="21"/>
          <w:szCs w:val="21"/>
        </w:rPr>
      </w:pPr>
      <w:r>
        <w:rPr>
          <w:rFonts w:ascii="微软雅黑" w:hAnsi="微软雅黑" w:cs="微软雅黑"/>
          <w:sz w:val="21"/>
          <w:szCs w:val="21"/>
        </w:rPr>
        <w:t>遗传性</w:t>
      </w:r>
      <w:r>
        <w:rPr>
          <w:rFonts w:hint="eastAsia" w:ascii="微软雅黑" w:hAnsi="微软雅黑" w:cs="微软雅黑"/>
          <w:sz w:val="21"/>
          <w:szCs w:val="21"/>
        </w:rPr>
        <w:t>结直肠</w:t>
      </w:r>
      <w:r>
        <w:rPr>
          <w:rFonts w:ascii="微软雅黑" w:hAnsi="微软雅黑" w:cs="微软雅黑"/>
          <w:sz w:val="21"/>
          <w:szCs w:val="21"/>
        </w:rPr>
        <w:t>癌综合</w:t>
      </w:r>
      <w:r>
        <w:rPr>
          <w:rFonts w:hint="eastAsia" w:ascii="微软雅黑" w:hAnsi="微软雅黑" w:cs="微软雅黑"/>
          <w:sz w:val="21"/>
          <w:szCs w:val="21"/>
        </w:rPr>
        <w:t>征主要包括：</w:t>
      </w:r>
      <w:bookmarkStart w:id="203" w:name="OLE_LINK8"/>
      <w:r>
        <w:rPr>
          <w:rFonts w:ascii="微软雅黑" w:hAnsi="微软雅黑" w:cs="微软雅黑"/>
          <w:sz w:val="21"/>
          <w:szCs w:val="21"/>
        </w:rPr>
        <w:t>林奇</w:t>
      </w:r>
      <w:bookmarkEnd w:id="203"/>
      <w:r>
        <w:rPr>
          <w:rFonts w:ascii="微软雅黑" w:hAnsi="微软雅黑" w:cs="微软雅黑"/>
          <w:sz w:val="21"/>
          <w:szCs w:val="21"/>
        </w:rPr>
        <w:t>综合征</w:t>
      </w:r>
      <w:r>
        <w:rPr>
          <w:rFonts w:hint="eastAsia" w:ascii="微软雅黑" w:hAnsi="微软雅黑" w:cs="微软雅黑"/>
          <w:sz w:val="21"/>
          <w:szCs w:val="21"/>
        </w:rPr>
        <w:t>（</w:t>
      </w:r>
      <w:r>
        <w:rPr>
          <w:rFonts w:ascii="微软雅黑" w:hAnsi="微软雅黑" w:cs="微软雅黑"/>
          <w:sz w:val="21"/>
          <w:szCs w:val="21"/>
        </w:rPr>
        <w:t>Lynch</w:t>
      </w:r>
      <w:r>
        <w:rPr>
          <w:rFonts w:hint="eastAsia" w:ascii="微软雅黑" w:hAnsi="微软雅黑" w:cs="微软雅黑"/>
          <w:sz w:val="21"/>
          <w:szCs w:val="21"/>
        </w:rPr>
        <w:t xml:space="preserve"> syndrome）、</w:t>
      </w:r>
      <w:r>
        <w:rPr>
          <w:rFonts w:ascii="微软雅黑" w:hAnsi="微软雅黑" w:cs="微软雅黑"/>
          <w:sz w:val="21"/>
          <w:szCs w:val="21"/>
        </w:rPr>
        <w:t>家族性腺瘤性息肉病</w:t>
      </w:r>
      <w:r>
        <w:rPr>
          <w:rFonts w:hint="eastAsia" w:ascii="微软雅黑" w:hAnsi="微软雅黑" w:cs="微软雅黑"/>
          <w:sz w:val="21"/>
          <w:szCs w:val="21"/>
        </w:rPr>
        <w:t>、</w:t>
      </w:r>
      <w:r>
        <w:rPr>
          <w:rFonts w:ascii="微软雅黑" w:hAnsi="微软雅黑" w:cs="微软雅黑"/>
          <w:sz w:val="21"/>
          <w:szCs w:val="21"/>
        </w:rPr>
        <w:t>mutY DNA糖基化酶（MUTYH）基因突变相关的息肉病</w:t>
      </w:r>
      <w:r>
        <w:rPr>
          <w:rFonts w:hint="eastAsia" w:ascii="微软雅黑" w:hAnsi="微软雅黑" w:cs="微软雅黑"/>
          <w:sz w:val="21"/>
          <w:szCs w:val="21"/>
        </w:rPr>
        <w:t>、</w:t>
      </w:r>
      <w:r>
        <w:rPr>
          <w:rFonts w:ascii="微软雅黑" w:hAnsi="微软雅黑" w:cs="微软雅黑"/>
          <w:sz w:val="21"/>
          <w:szCs w:val="21"/>
        </w:rPr>
        <w:t>Peutz Jeghers综合征</w:t>
      </w:r>
      <w:r>
        <w:rPr>
          <w:rFonts w:hint="eastAsia" w:ascii="微软雅黑" w:hAnsi="微软雅黑" w:cs="微软雅黑"/>
          <w:sz w:val="21"/>
          <w:szCs w:val="21"/>
        </w:rPr>
        <w:t>、</w:t>
      </w:r>
      <w:r>
        <w:rPr>
          <w:rFonts w:ascii="微软雅黑" w:hAnsi="微软雅黑" w:cs="微软雅黑"/>
          <w:sz w:val="21"/>
          <w:szCs w:val="21"/>
        </w:rPr>
        <w:t>锯齿状息肉病和青少年息肉病</w:t>
      </w:r>
      <w:r>
        <w:rPr>
          <w:rFonts w:hint="eastAsia" w:ascii="微软雅黑" w:hAnsi="微软雅黑" w:cs="微软雅黑"/>
          <w:sz w:val="21"/>
          <w:szCs w:val="21"/>
        </w:rPr>
        <w:t>，其中较为常见的是</w:t>
      </w:r>
      <w:r>
        <w:rPr>
          <w:rFonts w:ascii="微软雅黑" w:hAnsi="微软雅黑" w:cs="微软雅黑"/>
          <w:sz w:val="21"/>
          <w:szCs w:val="21"/>
        </w:rPr>
        <w:t>林奇综合征</w:t>
      </w:r>
      <w:r>
        <w:rPr>
          <w:rFonts w:hint="eastAsia" w:ascii="微软雅黑" w:hAnsi="微软雅黑" w:cs="微软雅黑"/>
          <w:sz w:val="21"/>
          <w:szCs w:val="21"/>
        </w:rPr>
        <w:t>与</w:t>
      </w:r>
      <w:r>
        <w:rPr>
          <w:rFonts w:ascii="微软雅黑" w:hAnsi="微软雅黑" w:cs="微软雅黑"/>
          <w:sz w:val="21"/>
          <w:szCs w:val="21"/>
        </w:rPr>
        <w:t>家族性腺瘤性息肉病</w:t>
      </w:r>
      <w:r>
        <w:rPr>
          <w:rFonts w:hint="eastAsia" w:ascii="微软雅黑" w:hAnsi="微软雅黑" w:cs="微软雅黑"/>
          <w:sz w:val="21"/>
          <w:szCs w:val="21"/>
        </w:rPr>
        <w:t>。</w:t>
      </w:r>
    </w:p>
    <w:p w14:paraId="3C7943BD">
      <w:pPr>
        <w:ind w:firstLine="420" w:firstLineChars="200"/>
        <w:jc w:val="both"/>
        <w:rPr>
          <w:rFonts w:ascii="微软雅黑" w:hAnsi="微软雅黑" w:cs="微软雅黑"/>
          <w:sz w:val="21"/>
          <w:szCs w:val="21"/>
        </w:rPr>
      </w:pPr>
      <w:r>
        <w:rPr>
          <w:rFonts w:ascii="微软雅黑" w:hAnsi="微软雅黑" w:cs="微软雅黑"/>
          <w:sz w:val="21"/>
          <w:szCs w:val="21"/>
        </w:rPr>
        <w:t>林奇综合征是由DNA错配修复系统的功能障碍引起的，其特征是肿瘤中与健康组织相比微卫星区域的扩张或收缩，称为微卫星不稳定</w:t>
      </w:r>
      <w:r>
        <w:rPr>
          <w:rFonts w:hint="eastAsia" w:ascii="微软雅黑" w:hAnsi="微软雅黑" w:cs="微软雅黑"/>
          <w:sz w:val="21"/>
          <w:szCs w:val="21"/>
        </w:rPr>
        <w:t>（</w:t>
      </w:r>
      <w:r>
        <w:rPr>
          <w:rFonts w:ascii="微软雅黑" w:hAnsi="微软雅黑" w:cs="微软雅黑"/>
          <w:sz w:val="21"/>
          <w:szCs w:val="21"/>
        </w:rPr>
        <w:t>MSI</w:t>
      </w:r>
      <w:r>
        <w:rPr>
          <w:rFonts w:hint="eastAsia" w:ascii="微软雅黑" w:hAnsi="微软雅黑" w:cs="微软雅黑"/>
          <w:sz w:val="21"/>
          <w:szCs w:val="21"/>
        </w:rPr>
        <w:t>）</w:t>
      </w:r>
      <w:r>
        <w:rPr>
          <w:rFonts w:ascii="微软雅黑" w:hAnsi="微软雅黑" w:cs="微软雅黑"/>
          <w:sz w:val="21"/>
          <w:szCs w:val="21"/>
        </w:rPr>
        <w:t>，在免疫组织化学上显示</w:t>
      </w:r>
      <w:r>
        <w:rPr>
          <w:rFonts w:hint="eastAsia" w:ascii="微软雅黑" w:hAnsi="微软雅黑" w:cs="微软雅黑"/>
          <w:sz w:val="21"/>
          <w:szCs w:val="21"/>
        </w:rPr>
        <w:t>错配</w:t>
      </w:r>
      <w:r>
        <w:rPr>
          <w:rFonts w:ascii="微软雅黑" w:hAnsi="微软雅黑" w:cs="微软雅黑"/>
          <w:sz w:val="21"/>
          <w:szCs w:val="21"/>
        </w:rPr>
        <w:t>修复蛋白的缺</w:t>
      </w:r>
      <w:r>
        <w:rPr>
          <w:rFonts w:hint="eastAsia" w:ascii="微软雅黑" w:hAnsi="微软雅黑" w:cs="微软雅黑"/>
          <w:sz w:val="21"/>
          <w:szCs w:val="21"/>
        </w:rPr>
        <w:t>失。但</w:t>
      </w:r>
      <w:r>
        <w:rPr>
          <w:rFonts w:ascii="微软雅黑" w:hAnsi="微软雅黑" w:cs="微软雅黑"/>
          <w:sz w:val="21"/>
          <w:szCs w:val="21"/>
        </w:rPr>
        <w:t>MSI并不是Lynch综合征的</w:t>
      </w:r>
      <w:r>
        <w:rPr>
          <w:rFonts w:hint="eastAsia" w:ascii="微软雅黑" w:hAnsi="微软雅黑" w:cs="微软雅黑"/>
          <w:sz w:val="21"/>
          <w:szCs w:val="21"/>
        </w:rPr>
        <w:t>特有标志</w:t>
      </w:r>
      <w:r>
        <w:rPr>
          <w:rFonts w:ascii="微软雅黑" w:hAnsi="微软雅黑" w:cs="微软雅黑"/>
          <w:sz w:val="21"/>
          <w:szCs w:val="21"/>
        </w:rPr>
        <w:t>，大约15%的散发性结肠直肠癌</w:t>
      </w:r>
      <w:r>
        <w:rPr>
          <w:rFonts w:hint="eastAsia" w:ascii="微软雅黑" w:hAnsi="微软雅黑" w:cs="微软雅黑"/>
          <w:sz w:val="21"/>
          <w:szCs w:val="21"/>
        </w:rPr>
        <w:t>患者分子表型为</w:t>
      </w:r>
      <w:r>
        <w:rPr>
          <w:rFonts w:ascii="微软雅黑" w:hAnsi="微软雅黑" w:cs="微软雅黑"/>
          <w:sz w:val="21"/>
          <w:szCs w:val="21"/>
        </w:rPr>
        <w:t>MSI</w:t>
      </w:r>
      <w:r>
        <w:rPr>
          <w:rFonts w:hint="eastAsia" w:ascii="微软雅黑" w:hAnsi="微软雅黑" w:cs="微软雅黑"/>
          <w:sz w:val="21"/>
          <w:szCs w:val="21"/>
        </w:rPr>
        <w:t>，其病因与MLH1基因启动子区域CpG岛过度甲基化（CpG island methylator phenotypes，CIMP）导致MLH1基因表达沉默相关</w:t>
      </w:r>
      <w:r>
        <w:rPr>
          <w:rFonts w:hint="eastAsia" w:ascii="微软雅黑" w:hAnsi="微软雅黑" w:cs="微软雅黑"/>
          <w:sz w:val="21"/>
          <w:szCs w:val="21"/>
          <w:vertAlign w:val="superscript"/>
        </w:rPr>
        <w:t>[9]</w:t>
      </w:r>
      <w:r>
        <w:rPr>
          <w:rFonts w:hint="eastAsia" w:ascii="微软雅黑" w:hAnsi="微软雅黑" w:cs="微软雅黑"/>
          <w:sz w:val="21"/>
          <w:szCs w:val="21"/>
        </w:rPr>
        <w:t>。</w:t>
      </w:r>
      <w:r>
        <w:rPr>
          <w:rFonts w:ascii="微软雅黑" w:hAnsi="微软雅黑" w:cs="微软雅黑"/>
          <w:sz w:val="21"/>
          <w:szCs w:val="21"/>
        </w:rPr>
        <w:t>林奇综合征患者从20岁到25岁应经常进行结肠镜检查</w:t>
      </w:r>
      <w:r>
        <w:rPr>
          <w:rFonts w:hint="eastAsia" w:ascii="微软雅黑" w:hAnsi="微软雅黑" w:cs="微软雅黑"/>
          <w:sz w:val="21"/>
          <w:szCs w:val="21"/>
        </w:rPr>
        <w:t>，</w:t>
      </w:r>
      <w:r>
        <w:rPr>
          <w:rFonts w:ascii="微软雅黑" w:hAnsi="微软雅黑" w:cs="微软雅黑"/>
          <w:sz w:val="21"/>
          <w:szCs w:val="21"/>
        </w:rPr>
        <w:t>每年1</w:t>
      </w:r>
      <w:r>
        <w:rPr>
          <w:rFonts w:hint="eastAsia" w:ascii="微软雅黑" w:hAnsi="微软雅黑" w:cs="微软雅黑"/>
          <w:sz w:val="21"/>
          <w:szCs w:val="21"/>
        </w:rPr>
        <w:t>-</w:t>
      </w:r>
      <w:r>
        <w:rPr>
          <w:rFonts w:ascii="微软雅黑" w:hAnsi="微软雅黑" w:cs="微软雅黑"/>
          <w:sz w:val="21"/>
          <w:szCs w:val="21"/>
        </w:rPr>
        <w:t>2次</w:t>
      </w:r>
      <w:r>
        <w:rPr>
          <w:rFonts w:hint="eastAsia" w:ascii="微软雅黑" w:hAnsi="微软雅黑" w:cs="微软雅黑"/>
          <w:sz w:val="21"/>
          <w:szCs w:val="21"/>
          <w:vertAlign w:val="superscript"/>
        </w:rPr>
        <w:t>[10，11]</w:t>
      </w:r>
      <w:r>
        <w:rPr>
          <w:rFonts w:ascii="微软雅黑" w:hAnsi="微软雅黑" w:cs="微软雅黑"/>
          <w:sz w:val="21"/>
          <w:szCs w:val="21"/>
        </w:rPr>
        <w:t>。此外，林奇综合征患者患子宫内膜癌</w:t>
      </w:r>
      <w:r>
        <w:rPr>
          <w:rFonts w:hint="eastAsia" w:ascii="微软雅黑" w:hAnsi="微软雅黑" w:cs="微软雅黑"/>
          <w:sz w:val="21"/>
          <w:szCs w:val="21"/>
        </w:rPr>
        <w:t>及</w:t>
      </w:r>
      <w:r>
        <w:rPr>
          <w:rFonts w:ascii="微软雅黑" w:hAnsi="微软雅黑" w:cs="微软雅黑"/>
          <w:sz w:val="21"/>
          <w:szCs w:val="21"/>
        </w:rPr>
        <w:t>小肠、胃、卵巢、肾盂、输尿管和肝胆系统癌症</w:t>
      </w:r>
      <w:r>
        <w:rPr>
          <w:rFonts w:hint="eastAsia" w:ascii="微软雅黑" w:hAnsi="微软雅黑" w:cs="微软雅黑"/>
          <w:sz w:val="21"/>
          <w:szCs w:val="21"/>
        </w:rPr>
        <w:t>等</w:t>
      </w:r>
      <w:r>
        <w:rPr>
          <w:rFonts w:ascii="微软雅黑" w:hAnsi="微软雅黑" w:cs="微软雅黑"/>
          <w:sz w:val="21"/>
          <w:szCs w:val="21"/>
        </w:rPr>
        <w:t>其</w:t>
      </w:r>
      <w:r>
        <w:rPr>
          <w:rFonts w:hint="eastAsia" w:ascii="微软雅黑" w:hAnsi="微软雅黑" w:cs="微软雅黑"/>
          <w:sz w:val="21"/>
          <w:szCs w:val="21"/>
        </w:rPr>
        <w:t>它</w:t>
      </w:r>
      <w:r>
        <w:rPr>
          <w:rFonts w:ascii="微软雅黑" w:hAnsi="微软雅黑" w:cs="微软雅黑"/>
          <w:sz w:val="21"/>
          <w:szCs w:val="21"/>
        </w:rPr>
        <w:t>恶性肿瘤</w:t>
      </w:r>
      <w:r>
        <w:rPr>
          <w:rFonts w:hint="eastAsia" w:ascii="微软雅黑" w:hAnsi="微软雅黑" w:cs="微软雅黑"/>
          <w:sz w:val="21"/>
          <w:szCs w:val="21"/>
        </w:rPr>
        <w:t>患病</w:t>
      </w:r>
      <w:r>
        <w:rPr>
          <w:rFonts w:ascii="微软雅黑" w:hAnsi="微软雅黑" w:cs="微软雅黑"/>
          <w:sz w:val="21"/>
          <w:szCs w:val="21"/>
        </w:rPr>
        <w:t>风险增加。</w:t>
      </w:r>
    </w:p>
    <w:p w14:paraId="42918098">
      <w:pPr>
        <w:ind w:firstLine="420" w:firstLineChars="200"/>
        <w:jc w:val="both"/>
        <w:rPr>
          <w:rFonts w:ascii="微软雅黑" w:hAnsi="微软雅黑" w:cs="微软雅黑"/>
          <w:sz w:val="21"/>
          <w:szCs w:val="21"/>
        </w:rPr>
      </w:pPr>
      <w:r>
        <w:rPr>
          <w:rFonts w:hint="eastAsia" w:ascii="微软雅黑" w:hAnsi="微软雅黑" w:cs="微软雅黑"/>
          <w:sz w:val="21"/>
          <w:szCs w:val="21"/>
        </w:rPr>
        <w:t>家族性腺瘤性息肉病是由控制Wnt信号通路活性的腺瘤性息肉病大肠杆菌（APC）基因突变引起的</w:t>
      </w:r>
      <w:r>
        <w:rPr>
          <w:rFonts w:hint="eastAsia" w:ascii="微软雅黑" w:hAnsi="微软雅黑" w:cs="微软雅黑"/>
          <w:sz w:val="21"/>
          <w:szCs w:val="21"/>
          <w:vertAlign w:val="superscript"/>
        </w:rPr>
        <w:t>[12]</w:t>
      </w:r>
      <w:r>
        <w:rPr>
          <w:rFonts w:hint="eastAsia" w:ascii="微软雅黑" w:hAnsi="微软雅黑" w:cs="微软雅黑"/>
          <w:sz w:val="21"/>
          <w:szCs w:val="21"/>
        </w:rPr>
        <w:t>。大多数家族性腺瘤性息肉病患者在年轻时会发生大量结直肠腺瘤进而发展为结直肠癌。</w:t>
      </w:r>
    </w:p>
    <w:p w14:paraId="6BBAB921">
      <w:pPr>
        <w:ind w:firstLine="420" w:firstLineChars="200"/>
        <w:jc w:val="both"/>
        <w:rPr>
          <w:rFonts w:ascii="微软雅黑" w:hAnsi="微软雅黑" w:cs="微软雅黑"/>
          <w:sz w:val="21"/>
          <w:szCs w:val="21"/>
        </w:rPr>
      </w:pPr>
      <w:r>
        <w:rPr>
          <w:rFonts w:hint="eastAsia" w:ascii="微软雅黑" w:hAnsi="微软雅黑" w:cs="微软雅黑"/>
          <w:sz w:val="21"/>
          <w:szCs w:val="21"/>
        </w:rPr>
        <w:t>除遗传因素外，</w:t>
      </w:r>
      <w:r>
        <w:rPr>
          <w:rFonts w:ascii="微软雅黑" w:hAnsi="微软雅黑" w:cs="微软雅黑"/>
          <w:sz w:val="21"/>
          <w:szCs w:val="21"/>
        </w:rPr>
        <w:t>吸烟</w:t>
      </w:r>
      <w:r>
        <w:rPr>
          <w:rFonts w:hint="eastAsia" w:ascii="微软雅黑" w:hAnsi="微软雅黑" w:cs="微软雅黑"/>
          <w:sz w:val="21"/>
          <w:szCs w:val="21"/>
          <w:vertAlign w:val="superscript"/>
        </w:rPr>
        <w:t>[13]</w:t>
      </w:r>
      <w:r>
        <w:rPr>
          <w:rFonts w:hint="eastAsia" w:ascii="微软雅黑" w:hAnsi="微软雅黑" w:cs="微软雅黑"/>
          <w:sz w:val="21"/>
          <w:szCs w:val="21"/>
        </w:rPr>
        <w:t>、酗酒</w:t>
      </w:r>
      <w:r>
        <w:rPr>
          <w:rFonts w:hint="eastAsia" w:ascii="微软雅黑" w:hAnsi="微软雅黑" w:cs="微软雅黑"/>
          <w:sz w:val="21"/>
          <w:szCs w:val="21"/>
          <w:vertAlign w:val="superscript"/>
        </w:rPr>
        <w:t>[14]</w:t>
      </w:r>
      <w:r>
        <w:rPr>
          <w:rFonts w:hint="eastAsia" w:ascii="微软雅黑" w:hAnsi="微软雅黑" w:cs="微软雅黑"/>
          <w:sz w:val="21"/>
          <w:szCs w:val="21"/>
        </w:rPr>
        <w:t>、肥胖</w:t>
      </w:r>
      <w:r>
        <w:rPr>
          <w:rFonts w:hint="eastAsia" w:ascii="微软雅黑" w:hAnsi="微软雅黑" w:cs="微软雅黑"/>
          <w:sz w:val="21"/>
          <w:szCs w:val="21"/>
          <w:vertAlign w:val="superscript"/>
        </w:rPr>
        <w:t>[15]</w:t>
      </w:r>
      <w:r>
        <w:rPr>
          <w:rFonts w:hint="eastAsia" w:ascii="微软雅黑" w:hAnsi="微软雅黑" w:cs="微软雅黑"/>
          <w:sz w:val="21"/>
          <w:szCs w:val="21"/>
        </w:rPr>
        <w:t>、红肉和加工肉过量摄入</w:t>
      </w:r>
      <w:r>
        <w:rPr>
          <w:rFonts w:hint="eastAsia" w:ascii="微软雅黑" w:hAnsi="微软雅黑" w:cs="微软雅黑"/>
          <w:sz w:val="21"/>
          <w:szCs w:val="21"/>
          <w:vertAlign w:val="superscript"/>
        </w:rPr>
        <w:t>[16]</w:t>
      </w:r>
      <w:r>
        <w:rPr>
          <w:rFonts w:hint="eastAsia" w:ascii="微软雅黑" w:hAnsi="微软雅黑" w:cs="微软雅黑"/>
          <w:sz w:val="21"/>
          <w:szCs w:val="21"/>
        </w:rPr>
        <w:t>等不良</w:t>
      </w:r>
      <w:r>
        <w:rPr>
          <w:rFonts w:ascii="微软雅黑" w:hAnsi="微软雅黑" w:cs="微软雅黑"/>
          <w:sz w:val="21"/>
          <w:szCs w:val="21"/>
        </w:rPr>
        <w:t>生活方式因素</w:t>
      </w:r>
      <w:r>
        <w:rPr>
          <w:rFonts w:hint="eastAsia" w:ascii="微软雅黑" w:hAnsi="微软雅黑" w:cs="微软雅黑"/>
          <w:sz w:val="21"/>
          <w:szCs w:val="21"/>
        </w:rPr>
        <w:t>可能</w:t>
      </w:r>
      <w:r>
        <w:rPr>
          <w:rFonts w:ascii="微软雅黑" w:hAnsi="微软雅黑" w:cs="微软雅黑"/>
          <w:sz w:val="21"/>
          <w:szCs w:val="21"/>
        </w:rPr>
        <w:t>增加患结肠直肠癌的风险，</w:t>
      </w:r>
      <w:r>
        <w:rPr>
          <w:rFonts w:hint="eastAsia" w:ascii="微软雅黑" w:hAnsi="微软雅黑" w:cs="微软雅黑"/>
          <w:sz w:val="21"/>
          <w:szCs w:val="21"/>
        </w:rPr>
        <w:t>相关研究表明，Ⅱ</w:t>
      </w:r>
      <w:r>
        <w:rPr>
          <w:rFonts w:ascii="微软雅黑" w:hAnsi="微软雅黑" w:cs="微软雅黑"/>
          <w:sz w:val="21"/>
          <w:szCs w:val="21"/>
        </w:rPr>
        <w:t>型糖尿病</w:t>
      </w:r>
      <w:r>
        <w:rPr>
          <w:rFonts w:hint="eastAsia" w:ascii="微软雅黑" w:hAnsi="微软雅黑" w:cs="微软雅黑"/>
          <w:sz w:val="21"/>
          <w:szCs w:val="21"/>
        </w:rPr>
        <w:t>与</w:t>
      </w:r>
      <w:r>
        <w:rPr>
          <w:rFonts w:ascii="微软雅黑" w:hAnsi="微软雅黑" w:cs="微软雅黑"/>
          <w:sz w:val="21"/>
          <w:szCs w:val="21"/>
        </w:rPr>
        <w:t>感染核梭杆菌和脆弱拟杆菌</w:t>
      </w:r>
      <w:r>
        <w:rPr>
          <w:rFonts w:hint="eastAsia" w:ascii="微软雅黑" w:hAnsi="微软雅黑" w:cs="微软雅黑"/>
          <w:sz w:val="21"/>
          <w:szCs w:val="21"/>
        </w:rPr>
        <w:t>等</w:t>
      </w:r>
      <w:r>
        <w:rPr>
          <w:rFonts w:ascii="微软雅黑" w:hAnsi="微软雅黑" w:cs="微软雅黑"/>
          <w:sz w:val="21"/>
          <w:szCs w:val="21"/>
        </w:rPr>
        <w:t>特定细菌</w:t>
      </w:r>
      <w:r>
        <w:rPr>
          <w:rFonts w:hint="eastAsia" w:ascii="微软雅黑" w:hAnsi="微软雅黑" w:cs="微软雅黑"/>
          <w:sz w:val="21"/>
          <w:szCs w:val="21"/>
        </w:rPr>
        <w:t>的</w:t>
      </w:r>
      <w:r>
        <w:rPr>
          <w:rFonts w:ascii="微软雅黑" w:hAnsi="微软雅黑" w:cs="微软雅黑"/>
          <w:sz w:val="21"/>
          <w:szCs w:val="21"/>
        </w:rPr>
        <w:t>患者</w:t>
      </w:r>
      <w:r>
        <w:rPr>
          <w:rFonts w:hint="eastAsia" w:ascii="微软雅黑" w:hAnsi="微软雅黑" w:cs="微软雅黑"/>
          <w:sz w:val="21"/>
          <w:szCs w:val="21"/>
        </w:rPr>
        <w:t>，</w:t>
      </w:r>
      <w:r>
        <w:rPr>
          <w:rFonts w:ascii="微软雅黑" w:hAnsi="微软雅黑" w:cs="微软雅黑"/>
          <w:sz w:val="21"/>
          <w:szCs w:val="21"/>
        </w:rPr>
        <w:t>结直肠癌</w:t>
      </w:r>
      <w:r>
        <w:rPr>
          <w:rFonts w:hint="eastAsia" w:ascii="微软雅黑" w:hAnsi="微软雅黑" w:cs="微软雅黑"/>
          <w:sz w:val="21"/>
          <w:szCs w:val="21"/>
        </w:rPr>
        <w:t>患病</w:t>
      </w:r>
      <w:r>
        <w:rPr>
          <w:rFonts w:ascii="微软雅黑" w:hAnsi="微软雅黑" w:cs="微软雅黑"/>
          <w:sz w:val="21"/>
          <w:szCs w:val="21"/>
        </w:rPr>
        <w:t>风险增加</w:t>
      </w:r>
      <w:r>
        <w:rPr>
          <w:rFonts w:hint="eastAsia" w:ascii="微软雅黑" w:hAnsi="微软雅黑" w:cs="微软雅黑"/>
          <w:sz w:val="21"/>
          <w:szCs w:val="21"/>
          <w:vertAlign w:val="superscript"/>
        </w:rPr>
        <w:t>[17，18]</w:t>
      </w:r>
      <w:r>
        <w:rPr>
          <w:rFonts w:hint="eastAsia" w:ascii="微软雅黑" w:hAnsi="微软雅黑" w:cs="微软雅黑"/>
          <w:sz w:val="21"/>
          <w:szCs w:val="21"/>
        </w:rPr>
        <w:t>。相关环境因素可能导致结直肠癌肿瘤异质性，相关研究即根据环境、遗传因素以及分子之间的相关性，分析肠道微生物群和结直肠癌之间的相关性。</w:t>
      </w:r>
    </w:p>
    <w:p w14:paraId="788BB6C7">
      <w:pPr>
        <w:jc w:val="both"/>
        <w:rPr>
          <w:b/>
          <w:bCs/>
        </w:rPr>
      </w:pPr>
      <w:r>
        <w:rPr>
          <w:rFonts w:hint="eastAsia"/>
          <w:b/>
          <w:bCs/>
        </w:rPr>
        <w:t>2、致病机理</w:t>
      </w:r>
    </w:p>
    <w:p w14:paraId="29C58FD0">
      <w:pPr>
        <w:ind w:firstLine="420" w:firstLineChars="200"/>
        <w:jc w:val="both"/>
        <w:rPr>
          <w:rFonts w:ascii="微软雅黑" w:hAnsi="微软雅黑" w:cs="微软雅黑"/>
          <w:sz w:val="21"/>
          <w:szCs w:val="21"/>
        </w:rPr>
      </w:pPr>
      <w:r>
        <w:rPr>
          <w:rFonts w:ascii="微软雅黑" w:hAnsi="微软雅黑" w:cs="微软雅黑"/>
          <w:sz w:val="21"/>
          <w:szCs w:val="21"/>
        </w:rPr>
        <w:t>绝大多数癌症</w:t>
      </w:r>
      <w:r>
        <w:rPr>
          <w:rFonts w:hint="eastAsia" w:ascii="微软雅黑" w:hAnsi="微软雅黑" w:cs="微软雅黑"/>
          <w:sz w:val="21"/>
          <w:szCs w:val="21"/>
        </w:rPr>
        <w:t>是由</w:t>
      </w:r>
      <w:r>
        <w:rPr>
          <w:rFonts w:ascii="微软雅黑" w:hAnsi="微软雅黑" w:cs="微软雅黑"/>
          <w:sz w:val="21"/>
          <w:szCs w:val="21"/>
        </w:rPr>
        <w:t>息肉</w:t>
      </w:r>
      <w:r>
        <w:rPr>
          <w:rFonts w:hint="eastAsia" w:ascii="微软雅黑" w:hAnsi="微软雅黑" w:cs="微软雅黑"/>
          <w:sz w:val="21"/>
          <w:szCs w:val="21"/>
        </w:rPr>
        <w:t>引起的，在典型</w:t>
      </w:r>
      <w:r>
        <w:rPr>
          <w:rFonts w:ascii="微软雅黑" w:hAnsi="微软雅黑" w:cs="微软雅黑"/>
          <w:sz w:val="21"/>
          <w:szCs w:val="21"/>
        </w:rPr>
        <w:t>结直肠癌形成模型中，</w:t>
      </w:r>
      <w:r>
        <w:rPr>
          <w:rFonts w:hint="eastAsia" w:ascii="微软雅黑" w:hAnsi="微软雅黑" w:cs="微软雅黑"/>
          <w:sz w:val="21"/>
          <w:szCs w:val="21"/>
        </w:rPr>
        <w:t>肿瘤始于</w:t>
      </w:r>
      <w:r>
        <w:rPr>
          <w:rFonts w:ascii="微软雅黑" w:hAnsi="微软雅黑" w:cs="微软雅黑"/>
          <w:sz w:val="21"/>
          <w:szCs w:val="21"/>
        </w:rPr>
        <w:t>异常隐窝，</w:t>
      </w:r>
      <w:r>
        <w:rPr>
          <w:rFonts w:hint="eastAsia" w:ascii="微软雅黑" w:hAnsi="微软雅黑" w:cs="微软雅黑"/>
          <w:sz w:val="21"/>
          <w:szCs w:val="21"/>
        </w:rPr>
        <w:t>随后</w:t>
      </w:r>
      <w:r>
        <w:rPr>
          <w:rFonts w:ascii="微软雅黑" w:hAnsi="微软雅黑" w:cs="微软雅黑"/>
          <w:sz w:val="21"/>
          <w:szCs w:val="21"/>
        </w:rPr>
        <w:t>演变为早期腺瘤（大小&lt;1 cm，具有肾小管或微管组织学），腺瘤发展为晚期腺瘤（大小&gt; 1cm，和/或有绒毛组织学），最终</w:t>
      </w:r>
      <w:r>
        <w:rPr>
          <w:rFonts w:hint="eastAsia" w:ascii="微软雅黑" w:hAnsi="微软雅黑" w:cs="微软雅黑"/>
          <w:sz w:val="21"/>
          <w:szCs w:val="21"/>
        </w:rPr>
        <w:t>发展</w:t>
      </w:r>
      <w:r>
        <w:rPr>
          <w:rFonts w:ascii="微软雅黑" w:hAnsi="微软雅黑" w:cs="微软雅黑"/>
          <w:sz w:val="21"/>
          <w:szCs w:val="21"/>
        </w:rPr>
        <w:t>为结直肠癌。目前认为大多数结直肠癌细胞来源</w:t>
      </w:r>
      <w:r>
        <w:rPr>
          <w:rFonts w:hint="eastAsia" w:ascii="微软雅黑" w:hAnsi="微软雅黑" w:cs="微软雅黑"/>
          <w:sz w:val="21"/>
          <w:szCs w:val="21"/>
        </w:rPr>
        <w:t>于</w:t>
      </w:r>
      <w:r>
        <w:rPr>
          <w:rFonts w:ascii="微软雅黑" w:hAnsi="微软雅黑" w:cs="微软雅黑"/>
          <w:sz w:val="21"/>
          <w:szCs w:val="21"/>
        </w:rPr>
        <w:t>干细胞或类干细胞</w:t>
      </w:r>
      <w:r>
        <w:rPr>
          <w:rFonts w:hint="eastAsia" w:ascii="微软雅黑" w:hAnsi="微软雅黑" w:cs="微软雅黑"/>
          <w:sz w:val="21"/>
          <w:szCs w:val="21"/>
          <w:vertAlign w:val="superscript"/>
        </w:rPr>
        <w:t>[19，20]</w:t>
      </w:r>
      <w:r>
        <w:rPr>
          <w:rFonts w:hint="eastAsia" w:ascii="微软雅黑" w:hAnsi="微软雅黑" w:cs="微软雅黑"/>
          <w:sz w:val="21"/>
          <w:szCs w:val="21"/>
        </w:rPr>
        <w:t>，该</w:t>
      </w:r>
      <w:r>
        <w:rPr>
          <w:rFonts w:ascii="微软雅黑" w:hAnsi="微软雅黑" w:cs="微软雅黑"/>
          <w:sz w:val="21"/>
          <w:szCs w:val="21"/>
        </w:rPr>
        <w:t>过程由突变和表观遗传改变积累驱动，肿瘤</w:t>
      </w:r>
      <w:r>
        <w:rPr>
          <w:rFonts w:hint="eastAsia" w:ascii="微软雅黑" w:hAnsi="微软雅黑" w:cs="微软雅黑"/>
          <w:sz w:val="21"/>
          <w:szCs w:val="21"/>
        </w:rPr>
        <w:t>抑癌</w:t>
      </w:r>
      <w:r>
        <w:rPr>
          <w:rFonts w:ascii="微软雅黑" w:hAnsi="微软雅黑" w:cs="微软雅黑"/>
          <w:sz w:val="21"/>
          <w:szCs w:val="21"/>
        </w:rPr>
        <w:t>基因失活</w:t>
      </w:r>
      <w:r>
        <w:rPr>
          <w:rFonts w:hint="eastAsia" w:ascii="微软雅黑" w:hAnsi="微软雅黑" w:cs="微软雅黑"/>
          <w:sz w:val="21"/>
          <w:szCs w:val="21"/>
        </w:rPr>
        <w:t>、原癌基因</w:t>
      </w:r>
      <w:r>
        <w:rPr>
          <w:rFonts w:ascii="微软雅黑" w:hAnsi="微软雅黑" w:cs="微软雅黑"/>
          <w:sz w:val="21"/>
          <w:szCs w:val="21"/>
        </w:rPr>
        <w:t>激活</w:t>
      </w:r>
      <w:r>
        <w:rPr>
          <w:rFonts w:hint="eastAsia" w:ascii="微软雅黑" w:hAnsi="微软雅黑" w:cs="微软雅黑"/>
          <w:sz w:val="21"/>
          <w:szCs w:val="21"/>
        </w:rPr>
        <w:t>，历时</w:t>
      </w:r>
      <w:r>
        <w:rPr>
          <w:rFonts w:ascii="微软雅黑" w:hAnsi="微软雅黑" w:cs="微软雅黑"/>
          <w:sz w:val="21"/>
          <w:szCs w:val="21"/>
        </w:rPr>
        <w:t>10到15年</w:t>
      </w:r>
      <w:r>
        <w:rPr>
          <w:rFonts w:hint="eastAsia" w:ascii="微软雅黑" w:hAnsi="微软雅黑" w:cs="微软雅黑"/>
          <w:sz w:val="21"/>
          <w:szCs w:val="21"/>
        </w:rPr>
        <w:t>发展为恶性肿瘤。</w:t>
      </w:r>
      <w:r>
        <w:rPr>
          <w:rFonts w:ascii="微软雅黑" w:hAnsi="微软雅黑" w:cs="微软雅黑"/>
          <w:sz w:val="21"/>
          <w:szCs w:val="21"/>
        </w:rPr>
        <w:t>但是在某些情况下（如林奇综合征患者）</w:t>
      </w:r>
      <w:r>
        <w:rPr>
          <w:rFonts w:hint="eastAsia" w:ascii="微软雅黑" w:hAnsi="微软雅黑" w:cs="微软雅黑"/>
          <w:sz w:val="21"/>
          <w:szCs w:val="21"/>
        </w:rPr>
        <w:t>肿瘤发展更快</w:t>
      </w:r>
      <w:r>
        <w:rPr>
          <w:rFonts w:hint="eastAsia" w:ascii="微软雅黑" w:hAnsi="微软雅黑" w:cs="微软雅黑"/>
          <w:sz w:val="21"/>
          <w:szCs w:val="21"/>
          <w:vertAlign w:val="superscript"/>
        </w:rPr>
        <w:t>[21]</w:t>
      </w:r>
      <w:r>
        <w:rPr>
          <w:rFonts w:ascii="微软雅黑" w:hAnsi="微软雅黑" w:cs="微软雅黑"/>
          <w:sz w:val="21"/>
          <w:szCs w:val="21"/>
        </w:rPr>
        <w:t>。值得注意的是，常规管状腺瘤组织</w:t>
      </w:r>
      <w:r>
        <w:rPr>
          <w:rFonts w:hint="eastAsia" w:ascii="微软雅黑" w:hAnsi="微软雅黑" w:cs="微软雅黑"/>
          <w:sz w:val="21"/>
          <w:szCs w:val="21"/>
        </w:rPr>
        <w:t>较为</w:t>
      </w:r>
      <w:r>
        <w:rPr>
          <w:rFonts w:ascii="微软雅黑" w:hAnsi="微软雅黑" w:cs="微软雅黑"/>
          <w:sz w:val="21"/>
          <w:szCs w:val="21"/>
        </w:rPr>
        <w:t>均匀，</w:t>
      </w:r>
      <w:r>
        <w:rPr>
          <w:rFonts w:hint="eastAsia" w:ascii="微软雅黑" w:hAnsi="微软雅黑" w:cs="微软雅黑"/>
          <w:sz w:val="21"/>
          <w:szCs w:val="21"/>
        </w:rPr>
        <w:t>但</w:t>
      </w:r>
      <w:r>
        <w:rPr>
          <w:rFonts w:ascii="微软雅黑" w:hAnsi="微软雅黑" w:cs="微软雅黑"/>
          <w:sz w:val="21"/>
          <w:szCs w:val="21"/>
        </w:rPr>
        <w:t>息肉</w:t>
      </w:r>
      <w:r>
        <w:rPr>
          <w:rFonts w:hint="eastAsia" w:ascii="微软雅黑" w:hAnsi="微软雅黑" w:cs="微软雅黑"/>
          <w:sz w:val="21"/>
          <w:szCs w:val="21"/>
        </w:rPr>
        <w:t>存在</w:t>
      </w:r>
      <w:r>
        <w:rPr>
          <w:rFonts w:ascii="微软雅黑" w:hAnsi="微软雅黑" w:cs="微软雅黑"/>
          <w:sz w:val="21"/>
          <w:szCs w:val="21"/>
        </w:rPr>
        <w:t>异质</w:t>
      </w:r>
      <w:r>
        <w:rPr>
          <w:rFonts w:hint="eastAsia" w:ascii="微软雅黑" w:hAnsi="微软雅黑" w:cs="微软雅黑"/>
          <w:sz w:val="21"/>
          <w:szCs w:val="21"/>
        </w:rPr>
        <w:t>性</w:t>
      </w:r>
      <w:r>
        <w:rPr>
          <w:rFonts w:ascii="微软雅黑" w:hAnsi="微软雅黑" w:cs="微软雅黑"/>
          <w:sz w:val="21"/>
          <w:szCs w:val="21"/>
        </w:rPr>
        <w:t>，</w:t>
      </w:r>
      <w:r>
        <w:rPr>
          <w:rFonts w:hint="eastAsia" w:ascii="微软雅黑" w:hAnsi="微软雅黑" w:cs="微软雅黑"/>
          <w:sz w:val="21"/>
          <w:szCs w:val="21"/>
        </w:rPr>
        <w:t>由此</w:t>
      </w:r>
      <w:r>
        <w:rPr>
          <w:rFonts w:ascii="微软雅黑" w:hAnsi="微软雅黑" w:cs="微软雅黑"/>
          <w:sz w:val="21"/>
          <w:szCs w:val="21"/>
        </w:rPr>
        <w:t>解释</w:t>
      </w:r>
      <w:r>
        <w:rPr>
          <w:rFonts w:hint="eastAsia" w:ascii="微软雅黑" w:hAnsi="微软雅黑" w:cs="微软雅黑"/>
          <w:sz w:val="21"/>
          <w:szCs w:val="21"/>
        </w:rPr>
        <w:t>部分</w:t>
      </w:r>
      <w:r>
        <w:rPr>
          <w:rFonts w:ascii="微软雅黑" w:hAnsi="微软雅黑" w:cs="微软雅黑"/>
          <w:sz w:val="21"/>
          <w:szCs w:val="21"/>
        </w:rPr>
        <w:t>腺瘤进展为结肠直肠癌</w:t>
      </w:r>
      <w:r>
        <w:rPr>
          <w:rFonts w:hint="eastAsia" w:ascii="微软雅黑" w:hAnsi="微软雅黑" w:cs="微软雅黑"/>
          <w:sz w:val="21"/>
          <w:szCs w:val="21"/>
          <w:vertAlign w:val="superscript"/>
        </w:rPr>
        <w:t>[22，23]</w:t>
      </w:r>
      <w:r>
        <w:rPr>
          <w:rFonts w:hint="eastAsia" w:ascii="微软雅黑" w:hAnsi="微软雅黑" w:cs="微软雅黑"/>
          <w:sz w:val="21"/>
          <w:szCs w:val="21"/>
        </w:rPr>
        <w:t>。</w:t>
      </w:r>
    </w:p>
    <w:p w14:paraId="120AEF04">
      <w:pPr>
        <w:ind w:firstLine="420" w:firstLineChars="200"/>
        <w:jc w:val="both"/>
        <w:rPr>
          <w:rFonts w:ascii="微软雅黑" w:hAnsi="微软雅黑" w:cs="微软雅黑"/>
          <w:sz w:val="21"/>
          <w:szCs w:val="21"/>
        </w:rPr>
      </w:pPr>
      <w:r>
        <w:rPr>
          <w:rFonts w:hint="eastAsia" w:ascii="微软雅黑" w:hAnsi="微软雅黑" w:cs="微软雅黑"/>
          <w:sz w:val="21"/>
          <w:szCs w:val="21"/>
        </w:rPr>
        <w:t>目前，主要有2种结直肠癌前体病变途径，</w:t>
      </w:r>
      <w:r>
        <w:rPr>
          <w:rFonts w:ascii="微软雅黑" w:hAnsi="微软雅黑" w:cs="微软雅黑"/>
          <w:sz w:val="21"/>
          <w:szCs w:val="21"/>
        </w:rPr>
        <w:t>70%</w:t>
      </w:r>
      <w:r>
        <w:rPr>
          <w:rFonts w:hint="eastAsia" w:ascii="微软雅黑" w:hAnsi="微软雅黑" w:cs="微软雅黑"/>
          <w:sz w:val="21"/>
          <w:szCs w:val="21"/>
        </w:rPr>
        <w:t>-</w:t>
      </w:r>
      <w:r>
        <w:rPr>
          <w:rFonts w:ascii="微软雅黑" w:hAnsi="微软雅黑" w:cs="微软雅黑"/>
          <w:sz w:val="21"/>
          <w:szCs w:val="21"/>
        </w:rPr>
        <w:t>90%结直肠癌</w:t>
      </w:r>
      <w:r>
        <w:rPr>
          <w:rFonts w:hint="eastAsia" w:ascii="微软雅黑" w:hAnsi="微软雅黑" w:cs="微软雅黑"/>
          <w:sz w:val="21"/>
          <w:szCs w:val="21"/>
        </w:rPr>
        <w:t>由</w:t>
      </w:r>
      <w:r>
        <w:rPr>
          <w:rFonts w:ascii="微软雅黑" w:hAnsi="微软雅黑" w:cs="微软雅黑"/>
          <w:sz w:val="21"/>
          <w:szCs w:val="21"/>
        </w:rPr>
        <w:t>传统的腺瘤癌途径(也称染色体不稳定序列)</w:t>
      </w:r>
      <w:r>
        <w:rPr>
          <w:rFonts w:hint="eastAsia" w:ascii="微软雅黑" w:hAnsi="微软雅黑" w:cs="微软雅黑"/>
          <w:sz w:val="21"/>
          <w:szCs w:val="21"/>
        </w:rPr>
        <w:t>引起</w:t>
      </w:r>
      <w:r>
        <w:rPr>
          <w:rFonts w:ascii="微软雅黑" w:hAnsi="微软雅黑" w:cs="微软雅黑"/>
          <w:sz w:val="21"/>
          <w:szCs w:val="21"/>
        </w:rPr>
        <w:t>，10</w:t>
      </w:r>
      <w:r>
        <w:rPr>
          <w:rFonts w:hint="eastAsia" w:ascii="微软雅黑" w:hAnsi="微软雅黑" w:cs="微软雅黑"/>
          <w:sz w:val="21"/>
          <w:szCs w:val="21"/>
        </w:rPr>
        <w:t>-</w:t>
      </w:r>
      <w:r>
        <w:rPr>
          <w:rFonts w:ascii="微软雅黑" w:hAnsi="微软雅黑" w:cs="微软雅黑"/>
          <w:sz w:val="21"/>
          <w:szCs w:val="21"/>
        </w:rPr>
        <w:t>20%结直肠癌</w:t>
      </w:r>
      <w:r>
        <w:rPr>
          <w:rFonts w:hint="eastAsia" w:ascii="微软雅黑" w:hAnsi="微软雅黑" w:cs="微软雅黑"/>
          <w:sz w:val="21"/>
          <w:szCs w:val="21"/>
        </w:rPr>
        <w:t>由</w:t>
      </w:r>
      <w:r>
        <w:rPr>
          <w:rFonts w:ascii="微软雅黑" w:hAnsi="微软雅黑" w:cs="微软雅黑"/>
          <w:sz w:val="21"/>
          <w:szCs w:val="21"/>
        </w:rPr>
        <w:t>锯齿状瘤变途径</w:t>
      </w:r>
      <w:r>
        <w:rPr>
          <w:rFonts w:hint="eastAsia" w:ascii="微软雅黑" w:hAnsi="微软雅黑" w:cs="微软雅黑"/>
          <w:sz w:val="21"/>
          <w:szCs w:val="21"/>
        </w:rPr>
        <w:t>引起（</w:t>
      </w:r>
      <w:r>
        <w:rPr>
          <w:rFonts w:ascii="微软雅黑" w:hAnsi="微软雅黑" w:cs="微软雅黑"/>
          <w:sz w:val="21"/>
          <w:szCs w:val="21"/>
        </w:rPr>
        <w:t>图3</w:t>
      </w:r>
      <w:r>
        <w:rPr>
          <w:rFonts w:hint="eastAsia" w:ascii="微软雅黑" w:hAnsi="微软雅黑" w:cs="微软雅黑"/>
          <w:sz w:val="21"/>
          <w:szCs w:val="21"/>
        </w:rPr>
        <w:t>）</w:t>
      </w:r>
      <w:r>
        <w:rPr>
          <w:rFonts w:ascii="微软雅黑" w:hAnsi="微软雅黑" w:cs="微软雅黑"/>
          <w:sz w:val="21"/>
          <w:szCs w:val="21"/>
        </w:rPr>
        <w:t>。染色体不稳定表型通常发生在APC突变之后，随后是RAS</w:t>
      </w:r>
      <w:r>
        <w:rPr>
          <w:rFonts w:hint="eastAsia" w:ascii="微软雅黑" w:hAnsi="微软雅黑" w:cs="微软雅黑"/>
          <w:sz w:val="21"/>
          <w:szCs w:val="21"/>
        </w:rPr>
        <w:t>通路</w:t>
      </w:r>
      <w:r>
        <w:rPr>
          <w:rFonts w:ascii="微软雅黑" w:hAnsi="微软雅黑" w:cs="微软雅黑"/>
          <w:sz w:val="21"/>
          <w:szCs w:val="21"/>
        </w:rPr>
        <w:t>激活或TP53功能缺失。锯齿状瘤变</w:t>
      </w:r>
      <w:r>
        <w:rPr>
          <w:rFonts w:hint="eastAsia" w:ascii="微软雅黑" w:hAnsi="微软雅黑" w:cs="微软雅黑"/>
          <w:sz w:val="21"/>
          <w:szCs w:val="21"/>
        </w:rPr>
        <w:t>途径</w:t>
      </w:r>
      <w:r>
        <w:rPr>
          <w:rFonts w:ascii="微软雅黑" w:hAnsi="微软雅黑" w:cs="微软雅黑"/>
          <w:sz w:val="21"/>
          <w:szCs w:val="21"/>
        </w:rPr>
        <w:t>与RAS</w:t>
      </w:r>
      <w:r>
        <w:rPr>
          <w:rFonts w:hint="eastAsia" w:ascii="微软雅黑" w:hAnsi="微软雅黑" w:cs="微软雅黑"/>
          <w:sz w:val="21"/>
          <w:szCs w:val="21"/>
        </w:rPr>
        <w:t>、</w:t>
      </w:r>
      <w:r>
        <w:rPr>
          <w:rFonts w:ascii="微软雅黑" w:hAnsi="微软雅黑" w:cs="微软雅黑"/>
          <w:sz w:val="21"/>
          <w:szCs w:val="21"/>
        </w:rPr>
        <w:t>RAF突变以及以CpG岛甲基化表型为特征的表观遗传不稳定相关</w:t>
      </w:r>
      <w:r>
        <w:rPr>
          <w:rFonts w:hint="eastAsia" w:ascii="微软雅黑" w:hAnsi="微软雅黑" w:cs="微软雅黑"/>
          <w:sz w:val="21"/>
          <w:szCs w:val="21"/>
        </w:rPr>
        <w:t>。</w:t>
      </w:r>
      <w:r>
        <w:rPr>
          <w:rFonts w:ascii="微软雅黑" w:hAnsi="微软雅黑" w:cs="微软雅黑"/>
          <w:sz w:val="21"/>
          <w:szCs w:val="21"/>
        </w:rPr>
        <w:t>全基因组研究发现</w:t>
      </w:r>
      <w:r>
        <w:rPr>
          <w:rFonts w:hint="eastAsia" w:ascii="微软雅黑" w:hAnsi="微软雅黑" w:cs="微软雅黑"/>
          <w:sz w:val="21"/>
          <w:szCs w:val="21"/>
        </w:rPr>
        <w:t>，一些新的分子</w:t>
      </w:r>
      <w:r>
        <w:rPr>
          <w:rFonts w:ascii="微软雅黑" w:hAnsi="微软雅黑" w:cs="微软雅黑"/>
          <w:sz w:val="21"/>
          <w:szCs w:val="21"/>
        </w:rPr>
        <w:t>标记和亚型</w:t>
      </w:r>
      <w:r>
        <w:rPr>
          <w:rFonts w:hint="eastAsia" w:ascii="微软雅黑" w:hAnsi="微软雅黑" w:cs="微软雅黑"/>
          <w:sz w:val="21"/>
          <w:szCs w:val="21"/>
        </w:rPr>
        <w:t>（</w:t>
      </w:r>
      <w:r>
        <w:rPr>
          <w:rFonts w:ascii="微软雅黑" w:hAnsi="微软雅黑" w:cs="微软雅黑"/>
          <w:sz w:val="21"/>
          <w:szCs w:val="21"/>
        </w:rPr>
        <w:t>如</w:t>
      </w:r>
      <w:r>
        <w:rPr>
          <w:rFonts w:hint="eastAsia" w:ascii="微软雅黑" w:hAnsi="微软雅黑" w:cs="微软雅黑"/>
          <w:sz w:val="21"/>
          <w:szCs w:val="21"/>
        </w:rPr>
        <w:t>：</w:t>
      </w:r>
      <w:r>
        <w:rPr>
          <w:rFonts w:ascii="微软雅黑" w:hAnsi="微软雅黑" w:cs="微软雅黑"/>
          <w:sz w:val="21"/>
          <w:szCs w:val="21"/>
        </w:rPr>
        <w:t>聚合酶ε</w:t>
      </w:r>
      <w:r>
        <w:rPr>
          <w:rFonts w:hint="eastAsia" w:ascii="微软雅黑" w:hAnsi="微软雅黑" w:cs="微软雅黑"/>
          <w:sz w:val="21"/>
          <w:szCs w:val="21"/>
        </w:rPr>
        <w:t>、</w:t>
      </w:r>
      <w:r>
        <w:rPr>
          <w:rFonts w:ascii="微软雅黑" w:hAnsi="微软雅黑" w:cs="微软雅黑"/>
          <w:sz w:val="21"/>
          <w:szCs w:val="21"/>
        </w:rPr>
        <w:t>POLE突变</w:t>
      </w:r>
      <w:r>
        <w:rPr>
          <w:rFonts w:hint="eastAsia" w:ascii="微软雅黑" w:hAnsi="微软雅黑" w:cs="微软雅黑"/>
          <w:sz w:val="21"/>
          <w:szCs w:val="21"/>
        </w:rPr>
        <w:t>、错配</w:t>
      </w:r>
      <w:r>
        <w:rPr>
          <w:rFonts w:ascii="微软雅黑" w:hAnsi="微软雅黑" w:cs="微软雅黑"/>
          <w:sz w:val="21"/>
          <w:szCs w:val="21"/>
        </w:rPr>
        <w:t>修复缺陷[dMMR]</w:t>
      </w:r>
      <w:r>
        <w:rPr>
          <w:rFonts w:hint="eastAsia" w:ascii="微软雅黑" w:hAnsi="微软雅黑" w:cs="微软雅黑"/>
          <w:sz w:val="21"/>
          <w:szCs w:val="21"/>
        </w:rPr>
        <w:t>）可</w:t>
      </w:r>
      <w:r>
        <w:rPr>
          <w:rFonts w:ascii="微软雅黑" w:hAnsi="微软雅黑" w:cs="微软雅黑"/>
          <w:sz w:val="21"/>
          <w:szCs w:val="21"/>
        </w:rPr>
        <w:t>导致高突变表型。</w:t>
      </w:r>
    </w:p>
    <w:p w14:paraId="697A7711">
      <w:pPr>
        <w:jc w:val="center"/>
        <w:rPr>
          <w:rFonts w:ascii="微软雅黑" w:hAnsi="微软雅黑" w:cs="微软雅黑"/>
          <w:sz w:val="21"/>
          <w:szCs w:val="21"/>
        </w:rPr>
      </w:pPr>
      <w:r>
        <w:drawing>
          <wp:inline distT="0" distB="0" distL="114300" distR="114300">
            <wp:extent cx="5189855" cy="2466340"/>
            <wp:effectExtent l="0" t="0" r="10795" b="10160"/>
            <wp:docPr id="10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 name="图片 1"/>
                    <pic:cNvPicPr>
                      <a:picLocks noChangeAspect="1"/>
                    </pic:cNvPicPr>
                  </pic:nvPicPr>
                  <pic:blipFill>
                    <a:blip r:embed="rId30"/>
                    <a:stretch>
                      <a:fillRect/>
                    </a:stretch>
                  </pic:blipFill>
                  <pic:spPr>
                    <a:xfrm>
                      <a:off x="0" y="0"/>
                      <a:ext cx="5189855" cy="2466340"/>
                    </a:xfrm>
                    <a:prstGeom prst="rect">
                      <a:avLst/>
                    </a:prstGeom>
                    <a:noFill/>
                    <a:ln>
                      <a:noFill/>
                    </a:ln>
                  </pic:spPr>
                </pic:pic>
              </a:graphicData>
            </a:graphic>
          </wp:inline>
        </w:drawing>
      </w:r>
    </w:p>
    <w:p w14:paraId="4CCF8E07">
      <w:pPr>
        <w:jc w:val="center"/>
        <w:rPr>
          <w:sz w:val="20"/>
          <w:szCs w:val="20"/>
        </w:rPr>
      </w:pPr>
      <w:r>
        <w:rPr>
          <w:rFonts w:hint="eastAsia"/>
          <w:sz w:val="20"/>
          <w:szCs w:val="20"/>
        </w:rPr>
        <w:t>图3 息肉到结直肠癌形成过程</w:t>
      </w:r>
      <w:r>
        <w:rPr>
          <w:rFonts w:hint="eastAsia" w:ascii="微软雅黑" w:hAnsi="微软雅黑" w:cs="微软雅黑"/>
          <w:sz w:val="20"/>
          <w:szCs w:val="20"/>
          <w:vertAlign w:val="superscript"/>
        </w:rPr>
        <w:t>[3]</w:t>
      </w:r>
    </w:p>
    <w:p w14:paraId="60FF3AC2">
      <w:pPr>
        <w:ind w:firstLine="420" w:firstLineChars="200"/>
        <w:jc w:val="both"/>
      </w:pPr>
      <w:r>
        <w:rPr>
          <w:rFonts w:ascii="微软雅黑" w:hAnsi="微软雅黑" w:cs="微软雅黑"/>
          <w:sz w:val="21"/>
          <w:szCs w:val="21"/>
        </w:rPr>
        <w:t>侧边性在转移灶起着关键作用，并且被认为是抗表皮生长因子受体药物反应的预测指标</w:t>
      </w:r>
      <w:r>
        <w:rPr>
          <w:rFonts w:hint="eastAsia" w:ascii="微软雅黑" w:hAnsi="微软雅黑" w:cs="微软雅黑"/>
          <w:sz w:val="21"/>
          <w:szCs w:val="21"/>
          <w:vertAlign w:val="superscript"/>
        </w:rPr>
        <w:t>[24，25]</w:t>
      </w:r>
      <w:r>
        <w:rPr>
          <w:rFonts w:hint="eastAsia" w:ascii="微软雅黑" w:hAnsi="微软雅黑" w:cs="微软雅黑"/>
          <w:sz w:val="21"/>
          <w:szCs w:val="21"/>
        </w:rPr>
        <w:t>。从病灶位置看，</w:t>
      </w:r>
      <w:r>
        <w:rPr>
          <w:rFonts w:ascii="微软雅黑" w:hAnsi="微软雅黑" w:cs="微软雅黑"/>
          <w:sz w:val="21"/>
          <w:szCs w:val="21"/>
        </w:rPr>
        <w:t>右</w:t>
      </w:r>
      <w:r>
        <w:rPr>
          <w:rFonts w:hint="eastAsia" w:ascii="微软雅黑" w:hAnsi="微软雅黑" w:cs="微软雅黑"/>
          <w:sz w:val="21"/>
          <w:szCs w:val="21"/>
        </w:rPr>
        <w:t>半（</w:t>
      </w:r>
      <w:r>
        <w:rPr>
          <w:rFonts w:ascii="微软雅黑" w:hAnsi="微软雅黑" w:cs="微软雅黑"/>
          <w:sz w:val="21"/>
          <w:szCs w:val="21"/>
        </w:rPr>
        <w:t>近端</w:t>
      </w:r>
      <w:r>
        <w:rPr>
          <w:rFonts w:hint="eastAsia" w:ascii="微软雅黑" w:hAnsi="微软雅黑" w:cs="微软雅黑"/>
          <w:sz w:val="21"/>
          <w:szCs w:val="21"/>
        </w:rPr>
        <w:t>）</w:t>
      </w:r>
      <w:r>
        <w:rPr>
          <w:rFonts w:ascii="微软雅黑" w:hAnsi="微软雅黑" w:cs="微软雅黑"/>
          <w:sz w:val="21"/>
          <w:szCs w:val="21"/>
        </w:rPr>
        <w:t>结肠癌与左</w:t>
      </w:r>
      <w:r>
        <w:rPr>
          <w:rFonts w:hint="eastAsia" w:ascii="微软雅黑" w:hAnsi="微软雅黑" w:cs="微软雅黑"/>
          <w:sz w:val="21"/>
          <w:szCs w:val="21"/>
        </w:rPr>
        <w:t>半（</w:t>
      </w:r>
      <w:r>
        <w:rPr>
          <w:rFonts w:ascii="微软雅黑" w:hAnsi="微软雅黑" w:cs="微软雅黑"/>
          <w:sz w:val="21"/>
          <w:szCs w:val="21"/>
        </w:rPr>
        <w:t>远端</w:t>
      </w:r>
      <w:r>
        <w:rPr>
          <w:rFonts w:hint="eastAsia" w:ascii="微软雅黑" w:hAnsi="微软雅黑" w:cs="微软雅黑"/>
          <w:sz w:val="21"/>
          <w:szCs w:val="21"/>
        </w:rPr>
        <w:t>）</w:t>
      </w:r>
      <w:r>
        <w:rPr>
          <w:rFonts w:ascii="微软雅黑" w:hAnsi="微软雅黑" w:cs="微软雅黑"/>
          <w:sz w:val="21"/>
          <w:szCs w:val="21"/>
        </w:rPr>
        <w:t>结肠癌和直肠癌的分子特征不同。除分子</w:t>
      </w:r>
      <w:r>
        <w:rPr>
          <w:rFonts w:hint="eastAsia" w:ascii="微软雅黑" w:hAnsi="微软雅黑" w:cs="微软雅黑"/>
          <w:sz w:val="21"/>
          <w:szCs w:val="21"/>
        </w:rPr>
        <w:t>特征</w:t>
      </w:r>
      <w:r>
        <w:rPr>
          <w:rFonts w:ascii="微软雅黑" w:hAnsi="微软雅黑" w:cs="微软雅黑"/>
          <w:sz w:val="21"/>
          <w:szCs w:val="21"/>
        </w:rPr>
        <w:t>差异外，左</w:t>
      </w:r>
      <w:r>
        <w:rPr>
          <w:rFonts w:hint="eastAsia" w:ascii="微软雅黑" w:hAnsi="微软雅黑" w:cs="微软雅黑"/>
          <w:sz w:val="21"/>
          <w:szCs w:val="21"/>
        </w:rPr>
        <w:t>半</w:t>
      </w:r>
      <w:r>
        <w:rPr>
          <w:rFonts w:ascii="微软雅黑" w:hAnsi="微软雅黑" w:cs="微软雅黑"/>
          <w:sz w:val="21"/>
          <w:szCs w:val="21"/>
        </w:rPr>
        <w:t>结肠和右</w:t>
      </w:r>
      <w:r>
        <w:rPr>
          <w:rFonts w:hint="eastAsia" w:ascii="微软雅黑" w:hAnsi="微软雅黑" w:cs="微软雅黑"/>
          <w:sz w:val="21"/>
          <w:szCs w:val="21"/>
        </w:rPr>
        <w:t>半</w:t>
      </w:r>
      <w:r>
        <w:rPr>
          <w:rFonts w:ascii="微软雅黑" w:hAnsi="微软雅黑" w:cs="微软雅黑"/>
          <w:sz w:val="21"/>
          <w:szCs w:val="21"/>
        </w:rPr>
        <w:t>结肠还在胚胎学、生物学和解剖学上</w:t>
      </w:r>
      <w:r>
        <w:rPr>
          <w:rFonts w:hint="eastAsia" w:ascii="微软雅黑" w:hAnsi="微软雅黑" w:cs="微软雅黑"/>
          <w:sz w:val="21"/>
          <w:szCs w:val="21"/>
        </w:rPr>
        <w:t>存在</w:t>
      </w:r>
      <w:r>
        <w:rPr>
          <w:rFonts w:ascii="微软雅黑" w:hAnsi="微软雅黑" w:cs="微软雅黑"/>
          <w:sz w:val="21"/>
          <w:szCs w:val="21"/>
        </w:rPr>
        <w:t>差异。</w:t>
      </w:r>
      <w:r>
        <w:rPr>
          <w:rFonts w:hint="eastAsia" w:ascii="微软雅黑" w:hAnsi="微软雅黑" w:cs="微软雅黑"/>
          <w:sz w:val="21"/>
          <w:szCs w:val="21"/>
        </w:rPr>
        <w:t>如图4所示，右半结肠（盲肠、升结肠、肝曲）与左半结肠（脾曲、降结肠、乙状结肠、直肠乙状结肠）和直肠肿瘤病因不尽相同。值得注意的是，右半结肠癌预后较差主要在于抗EGFR和抗VEGF药物对于转移灶的治疗，但右半结肠肿瘤MSI水平普遍较高，化疗耐药可能性较高且预后较差，但免疫治疗疗效较好</w:t>
      </w:r>
      <w:r>
        <w:rPr>
          <w:rFonts w:hint="eastAsia"/>
        </w:rPr>
        <w:t>。</w:t>
      </w:r>
    </w:p>
    <w:p w14:paraId="6A7B839D">
      <w:pPr>
        <w:jc w:val="center"/>
      </w:pPr>
      <w:r>
        <w:drawing>
          <wp:inline distT="0" distB="0" distL="114300" distR="114300">
            <wp:extent cx="5024755" cy="2521585"/>
            <wp:effectExtent l="0" t="0" r="4445" b="12065"/>
            <wp:docPr id="103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 name="图片 2"/>
                    <pic:cNvPicPr>
                      <a:picLocks noChangeAspect="1"/>
                    </pic:cNvPicPr>
                  </pic:nvPicPr>
                  <pic:blipFill>
                    <a:blip r:embed="rId31"/>
                    <a:stretch>
                      <a:fillRect/>
                    </a:stretch>
                  </pic:blipFill>
                  <pic:spPr>
                    <a:xfrm>
                      <a:off x="0" y="0"/>
                      <a:ext cx="5024755" cy="2521585"/>
                    </a:xfrm>
                    <a:prstGeom prst="rect">
                      <a:avLst/>
                    </a:prstGeom>
                    <a:noFill/>
                    <a:ln>
                      <a:noFill/>
                    </a:ln>
                  </pic:spPr>
                </pic:pic>
              </a:graphicData>
            </a:graphic>
          </wp:inline>
        </w:drawing>
      </w:r>
    </w:p>
    <w:p w14:paraId="76B2F54D">
      <w:pPr>
        <w:jc w:val="center"/>
        <w:rPr>
          <w:sz w:val="20"/>
          <w:szCs w:val="20"/>
        </w:rPr>
      </w:pPr>
      <w:r>
        <w:rPr>
          <w:rFonts w:hint="eastAsia"/>
          <w:sz w:val="20"/>
          <w:szCs w:val="20"/>
        </w:rPr>
        <w:t>图4 右半结肠癌与左半结肠癌和直肠癌的区别</w:t>
      </w:r>
      <w:r>
        <w:rPr>
          <w:rFonts w:hint="eastAsia" w:ascii="微软雅黑" w:hAnsi="微软雅黑" w:cs="微软雅黑"/>
          <w:sz w:val="20"/>
          <w:szCs w:val="20"/>
          <w:vertAlign w:val="superscript"/>
        </w:rPr>
        <w:t>[1]</w:t>
      </w:r>
    </w:p>
    <w:p w14:paraId="57DA0D30">
      <w:pPr>
        <w:ind w:firstLine="420" w:firstLineChars="200"/>
        <w:jc w:val="both"/>
        <w:rPr>
          <w:rFonts w:ascii="微软雅黑" w:hAnsi="微软雅黑" w:cs="微软雅黑"/>
          <w:sz w:val="21"/>
          <w:szCs w:val="21"/>
        </w:rPr>
      </w:pPr>
      <w:r>
        <w:rPr>
          <w:rFonts w:hint="eastAsia" w:ascii="微软雅黑" w:hAnsi="微软雅黑" w:cs="微软雅黑"/>
          <w:sz w:val="21"/>
          <w:szCs w:val="21"/>
        </w:rPr>
        <w:t>结直肠癌常见突变基因有：APC、CTNNB1、KRAS、BRAF、SMAD4、TGFBR2、TP53、PIK3CA、ARID1A、SOX9、FAM123B（也称AMER1）、ERBB2等，通过对相关信号通路的扰动从而促进肿瘤的发生发展。目前认为，CRC发病机制主要与DNA错配修复途径及5条细胞信号通路异常有关，分别是表皮生长因子受体（EGFR）信号通路、Wnt/β-连环蛋白（β-catenin）信号通路、P53信号通路和转化生长因子-β（TGF-β）信号通路。其中EGFR 信号通路包含丝裂原活化蛋白激酶（MAPK）信号通路及磷脂酰肌醇3激酶（PI3K）信号通路</w:t>
      </w:r>
      <w:r>
        <w:rPr>
          <w:rFonts w:hint="eastAsia" w:ascii="微软雅黑" w:hAnsi="微软雅黑" w:cs="微软雅黑"/>
          <w:sz w:val="21"/>
          <w:szCs w:val="21"/>
          <w:vertAlign w:val="superscript"/>
        </w:rPr>
        <w:t>[26]</w:t>
      </w:r>
      <w:r>
        <w:rPr>
          <w:rFonts w:hint="eastAsia" w:ascii="微软雅黑" w:hAnsi="微软雅黑" w:cs="微软雅黑"/>
          <w:sz w:val="21"/>
          <w:szCs w:val="21"/>
        </w:rPr>
        <w:t>，如图5。</w:t>
      </w:r>
    </w:p>
    <w:p w14:paraId="41D0C9E9">
      <w:pPr>
        <w:jc w:val="center"/>
        <w:rPr>
          <w:rFonts w:ascii="微软雅黑" w:hAnsi="微软雅黑" w:cs="微软雅黑"/>
          <w:sz w:val="21"/>
          <w:szCs w:val="21"/>
        </w:rPr>
      </w:pPr>
      <w:r>
        <w:rPr>
          <w:rFonts w:hint="eastAsia" w:ascii="微软雅黑" w:hAnsi="微软雅黑" w:cs="微软雅黑"/>
          <w:sz w:val="21"/>
          <w:szCs w:val="21"/>
        </w:rPr>
        <w:drawing>
          <wp:inline distT="0" distB="0" distL="114300" distR="114300">
            <wp:extent cx="5131435" cy="3287395"/>
            <wp:effectExtent l="0" t="0" r="12065" b="8255"/>
            <wp:docPr id="103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 name="图片 8"/>
                    <pic:cNvPicPr>
                      <a:picLocks noChangeAspect="1"/>
                    </pic:cNvPicPr>
                  </pic:nvPicPr>
                  <pic:blipFill>
                    <a:blip r:embed="rId32" cstate="print"/>
                    <a:stretch>
                      <a:fillRect/>
                    </a:stretch>
                  </pic:blipFill>
                  <pic:spPr>
                    <a:xfrm>
                      <a:off x="0" y="0"/>
                      <a:ext cx="5131435" cy="3287395"/>
                    </a:xfrm>
                    <a:prstGeom prst="rect">
                      <a:avLst/>
                    </a:prstGeom>
                    <a:noFill/>
                    <a:ln w="9525">
                      <a:noFill/>
                    </a:ln>
                  </pic:spPr>
                </pic:pic>
              </a:graphicData>
            </a:graphic>
          </wp:inline>
        </w:drawing>
      </w:r>
    </w:p>
    <w:p w14:paraId="60D64EC8">
      <w:pPr>
        <w:ind w:firstLine="400" w:firstLineChars="200"/>
        <w:jc w:val="center"/>
        <w:rPr>
          <w:rFonts w:ascii="微软雅黑" w:hAnsi="微软雅黑" w:cs="微软雅黑"/>
          <w:sz w:val="21"/>
          <w:szCs w:val="21"/>
        </w:rPr>
      </w:pPr>
      <w:bookmarkStart w:id="204" w:name="OLE_LINK10"/>
      <w:r>
        <w:rPr>
          <w:rFonts w:hint="eastAsia" w:ascii="微软雅黑" w:hAnsi="微软雅黑" w:cs="微软雅黑"/>
          <w:sz w:val="20"/>
          <w:szCs w:val="20"/>
        </w:rPr>
        <w:t>图5 结肠直肠癌发病机制相关信号通路</w:t>
      </w:r>
    </w:p>
    <w:bookmarkEnd w:id="204"/>
    <w:p w14:paraId="3ADCE051">
      <w:pPr>
        <w:ind w:firstLine="400" w:firstLineChars="200"/>
        <w:jc w:val="center"/>
        <w:rPr>
          <w:rFonts w:ascii="微软雅黑" w:hAnsi="微软雅黑" w:cs="微软雅黑"/>
          <w:sz w:val="20"/>
          <w:szCs w:val="20"/>
        </w:rPr>
      </w:pPr>
      <w:r>
        <w:rPr>
          <w:rFonts w:hint="eastAsia" w:ascii="微软雅黑" w:hAnsi="微软雅黑" w:cs="微软雅黑"/>
          <w:sz w:val="20"/>
          <w:szCs w:val="20"/>
        </w:rPr>
        <w:t>（*165位非超重和30位超重结直肠癌患者完整数据结果，基因改变包括体细胞突变、纯合子缺失、局部扩增及基因表达显著上调或下调。）</w:t>
      </w:r>
    </w:p>
    <w:p w14:paraId="124D34B1">
      <w:pPr>
        <w:ind w:firstLine="420" w:firstLineChars="200"/>
        <w:jc w:val="both"/>
        <w:rPr>
          <w:rFonts w:ascii="微软雅黑" w:hAnsi="微软雅黑" w:cs="微软雅黑"/>
          <w:sz w:val="21"/>
          <w:szCs w:val="21"/>
        </w:rPr>
      </w:pPr>
      <w:r>
        <w:rPr>
          <w:rFonts w:hint="eastAsia" w:ascii="微软雅黑" w:hAnsi="微软雅黑" w:cs="微软雅黑"/>
          <w:sz w:val="21"/>
          <w:szCs w:val="21"/>
        </w:rPr>
        <w:t>除基因突变外，表观遗传学改变也与息肉、肿瘤的形成相关，并与基因突变共同促进肿瘤的发生发展</w:t>
      </w:r>
      <w:r>
        <w:rPr>
          <w:rFonts w:hint="eastAsia" w:ascii="微软雅黑" w:hAnsi="微软雅黑" w:cs="微软雅黑"/>
          <w:sz w:val="21"/>
          <w:szCs w:val="21"/>
          <w:vertAlign w:val="superscript"/>
        </w:rPr>
        <w:t>[27,28]</w:t>
      </w:r>
      <w:r>
        <w:rPr>
          <w:rFonts w:hint="eastAsia" w:ascii="微软雅黑" w:hAnsi="微软雅黑" w:cs="微软雅黑"/>
          <w:sz w:val="21"/>
          <w:szCs w:val="21"/>
        </w:rPr>
        <w:t>。DNA甲基化影响CpG区域（CpG岛），这些区域通常位于基因的5'区域，并通过影响转录因子结合和染色质结构变化导致转录沉默</w:t>
      </w:r>
      <w:r>
        <w:rPr>
          <w:rFonts w:hint="eastAsia" w:ascii="微软雅黑" w:hAnsi="微软雅黑" w:cs="微软雅黑"/>
          <w:sz w:val="21"/>
          <w:szCs w:val="21"/>
          <w:vertAlign w:val="superscript"/>
        </w:rPr>
        <w:t>[29]</w:t>
      </w:r>
      <w:r>
        <w:rPr>
          <w:rFonts w:hint="eastAsia" w:ascii="微软雅黑" w:hAnsi="微软雅黑" w:cs="微软雅黑"/>
          <w:sz w:val="21"/>
          <w:szCs w:val="21"/>
        </w:rPr>
        <w:t>。与癌症发展相关的DNA甲基化修饰（通常）包括两类：基因启动子中CpG岛的甲基化过高导致抑癌基因沉默和重复性遗传元件甲基化过低，导致基因组不稳定或原癌基因激活</w:t>
      </w:r>
      <w:r>
        <w:rPr>
          <w:rFonts w:hint="eastAsia" w:ascii="微软雅黑" w:hAnsi="微软雅黑" w:cs="微软雅黑"/>
          <w:sz w:val="21"/>
          <w:szCs w:val="21"/>
          <w:vertAlign w:val="superscript"/>
        </w:rPr>
        <w:t>[30]</w:t>
      </w:r>
      <w:r>
        <w:rPr>
          <w:rFonts w:hint="eastAsia" w:ascii="微软雅黑" w:hAnsi="微软雅黑" w:cs="微软雅黑"/>
          <w:sz w:val="21"/>
          <w:szCs w:val="21"/>
        </w:rPr>
        <w:t>。</w:t>
      </w:r>
    </w:p>
    <w:p w14:paraId="5FA0FDEF">
      <w:pPr>
        <w:ind w:firstLine="420" w:firstLineChars="200"/>
        <w:jc w:val="both"/>
        <w:rPr>
          <w:rFonts w:ascii="微软雅黑" w:hAnsi="微软雅黑" w:cs="微软雅黑"/>
          <w:sz w:val="21"/>
          <w:szCs w:val="21"/>
        </w:rPr>
      </w:pPr>
      <w:r>
        <w:rPr>
          <w:rFonts w:hint="eastAsia" w:ascii="微软雅黑" w:hAnsi="微软雅黑" w:cs="微软雅黑"/>
          <w:sz w:val="21"/>
          <w:szCs w:val="21"/>
        </w:rPr>
        <w:t>根据息肉和肿瘤演变相关分子差异，将结直肠癌分为四个不同亚组：超突变/微卫星不稳定（Hyp-MSI）、超突变-微卫星稳定（Hyp-MSS）、微卫星稳定（MSS）或染色体不稳定（CIN）以及CIMP癌症。每个亚组驱动基因不尽相同，且各亚组间驱动突变的频率差异较大。因此，各亚组驱动突变和表观遗传变化仍有待明确。APC和SMAD家族成员4 （SMAD4）基因等突变在所有分子亚组中都较为常见，提示其在结直肠癌中起核心作用，而有些分子突变仅限于某一个亚组</w:t>
      </w:r>
      <w:r>
        <w:rPr>
          <w:rFonts w:hint="eastAsia" w:ascii="微软雅黑" w:hAnsi="微软雅黑" w:cs="微软雅黑"/>
          <w:sz w:val="21"/>
          <w:szCs w:val="21"/>
          <w:vertAlign w:val="superscript"/>
        </w:rPr>
        <w:t>[31]</w:t>
      </w:r>
      <w:r>
        <w:rPr>
          <w:rFonts w:hint="eastAsia" w:ascii="微软雅黑" w:hAnsi="微软雅黑" w:cs="微软雅黑"/>
          <w:sz w:val="21"/>
          <w:szCs w:val="21"/>
        </w:rPr>
        <w:t>。</w:t>
      </w:r>
    </w:p>
    <w:p w14:paraId="02AC1372">
      <w:pPr>
        <w:jc w:val="both"/>
        <w:rPr>
          <w:b/>
          <w:bCs/>
        </w:rPr>
      </w:pPr>
      <w:r>
        <w:rPr>
          <w:rFonts w:hint="eastAsia"/>
          <w:b/>
          <w:bCs/>
        </w:rPr>
        <w:t>3、诊断、筛查与预防</w:t>
      </w:r>
    </w:p>
    <w:p w14:paraId="207DF6E3">
      <w:pPr>
        <w:ind w:firstLine="420" w:firstLineChars="200"/>
        <w:jc w:val="both"/>
        <w:rPr>
          <w:rFonts w:ascii="微软雅黑" w:hAnsi="微软雅黑" w:cs="微软雅黑"/>
          <w:sz w:val="21"/>
          <w:szCs w:val="21"/>
        </w:rPr>
      </w:pPr>
      <w:r>
        <w:rPr>
          <w:rFonts w:hint="eastAsia" w:ascii="微软雅黑" w:hAnsi="微软雅黑" w:cs="微软雅黑"/>
          <w:sz w:val="21"/>
          <w:szCs w:val="21"/>
        </w:rPr>
        <w:t>结直肠癌患者可表现出隐蔽性或显性直肠出血、排便习惯改变、贫血或腹痛等体征和症状。对于年龄在45岁或45岁以上的新发直肠出血患者，一般应提示进行结肠镜检查。对于年轻患者，结直肠癌家族史、排便习惯改变、原因不明体重减轻，以及与粪便混合的血液，均属于考察因素。</w:t>
      </w:r>
    </w:p>
    <w:p w14:paraId="68C6B63E">
      <w:pPr>
        <w:ind w:firstLine="420" w:firstLineChars="200"/>
        <w:jc w:val="both"/>
        <w:rPr>
          <w:rFonts w:ascii="微软雅黑" w:hAnsi="微软雅黑" w:cs="微软雅黑"/>
          <w:sz w:val="21"/>
          <w:szCs w:val="21"/>
        </w:rPr>
      </w:pPr>
      <w:r>
        <w:rPr>
          <w:rFonts w:hint="eastAsia" w:ascii="微软雅黑" w:hAnsi="微软雅黑" w:cs="微软雅黑"/>
          <w:sz w:val="21"/>
          <w:szCs w:val="21"/>
        </w:rPr>
        <w:t>影像学方面，结肠镜检查是诊断大肠癌的金标准。它具有很高的诊断准确性，可以评估肿瘤的位置。重要的是，该技术可以同时进行活组织检查采样，从而可以对诊断和分子谱分析的材料进行组织学确认。胶囊内窥镜检查也可用于诊断腺瘤和大肠癌。第一代胶囊内窥镜检查能够检测大小</w:t>
      </w:r>
      <w:r>
        <w:rPr>
          <w:rFonts w:hint="eastAsia" w:ascii="宋体" w:hAnsi="宋体" w:eastAsia="宋体" w:cs="宋体"/>
          <w:sz w:val="21"/>
          <w:szCs w:val="21"/>
        </w:rPr>
        <w:t>≥</w:t>
      </w:r>
      <w:r>
        <w:rPr>
          <w:rFonts w:hint="eastAsia" w:ascii="微软雅黑" w:hAnsi="微软雅黑" w:cs="微软雅黑"/>
          <w:sz w:val="21"/>
          <w:szCs w:val="21"/>
        </w:rPr>
        <w:t>6mm的息肉，灵敏度约为60％，特异性&gt; 80％</w:t>
      </w:r>
      <w:r>
        <w:rPr>
          <w:rFonts w:hint="eastAsia" w:ascii="微软雅黑" w:hAnsi="微软雅黑" w:cs="微软雅黑"/>
          <w:sz w:val="21"/>
          <w:szCs w:val="21"/>
          <w:vertAlign w:val="superscript"/>
        </w:rPr>
        <w:t>[32]</w:t>
      </w:r>
      <w:r>
        <w:rPr>
          <w:rFonts w:hint="eastAsia" w:ascii="微软雅黑" w:hAnsi="微软雅黑" w:cs="微软雅黑"/>
          <w:sz w:val="21"/>
          <w:szCs w:val="21"/>
        </w:rPr>
        <w:t>。CT结肠造影使用低剂量CT扫描来获得结肠的内部视图，目前该技术已被广泛确立为大肠癌的诊断手段</w:t>
      </w:r>
      <w:r>
        <w:rPr>
          <w:rFonts w:hint="eastAsia" w:ascii="微软雅黑" w:hAnsi="微软雅黑" w:cs="微软雅黑"/>
          <w:sz w:val="21"/>
          <w:szCs w:val="21"/>
          <w:vertAlign w:val="superscript"/>
        </w:rPr>
        <w:t>[33]</w:t>
      </w:r>
      <w:r>
        <w:rPr>
          <w:rFonts w:hint="eastAsia" w:ascii="微软雅黑" w:hAnsi="微软雅黑" w:cs="微软雅黑"/>
          <w:sz w:val="21"/>
          <w:szCs w:val="21"/>
        </w:rPr>
        <w:t>。</w:t>
      </w:r>
    </w:p>
    <w:p w14:paraId="7EC564B2">
      <w:pPr>
        <w:ind w:firstLine="420" w:firstLineChars="200"/>
        <w:jc w:val="both"/>
        <w:rPr>
          <w:rFonts w:ascii="微软雅黑" w:hAnsi="微软雅黑" w:cs="微软雅黑"/>
          <w:sz w:val="21"/>
          <w:szCs w:val="21"/>
        </w:rPr>
      </w:pPr>
      <w:r>
        <w:rPr>
          <w:rFonts w:hint="eastAsia" w:ascii="微软雅黑" w:hAnsi="微软雅黑" w:cs="微软雅黑"/>
          <w:sz w:val="21"/>
          <w:szCs w:val="21"/>
        </w:rPr>
        <w:t>检验方面，指南建议在诊断时检测血球计数与癌胚抗原的浓度</w:t>
      </w:r>
      <w:r>
        <w:rPr>
          <w:rFonts w:hint="eastAsia" w:ascii="微软雅黑" w:hAnsi="微软雅黑" w:cs="微软雅黑"/>
          <w:sz w:val="21"/>
          <w:szCs w:val="21"/>
          <w:vertAlign w:val="superscript"/>
        </w:rPr>
        <w:t>[34]</w:t>
      </w:r>
      <w:r>
        <w:rPr>
          <w:rFonts w:hint="eastAsia" w:ascii="微软雅黑" w:hAnsi="微软雅黑" w:cs="微软雅黑"/>
          <w:sz w:val="21"/>
          <w:szCs w:val="21"/>
        </w:rPr>
        <w:t>。癌胚抗原浓度基线升高与预后较差相关，而术后阶段未恢复正常浓度表明可能残留疾病。此外，SEPT9基因启动子区域高度甲基化与大肠癌相关。SEPT9在组织水平上的甲基化异常可将大肠肿瘤与正常粘膜进行区分。研究表明，SEPT9甲基化检测对结直肠癌的敏感性为50-70％，特异性为85-90％</w:t>
      </w:r>
      <w:r>
        <w:rPr>
          <w:rFonts w:hint="eastAsia" w:ascii="微软雅黑" w:hAnsi="微软雅黑" w:cs="微软雅黑"/>
          <w:sz w:val="21"/>
          <w:szCs w:val="21"/>
          <w:vertAlign w:val="superscript"/>
        </w:rPr>
        <w:t>[35]</w:t>
      </w:r>
      <w:r>
        <w:rPr>
          <w:rFonts w:hint="eastAsia" w:ascii="微软雅黑" w:hAnsi="微软雅黑" w:cs="微软雅黑"/>
          <w:sz w:val="21"/>
          <w:szCs w:val="21"/>
        </w:rPr>
        <w:t>。</w:t>
      </w:r>
    </w:p>
    <w:p w14:paraId="675CB191">
      <w:pPr>
        <w:ind w:firstLine="420" w:firstLineChars="200"/>
        <w:jc w:val="both"/>
        <w:rPr>
          <w:rFonts w:ascii="微软雅黑" w:hAnsi="微软雅黑" w:cs="微软雅黑"/>
          <w:sz w:val="21"/>
          <w:szCs w:val="21"/>
        </w:rPr>
      </w:pPr>
      <w:r>
        <w:rPr>
          <w:rFonts w:hint="eastAsia" w:ascii="微软雅黑" w:hAnsi="微软雅黑" w:cs="微软雅黑"/>
          <w:sz w:val="21"/>
          <w:szCs w:val="21"/>
        </w:rPr>
        <w:t>病理学方面，组织学仍然是病理分期和后续治疗的基础。除了经典的TNM分期、组织学分型、分级和对淋巴、神经和静脉侵犯的组织学评估外，多种肿瘤标志物（包括错配修复检测和免疫评分）已得到认可</w:t>
      </w:r>
      <w:r>
        <w:rPr>
          <w:rFonts w:hint="eastAsia" w:ascii="微软雅黑" w:hAnsi="微软雅黑" w:cs="微软雅黑"/>
          <w:sz w:val="21"/>
          <w:szCs w:val="21"/>
          <w:vertAlign w:val="superscript"/>
        </w:rPr>
        <w:t>[36，37]</w:t>
      </w:r>
      <w:r>
        <w:rPr>
          <w:rFonts w:hint="eastAsia" w:ascii="微软雅黑" w:hAnsi="微软雅黑" w:cs="微软雅黑"/>
          <w:sz w:val="21"/>
          <w:szCs w:val="21"/>
        </w:rPr>
        <w:t>。错配修复检测不仅用于识别对林奇综合征,也可作为转移性结直肠癌患者使用氟嘧啶为基础的化疗或免疫治疗疗效的判断标准</w:t>
      </w:r>
      <w:r>
        <w:rPr>
          <w:rFonts w:hint="eastAsia" w:ascii="微软雅黑" w:hAnsi="微软雅黑" w:cs="微软雅黑"/>
          <w:sz w:val="21"/>
          <w:szCs w:val="21"/>
          <w:vertAlign w:val="superscript"/>
        </w:rPr>
        <w:t>[37]</w:t>
      </w:r>
      <w:r>
        <w:rPr>
          <w:rFonts w:hint="eastAsia" w:ascii="微软雅黑" w:hAnsi="微软雅黑" w:cs="微软雅黑"/>
          <w:sz w:val="21"/>
          <w:szCs w:val="21"/>
        </w:rPr>
        <w:t>。此外，RAS和RAF突变能够调节增殖、凋亡和血管生成，并在结直肠癌治疗中作为预后和预测标记发挥着不断发展的作用。</w:t>
      </w:r>
    </w:p>
    <w:p w14:paraId="0189C1B0">
      <w:pPr>
        <w:jc w:val="both"/>
        <w:rPr>
          <w:b/>
          <w:bCs/>
        </w:rPr>
      </w:pPr>
      <w:r>
        <w:rPr>
          <w:rFonts w:hint="eastAsia"/>
          <w:b/>
          <w:bCs/>
        </w:rPr>
        <w:t>4、治疗方法</w:t>
      </w:r>
    </w:p>
    <w:p w14:paraId="3A3EFA42">
      <w:pPr>
        <w:jc w:val="both"/>
        <w:rPr>
          <w:rFonts w:ascii="微软雅黑" w:hAnsi="微软雅黑" w:cs="微软雅黑"/>
          <w:b/>
          <w:bCs/>
          <w:sz w:val="21"/>
          <w:szCs w:val="21"/>
        </w:rPr>
      </w:pPr>
      <w:r>
        <w:rPr>
          <w:rFonts w:hint="eastAsia" w:ascii="微软雅黑" w:hAnsi="微软雅黑" w:cs="微软雅黑"/>
          <w:b/>
          <w:bCs/>
          <w:sz w:val="21"/>
          <w:szCs w:val="21"/>
        </w:rPr>
        <w:t>4.1 手术</w:t>
      </w:r>
    </w:p>
    <w:p w14:paraId="6739B7A0">
      <w:pPr>
        <w:ind w:firstLine="420" w:firstLineChars="200"/>
        <w:jc w:val="both"/>
        <w:rPr>
          <w:rFonts w:ascii="微软雅黑" w:hAnsi="微软雅黑" w:cs="微软雅黑"/>
          <w:sz w:val="21"/>
          <w:szCs w:val="21"/>
        </w:rPr>
      </w:pPr>
      <w:r>
        <w:rPr>
          <w:rFonts w:ascii="微软雅黑" w:hAnsi="微软雅黑" w:cs="微软雅黑"/>
          <w:sz w:val="21"/>
          <w:szCs w:val="21"/>
        </w:rPr>
        <w:t>在考虑对患者进行手术时，年龄</w:t>
      </w:r>
      <w:r>
        <w:rPr>
          <w:rFonts w:hint="eastAsia" w:ascii="微软雅黑" w:hAnsi="微软雅黑" w:cs="微软雅黑"/>
          <w:sz w:val="21"/>
          <w:szCs w:val="21"/>
        </w:rPr>
        <w:t>、</w:t>
      </w:r>
      <w:r>
        <w:rPr>
          <w:rFonts w:ascii="微软雅黑" w:hAnsi="微软雅黑" w:cs="微软雅黑"/>
          <w:sz w:val="21"/>
          <w:szCs w:val="21"/>
        </w:rPr>
        <w:t>健康状况</w:t>
      </w:r>
      <w:r>
        <w:rPr>
          <w:rFonts w:hint="eastAsia" w:ascii="微软雅黑" w:hAnsi="微软雅黑" w:cs="微软雅黑"/>
          <w:sz w:val="21"/>
          <w:szCs w:val="21"/>
        </w:rPr>
        <w:t>、</w:t>
      </w:r>
      <w:r>
        <w:rPr>
          <w:rFonts w:ascii="微软雅黑" w:hAnsi="微软雅黑" w:cs="微软雅黑"/>
          <w:sz w:val="21"/>
          <w:szCs w:val="21"/>
        </w:rPr>
        <w:t>围手术期管理计划</w:t>
      </w:r>
      <w:r>
        <w:rPr>
          <w:rFonts w:hint="eastAsia" w:ascii="微软雅黑" w:hAnsi="微软雅黑" w:cs="微软雅黑"/>
          <w:sz w:val="21"/>
          <w:szCs w:val="21"/>
        </w:rPr>
        <w:t>、</w:t>
      </w:r>
      <w:r>
        <w:rPr>
          <w:rFonts w:ascii="微软雅黑" w:hAnsi="微软雅黑" w:cs="微软雅黑"/>
          <w:sz w:val="21"/>
          <w:szCs w:val="21"/>
        </w:rPr>
        <w:t>肿瘤分期</w:t>
      </w:r>
      <w:r>
        <w:rPr>
          <w:rFonts w:hint="eastAsia" w:ascii="微软雅黑" w:hAnsi="微软雅黑" w:cs="微软雅黑"/>
          <w:sz w:val="21"/>
          <w:szCs w:val="21"/>
        </w:rPr>
        <w:t>、</w:t>
      </w:r>
      <w:r>
        <w:rPr>
          <w:rFonts w:ascii="微软雅黑" w:hAnsi="微软雅黑" w:cs="微软雅黑"/>
          <w:sz w:val="21"/>
          <w:szCs w:val="21"/>
        </w:rPr>
        <w:t>手术类型（包括切除平面和重建）</w:t>
      </w:r>
      <w:r>
        <w:rPr>
          <w:rFonts w:hint="eastAsia" w:ascii="微软雅黑" w:hAnsi="微软雅黑" w:cs="微软雅黑"/>
          <w:sz w:val="21"/>
          <w:szCs w:val="21"/>
        </w:rPr>
        <w:t>以及</w:t>
      </w:r>
      <w:r>
        <w:rPr>
          <w:rFonts w:ascii="微软雅黑" w:hAnsi="微软雅黑" w:cs="微软雅黑"/>
          <w:sz w:val="21"/>
          <w:szCs w:val="21"/>
        </w:rPr>
        <w:t>质量保证</w:t>
      </w:r>
      <w:r>
        <w:rPr>
          <w:rFonts w:hint="eastAsia" w:ascii="微软雅黑" w:hAnsi="微软雅黑" w:cs="微软雅黑"/>
          <w:sz w:val="21"/>
          <w:szCs w:val="21"/>
        </w:rPr>
        <w:t>十分</w:t>
      </w:r>
      <w:r>
        <w:rPr>
          <w:rFonts w:ascii="微软雅黑" w:hAnsi="微软雅黑" w:cs="微软雅黑"/>
          <w:sz w:val="21"/>
          <w:szCs w:val="21"/>
        </w:rPr>
        <w:t>重要。就年龄而言，老年结直肠癌患者的总生存率低于年轻患者</w:t>
      </w:r>
      <w:r>
        <w:rPr>
          <w:rFonts w:hint="eastAsia" w:ascii="微软雅黑" w:hAnsi="微软雅黑" w:cs="微软雅黑"/>
          <w:sz w:val="21"/>
          <w:szCs w:val="21"/>
          <w:vertAlign w:val="superscript"/>
        </w:rPr>
        <w:t>[38]</w:t>
      </w:r>
      <w:r>
        <w:rPr>
          <w:rFonts w:ascii="微软雅黑" w:hAnsi="微软雅黑" w:cs="微软雅黑"/>
          <w:sz w:val="21"/>
          <w:szCs w:val="21"/>
        </w:rPr>
        <w:t>。</w:t>
      </w:r>
      <w:r>
        <w:rPr>
          <w:rFonts w:hint="eastAsia" w:ascii="微软雅黑" w:hAnsi="微软雅黑" w:cs="微软雅黑"/>
          <w:sz w:val="21"/>
          <w:szCs w:val="21"/>
        </w:rPr>
        <w:t>目前，</w:t>
      </w:r>
      <w:r>
        <w:rPr>
          <w:rFonts w:ascii="微软雅黑" w:hAnsi="微软雅黑" w:cs="微软雅黑"/>
          <w:sz w:val="21"/>
          <w:szCs w:val="21"/>
        </w:rPr>
        <w:t>腹腔镜切除</w:t>
      </w:r>
      <w:r>
        <w:rPr>
          <w:rFonts w:hint="eastAsia" w:ascii="微软雅黑" w:hAnsi="微软雅黑" w:cs="微软雅黑"/>
          <w:sz w:val="21"/>
          <w:szCs w:val="21"/>
        </w:rPr>
        <w:t>术安全性</w:t>
      </w:r>
      <w:r>
        <w:rPr>
          <w:rFonts w:ascii="微软雅黑" w:hAnsi="微软雅黑" w:cs="微软雅黑"/>
          <w:sz w:val="21"/>
          <w:szCs w:val="21"/>
        </w:rPr>
        <w:t>已被证明与开腹手术</w:t>
      </w:r>
      <w:r>
        <w:rPr>
          <w:rFonts w:hint="eastAsia" w:ascii="微软雅黑" w:hAnsi="微软雅黑" w:cs="微软雅黑"/>
          <w:sz w:val="21"/>
          <w:szCs w:val="21"/>
        </w:rPr>
        <w:t>相同</w:t>
      </w:r>
      <w:r>
        <w:rPr>
          <w:rFonts w:hint="eastAsia" w:ascii="微软雅黑" w:hAnsi="微软雅黑" w:cs="微软雅黑"/>
          <w:sz w:val="21"/>
          <w:szCs w:val="21"/>
          <w:vertAlign w:val="superscript"/>
        </w:rPr>
        <w:t>[39，40]</w:t>
      </w:r>
      <w:r>
        <w:rPr>
          <w:rFonts w:hint="eastAsia" w:ascii="微软雅黑" w:hAnsi="微软雅黑" w:cs="微软雅黑"/>
          <w:sz w:val="21"/>
          <w:szCs w:val="21"/>
        </w:rPr>
        <w:t>。此外，</w:t>
      </w:r>
      <w:r>
        <w:rPr>
          <w:rFonts w:ascii="微软雅黑" w:hAnsi="微软雅黑" w:cs="微软雅黑"/>
          <w:sz w:val="21"/>
          <w:szCs w:val="21"/>
        </w:rPr>
        <w:t>结肠癌也可以表现为结肠癌梗阻或穿孔</w:t>
      </w:r>
      <w:r>
        <w:rPr>
          <w:rFonts w:hint="eastAsia" w:ascii="微软雅黑" w:hAnsi="微软雅黑" w:cs="微软雅黑"/>
          <w:sz w:val="21"/>
          <w:szCs w:val="21"/>
        </w:rPr>
        <w:t>，</w:t>
      </w:r>
      <w:r>
        <w:rPr>
          <w:rFonts w:ascii="微软雅黑" w:hAnsi="微软雅黑" w:cs="微软雅黑"/>
          <w:sz w:val="21"/>
          <w:szCs w:val="21"/>
        </w:rPr>
        <w:t>结肠梗阻可通过减压结肠造口或内镜下支架植入术来缓解</w:t>
      </w:r>
      <w:r>
        <w:rPr>
          <w:rFonts w:hint="eastAsia" w:ascii="微软雅黑" w:hAnsi="微软雅黑" w:cs="微软雅黑"/>
          <w:sz w:val="21"/>
          <w:szCs w:val="21"/>
        </w:rPr>
        <w:t>。</w:t>
      </w:r>
    </w:p>
    <w:p w14:paraId="7CDCC95E">
      <w:pPr>
        <w:ind w:firstLine="420" w:firstLineChars="200"/>
        <w:jc w:val="both"/>
        <w:rPr>
          <w:rFonts w:ascii="微软雅黑" w:hAnsi="微软雅黑" w:cs="微软雅黑"/>
          <w:sz w:val="21"/>
          <w:szCs w:val="21"/>
        </w:rPr>
      </w:pPr>
      <w:r>
        <w:rPr>
          <w:rFonts w:hint="eastAsia" w:ascii="微软雅黑" w:hAnsi="微软雅黑" w:cs="微软雅黑"/>
          <w:sz w:val="21"/>
          <w:szCs w:val="21"/>
        </w:rPr>
        <w:t>直肠癌的手术相对较复杂，与骨盆的可及性和解剖结构复杂相关。全直肠系膜切除（TME）是T1，T2和良性T3（淋巴结状态阴性（T3N0M0）T3，不包括低位直肠癌、T3c和T3d）直肠癌手术金标准，切除的范围取决于括约肌复合体和其它周围结构的受累，对于恶性T3期（T3c的中上部、T3d和T3b下部）的直肠肿瘤的患者，建议进行新辅助放疗（或放化疗）。对于早期直肠癌患者，可利用肛门内窥镜显微外科手术（TEM）进行微创治疗，切除高分化T1N0期局部肿瘤</w:t>
      </w:r>
      <w:r>
        <w:rPr>
          <w:rFonts w:hint="eastAsia" w:ascii="微软雅黑" w:hAnsi="微软雅黑" w:cs="微软雅黑"/>
          <w:sz w:val="21"/>
          <w:szCs w:val="21"/>
          <w:vertAlign w:val="superscript"/>
        </w:rPr>
        <w:t>[41，42]</w:t>
      </w:r>
      <w:r>
        <w:rPr>
          <w:rFonts w:hint="eastAsia" w:ascii="微软雅黑" w:hAnsi="微软雅黑" w:cs="微软雅黑"/>
          <w:sz w:val="21"/>
          <w:szCs w:val="21"/>
        </w:rPr>
        <w:t>，但不建议将TEM用于无法被完全切除的肿瘤，以及分化程度低、局部复发风险高的肿瘤。</w:t>
      </w:r>
    </w:p>
    <w:p w14:paraId="396DBD37">
      <w:pPr>
        <w:jc w:val="both"/>
        <w:rPr>
          <w:rFonts w:ascii="微软雅黑" w:hAnsi="微软雅黑" w:cs="微软雅黑"/>
          <w:b/>
          <w:bCs/>
          <w:sz w:val="21"/>
          <w:szCs w:val="21"/>
        </w:rPr>
      </w:pPr>
      <w:r>
        <w:rPr>
          <w:rFonts w:hint="eastAsia" w:ascii="微软雅黑" w:hAnsi="微软雅黑" w:cs="微软雅黑"/>
          <w:b/>
          <w:bCs/>
          <w:sz w:val="21"/>
          <w:szCs w:val="21"/>
        </w:rPr>
        <w:t>4.2 辅助治疗</w:t>
      </w:r>
    </w:p>
    <w:p w14:paraId="09D4266E">
      <w:pPr>
        <w:ind w:firstLine="420" w:firstLineChars="200"/>
        <w:jc w:val="both"/>
        <w:rPr>
          <w:rFonts w:ascii="微软雅黑" w:hAnsi="微软雅黑" w:cs="微软雅黑"/>
          <w:sz w:val="21"/>
          <w:szCs w:val="21"/>
        </w:rPr>
      </w:pPr>
      <w:r>
        <w:rPr>
          <w:rFonts w:hint="eastAsia" w:ascii="微软雅黑" w:hAnsi="微软雅黑" w:cs="微软雅黑"/>
          <w:sz w:val="21"/>
          <w:szCs w:val="21"/>
        </w:rPr>
        <w:t>新辅助治疗方面，结肠癌目前尚无公认的新辅助治疗方法，但对于中晚期直肠癌，建议使用新辅助放疗或放化疗降低局部复发率。新辅助治疗可以采用短程放疗配合手术，也可以采用5-氟尿嘧啶或卡培他滨（口服氟嘧啶）的放化疗结合手段。术前放疗在减少局部复发方面比术后更有效，但无法提高总生存率</w:t>
      </w:r>
      <w:r>
        <w:rPr>
          <w:rFonts w:hint="eastAsia" w:ascii="微软雅黑" w:hAnsi="微软雅黑" w:cs="微软雅黑"/>
          <w:sz w:val="21"/>
          <w:szCs w:val="21"/>
          <w:vertAlign w:val="superscript"/>
        </w:rPr>
        <w:t>[43，44]</w:t>
      </w:r>
      <w:r>
        <w:rPr>
          <w:rFonts w:hint="eastAsia" w:ascii="微软雅黑" w:hAnsi="微软雅黑" w:cs="微软雅黑"/>
          <w:sz w:val="21"/>
          <w:szCs w:val="21"/>
        </w:rPr>
        <w:t>。</w:t>
      </w:r>
    </w:p>
    <w:p w14:paraId="11BD1C25">
      <w:pPr>
        <w:ind w:firstLine="420" w:firstLineChars="200"/>
        <w:jc w:val="both"/>
        <w:rPr>
          <w:rFonts w:ascii="微软雅黑" w:hAnsi="微软雅黑" w:cs="微软雅黑"/>
          <w:sz w:val="21"/>
          <w:szCs w:val="21"/>
        </w:rPr>
      </w:pPr>
      <w:r>
        <w:rPr>
          <w:rFonts w:hint="eastAsia" w:ascii="微软雅黑" w:hAnsi="微软雅黑" w:cs="微软雅黑"/>
          <w:sz w:val="21"/>
          <w:szCs w:val="21"/>
        </w:rPr>
        <w:t>辅助治疗方面，由于T3、T4a、T4b和N0M0结肠癌（国际癌症控制联盟（UICC）II期）患者手术治愈率较高，只有大约5％的患者受益于辅助化疗。但对于UICC III期肿瘤（任何T，N1-2[3个或更多阳性淋巴结]，M0）辅助治疗是标准治疗方案，主要采用5-氟尿嘧啶（如XELOX口服方案，或FOLFOX4静脉注射方案）和奥沙利铂联合用药。值得注意的是，70岁以上的患者可能无法从以奥沙利铂为基础的化疗组合中受益，但可以从氟嘧啶为基础的化疗中受益，效果与年轻患者类似</w:t>
      </w:r>
      <w:r>
        <w:rPr>
          <w:rFonts w:hint="eastAsia" w:ascii="微软雅黑" w:hAnsi="微软雅黑" w:cs="微软雅黑"/>
          <w:sz w:val="21"/>
          <w:szCs w:val="21"/>
          <w:vertAlign w:val="superscript"/>
        </w:rPr>
        <w:t>[45]</w:t>
      </w:r>
      <w:r>
        <w:rPr>
          <w:rFonts w:hint="eastAsia" w:ascii="微软雅黑" w:hAnsi="微软雅黑" w:cs="微软雅黑"/>
          <w:sz w:val="21"/>
          <w:szCs w:val="21"/>
        </w:rPr>
        <w:t>。对于直肠癌，如果未进行术前治疗且存在某些危险因素，可采取术后放化疗的手段，辅助化疗通常使用氟嘧啶为基础的药物组合。</w:t>
      </w:r>
    </w:p>
    <w:p w14:paraId="6B3D598A">
      <w:pPr>
        <w:jc w:val="both"/>
        <w:rPr>
          <w:rFonts w:ascii="微软雅黑" w:hAnsi="微软雅黑" w:cs="微软雅黑"/>
          <w:b/>
          <w:bCs/>
          <w:sz w:val="21"/>
          <w:szCs w:val="21"/>
        </w:rPr>
      </w:pPr>
      <w:r>
        <w:rPr>
          <w:rFonts w:hint="eastAsia" w:ascii="微软雅黑" w:hAnsi="微软雅黑" w:cs="微软雅黑"/>
          <w:b/>
          <w:bCs/>
          <w:sz w:val="21"/>
          <w:szCs w:val="21"/>
        </w:rPr>
        <w:t>4.3 化疗</w:t>
      </w:r>
    </w:p>
    <w:p w14:paraId="2973424E">
      <w:pPr>
        <w:ind w:firstLine="420" w:firstLineChars="200"/>
        <w:jc w:val="both"/>
        <w:rPr>
          <w:rFonts w:ascii="微软雅黑" w:hAnsi="微软雅黑" w:cs="微软雅黑"/>
          <w:sz w:val="21"/>
          <w:szCs w:val="21"/>
        </w:rPr>
      </w:pPr>
      <w:r>
        <w:rPr>
          <w:rFonts w:ascii="微软雅黑" w:hAnsi="微软雅黑" w:cs="微软雅黑"/>
          <w:sz w:val="21"/>
          <w:szCs w:val="21"/>
        </w:rPr>
        <w:t>在过去的二十年中，转移性</w:t>
      </w:r>
      <w:r>
        <w:rPr>
          <w:rFonts w:hint="eastAsia" w:ascii="微软雅黑" w:hAnsi="微软雅黑" w:cs="微软雅黑"/>
          <w:sz w:val="21"/>
          <w:szCs w:val="21"/>
        </w:rPr>
        <w:t>结直肠</w:t>
      </w:r>
      <w:r>
        <w:rPr>
          <w:rFonts w:ascii="微软雅黑" w:hAnsi="微软雅黑" w:cs="微软雅黑"/>
          <w:sz w:val="21"/>
          <w:szCs w:val="21"/>
        </w:rPr>
        <w:t>患者的生存率已大大提高，临床试验平均总生存期为30个月。生存率的提高可归因于奥沙利铂和伊立替康</w:t>
      </w:r>
      <w:r>
        <w:rPr>
          <w:rFonts w:hint="eastAsia" w:ascii="微软雅黑" w:hAnsi="微软雅黑" w:cs="微软雅黑"/>
          <w:sz w:val="21"/>
          <w:szCs w:val="21"/>
        </w:rPr>
        <w:t>等化疗手段</w:t>
      </w:r>
      <w:r>
        <w:rPr>
          <w:rFonts w:ascii="微软雅黑" w:hAnsi="微软雅黑" w:cs="微软雅黑"/>
          <w:sz w:val="21"/>
          <w:szCs w:val="21"/>
        </w:rPr>
        <w:t>，</w:t>
      </w:r>
      <w:r>
        <w:rPr>
          <w:rFonts w:hint="eastAsia" w:ascii="微软雅黑" w:hAnsi="微软雅黑" w:cs="微软雅黑"/>
          <w:sz w:val="21"/>
          <w:szCs w:val="21"/>
        </w:rPr>
        <w:t>以及</w:t>
      </w:r>
      <w:r>
        <w:rPr>
          <w:rFonts w:ascii="微软雅黑" w:hAnsi="微软雅黑" w:cs="微软雅黑"/>
          <w:sz w:val="21"/>
          <w:szCs w:val="21"/>
        </w:rPr>
        <w:t>针对肿瘤微环境特定特性的靶向疗法</w:t>
      </w:r>
      <w:r>
        <w:rPr>
          <w:rFonts w:hint="eastAsia" w:ascii="微软雅黑" w:hAnsi="微软雅黑" w:cs="微软雅黑"/>
          <w:sz w:val="21"/>
          <w:szCs w:val="21"/>
        </w:rPr>
        <w:t>和</w:t>
      </w:r>
      <w:r>
        <w:rPr>
          <w:rFonts w:ascii="微软雅黑" w:hAnsi="微软雅黑" w:cs="微软雅黑"/>
          <w:sz w:val="21"/>
          <w:szCs w:val="21"/>
        </w:rPr>
        <w:t>包括外科手术切除肝转移在内的多学科方法的结合。</w:t>
      </w:r>
    </w:p>
    <w:p w14:paraId="5E5BF55D">
      <w:pPr>
        <w:ind w:firstLine="420" w:firstLineChars="200"/>
        <w:jc w:val="both"/>
        <w:rPr>
          <w:rFonts w:ascii="微软雅黑" w:hAnsi="微软雅黑" w:cs="微软雅黑"/>
          <w:sz w:val="21"/>
          <w:szCs w:val="21"/>
        </w:rPr>
      </w:pPr>
      <w:r>
        <w:rPr>
          <w:rFonts w:ascii="微软雅黑" w:hAnsi="微软雅黑" w:cs="微软雅黑"/>
          <w:sz w:val="21"/>
          <w:szCs w:val="21"/>
        </w:rPr>
        <w:t>与氟嘧啶单药</w:t>
      </w:r>
      <w:r>
        <w:rPr>
          <w:rFonts w:hint="eastAsia" w:ascii="微软雅黑" w:hAnsi="微软雅黑" w:cs="微软雅黑"/>
          <w:sz w:val="21"/>
          <w:szCs w:val="21"/>
        </w:rPr>
        <w:t>治疗</w:t>
      </w:r>
      <w:r>
        <w:rPr>
          <w:rFonts w:ascii="微软雅黑" w:hAnsi="微软雅黑" w:cs="微软雅黑"/>
          <w:sz w:val="21"/>
          <w:szCs w:val="21"/>
        </w:rPr>
        <w:t>相比，联合化疗可更好地控制肿瘤生长。转移性</w:t>
      </w:r>
      <w:r>
        <w:rPr>
          <w:rFonts w:hint="eastAsia" w:ascii="微软雅黑" w:hAnsi="微软雅黑" w:cs="微软雅黑"/>
          <w:sz w:val="21"/>
          <w:szCs w:val="21"/>
        </w:rPr>
        <w:t>结直肠癌一线化疗方案是</w:t>
      </w:r>
      <w:r>
        <w:rPr>
          <w:rFonts w:ascii="微软雅黑" w:hAnsi="微软雅黑" w:cs="微软雅黑"/>
          <w:sz w:val="21"/>
          <w:szCs w:val="21"/>
        </w:rPr>
        <w:t>5-氟尿嘧啶，亚叶酸和奥沙利铂（FOLFOX方案）或伊立替康（FOLFIRI方案）的组合</w:t>
      </w:r>
      <w:r>
        <w:rPr>
          <w:rFonts w:hint="eastAsia" w:ascii="微软雅黑" w:hAnsi="微软雅黑" w:cs="微软雅黑"/>
          <w:sz w:val="21"/>
          <w:szCs w:val="21"/>
        </w:rPr>
        <w:t>用药。</w:t>
      </w:r>
      <w:r>
        <w:rPr>
          <w:rFonts w:ascii="微软雅黑" w:hAnsi="微软雅黑" w:cs="微软雅黑"/>
          <w:sz w:val="21"/>
          <w:szCs w:val="21"/>
        </w:rPr>
        <w:t>卡培他滨</w:t>
      </w:r>
      <w:r>
        <w:rPr>
          <w:rFonts w:hint="eastAsia" w:ascii="微软雅黑" w:hAnsi="微软雅黑" w:cs="微软雅黑"/>
          <w:sz w:val="21"/>
          <w:szCs w:val="21"/>
        </w:rPr>
        <w:t>可</w:t>
      </w:r>
      <w:r>
        <w:rPr>
          <w:rFonts w:ascii="微软雅黑" w:hAnsi="微软雅黑" w:cs="微软雅黑"/>
          <w:sz w:val="21"/>
          <w:szCs w:val="21"/>
        </w:rPr>
        <w:t>代替FOLFOX方案中的5-氟尿嘧啶，但是卡培他滨与伊立替康</w:t>
      </w:r>
      <w:r>
        <w:rPr>
          <w:rFonts w:hint="eastAsia" w:ascii="微软雅黑" w:hAnsi="微软雅黑" w:cs="微软雅黑"/>
          <w:sz w:val="21"/>
          <w:szCs w:val="21"/>
        </w:rPr>
        <w:t>联合用药与</w:t>
      </w:r>
      <w:r>
        <w:rPr>
          <w:rFonts w:ascii="微软雅黑" w:hAnsi="微软雅黑" w:cs="微软雅黑"/>
          <w:sz w:val="21"/>
          <w:szCs w:val="21"/>
        </w:rPr>
        <w:t>FOLFIRI</w:t>
      </w:r>
      <w:r>
        <w:rPr>
          <w:rFonts w:hint="eastAsia" w:ascii="微软雅黑" w:hAnsi="微软雅黑" w:cs="微软雅黑"/>
          <w:sz w:val="21"/>
          <w:szCs w:val="21"/>
        </w:rPr>
        <w:t>相</w:t>
      </w:r>
      <w:r>
        <w:rPr>
          <w:rFonts w:ascii="微软雅黑" w:hAnsi="微软雅黑" w:cs="微软雅黑"/>
          <w:sz w:val="21"/>
          <w:szCs w:val="21"/>
        </w:rPr>
        <w:t>比毒性</w:t>
      </w:r>
      <w:r>
        <w:rPr>
          <w:rFonts w:hint="eastAsia" w:ascii="微软雅黑" w:hAnsi="微软雅黑" w:cs="微软雅黑"/>
          <w:sz w:val="21"/>
          <w:szCs w:val="21"/>
        </w:rPr>
        <w:t>更高</w:t>
      </w:r>
      <w:r>
        <w:rPr>
          <w:rFonts w:ascii="微软雅黑" w:hAnsi="微软雅黑" w:cs="微软雅黑"/>
          <w:sz w:val="21"/>
          <w:szCs w:val="21"/>
        </w:rPr>
        <w:t>。</w:t>
      </w:r>
      <w:r>
        <w:rPr>
          <w:rFonts w:hint="eastAsia" w:ascii="微软雅黑" w:hAnsi="微软雅黑" w:cs="微软雅黑"/>
          <w:sz w:val="21"/>
          <w:szCs w:val="21"/>
        </w:rPr>
        <w:t>目前，相应药物疗效及毒性评估标志基因及位点已经被发现，如DPD基因与氟尿嘧啶和UTG1A1基因与伊立替康</w:t>
      </w:r>
      <w:r>
        <w:rPr>
          <w:rFonts w:hint="eastAsia" w:ascii="微软雅黑" w:hAnsi="微软雅黑" w:cs="微软雅黑"/>
          <w:sz w:val="21"/>
          <w:szCs w:val="21"/>
          <w:vertAlign w:val="superscript"/>
        </w:rPr>
        <w:t>[46]</w:t>
      </w:r>
      <w:r>
        <w:rPr>
          <w:rFonts w:hint="eastAsia" w:ascii="微软雅黑" w:hAnsi="微软雅黑" w:cs="微软雅黑"/>
          <w:sz w:val="21"/>
          <w:szCs w:val="21"/>
        </w:rPr>
        <w:t>。同时，</w:t>
      </w:r>
      <w:r>
        <w:rPr>
          <w:rFonts w:ascii="微软雅黑" w:hAnsi="微软雅黑" w:cs="微软雅黑"/>
          <w:sz w:val="21"/>
          <w:szCs w:val="21"/>
        </w:rPr>
        <w:t>dMMR是II期</w:t>
      </w:r>
      <w:r>
        <w:rPr>
          <w:rFonts w:hint="eastAsia" w:ascii="微软雅黑" w:hAnsi="微软雅黑" w:cs="微软雅黑"/>
          <w:sz w:val="21"/>
          <w:szCs w:val="21"/>
        </w:rPr>
        <w:t>结直肠癌患者</w:t>
      </w:r>
      <w:r>
        <w:rPr>
          <w:rFonts w:ascii="微软雅黑" w:hAnsi="微软雅黑" w:cs="微软雅黑"/>
          <w:sz w:val="21"/>
          <w:szCs w:val="21"/>
        </w:rPr>
        <w:t>的</w:t>
      </w:r>
      <w:r>
        <w:rPr>
          <w:rFonts w:hint="eastAsia" w:ascii="微软雅黑" w:hAnsi="微软雅黑" w:cs="微软雅黑"/>
          <w:sz w:val="21"/>
          <w:szCs w:val="21"/>
        </w:rPr>
        <w:t>良好</w:t>
      </w:r>
      <w:r>
        <w:rPr>
          <w:rFonts w:ascii="微软雅黑" w:hAnsi="微软雅黑" w:cs="微软雅黑"/>
          <w:sz w:val="21"/>
          <w:szCs w:val="21"/>
        </w:rPr>
        <w:t>预后标志，dMMR患者</w:t>
      </w:r>
      <w:r>
        <w:rPr>
          <w:rFonts w:hint="eastAsia" w:ascii="微软雅黑" w:hAnsi="微软雅黑" w:cs="微软雅黑"/>
          <w:sz w:val="21"/>
          <w:szCs w:val="21"/>
        </w:rPr>
        <w:t>无法</w:t>
      </w:r>
      <w:r>
        <w:rPr>
          <w:rFonts w:ascii="微软雅黑" w:hAnsi="微软雅黑" w:cs="微软雅黑"/>
          <w:sz w:val="21"/>
          <w:szCs w:val="21"/>
        </w:rPr>
        <w:t>从辅助治疗中获益</w:t>
      </w:r>
      <w:r>
        <w:rPr>
          <w:rFonts w:hint="eastAsia" w:ascii="微软雅黑" w:hAnsi="微软雅黑" w:cs="微软雅黑"/>
          <w:sz w:val="21"/>
          <w:szCs w:val="21"/>
          <w:vertAlign w:val="superscript"/>
        </w:rPr>
        <w:t>[47，48]</w:t>
      </w:r>
      <w:r>
        <w:rPr>
          <w:rFonts w:ascii="微软雅黑" w:hAnsi="微软雅黑" w:cs="微软雅黑"/>
          <w:sz w:val="21"/>
          <w:szCs w:val="21"/>
        </w:rPr>
        <w:t>。</w:t>
      </w:r>
    </w:p>
    <w:p w14:paraId="543D5CE5">
      <w:pPr>
        <w:ind w:firstLine="420" w:firstLineChars="200"/>
        <w:rPr>
          <w:rFonts w:ascii="微软雅黑" w:hAnsi="微软雅黑" w:cs="微软雅黑"/>
          <w:sz w:val="21"/>
          <w:szCs w:val="21"/>
        </w:rPr>
      </w:pPr>
      <w:r>
        <w:rPr>
          <w:rFonts w:hint="eastAsia" w:ascii="微软雅黑" w:hAnsi="微软雅黑" w:cs="微软雅黑"/>
          <w:sz w:val="21"/>
          <w:szCs w:val="21"/>
        </w:rPr>
        <w:t>研究表明</w:t>
      </w:r>
      <w:r>
        <w:rPr>
          <w:rFonts w:ascii="微软雅黑" w:hAnsi="微软雅黑" w:cs="微软雅黑"/>
          <w:sz w:val="21"/>
          <w:szCs w:val="21"/>
        </w:rPr>
        <w:t>，5-氟尿嘧啶</w:t>
      </w:r>
      <w:r>
        <w:rPr>
          <w:rFonts w:hint="eastAsia" w:ascii="微软雅黑" w:hAnsi="微软雅黑" w:cs="微软雅黑"/>
          <w:sz w:val="21"/>
          <w:szCs w:val="21"/>
        </w:rPr>
        <w:t>、</w:t>
      </w:r>
      <w:r>
        <w:rPr>
          <w:rFonts w:ascii="微软雅黑" w:hAnsi="微软雅黑" w:cs="微软雅黑"/>
          <w:sz w:val="21"/>
          <w:szCs w:val="21"/>
        </w:rPr>
        <w:t>亚叶酸</w:t>
      </w:r>
      <w:r>
        <w:rPr>
          <w:rFonts w:hint="eastAsia" w:ascii="微软雅黑" w:hAnsi="微软雅黑" w:cs="微软雅黑"/>
          <w:sz w:val="21"/>
          <w:szCs w:val="21"/>
        </w:rPr>
        <w:t>、</w:t>
      </w:r>
      <w:r>
        <w:rPr>
          <w:rFonts w:ascii="微软雅黑" w:hAnsi="微软雅黑" w:cs="微软雅黑"/>
          <w:sz w:val="21"/>
          <w:szCs w:val="21"/>
        </w:rPr>
        <w:t>奥沙利铂</w:t>
      </w:r>
      <w:r>
        <w:rPr>
          <w:rFonts w:hint="eastAsia" w:ascii="微软雅黑" w:hAnsi="微软雅黑" w:cs="微软雅黑"/>
          <w:sz w:val="21"/>
          <w:szCs w:val="21"/>
        </w:rPr>
        <w:t>、</w:t>
      </w:r>
      <w:r>
        <w:rPr>
          <w:rFonts w:ascii="微软雅黑" w:hAnsi="微软雅黑" w:cs="微软雅黑"/>
          <w:sz w:val="21"/>
          <w:szCs w:val="21"/>
        </w:rPr>
        <w:t>伊立替康（FOLFOXIRI方案）组成的双联体（两种化学治疗剂）和三联体（三种化学治疗剂）</w:t>
      </w:r>
      <w:r>
        <w:rPr>
          <w:rFonts w:hint="eastAsia" w:ascii="微软雅黑" w:hAnsi="微软雅黑" w:cs="微软雅黑"/>
          <w:sz w:val="21"/>
          <w:szCs w:val="21"/>
        </w:rPr>
        <w:t>疗效较好</w:t>
      </w:r>
      <w:r>
        <w:rPr>
          <w:rFonts w:hint="eastAsia" w:ascii="微软雅黑" w:hAnsi="微软雅黑" w:cs="微软雅黑"/>
          <w:sz w:val="21"/>
          <w:szCs w:val="21"/>
          <w:vertAlign w:val="superscript"/>
        </w:rPr>
        <w:t>[49]</w:t>
      </w:r>
      <w:r>
        <w:rPr>
          <w:rFonts w:hint="eastAsia" w:ascii="微软雅黑" w:hAnsi="微软雅黑" w:cs="微软雅黑"/>
          <w:sz w:val="21"/>
          <w:szCs w:val="21"/>
        </w:rPr>
        <w:t>，</w:t>
      </w:r>
      <w:r>
        <w:rPr>
          <w:rFonts w:ascii="微软雅黑" w:hAnsi="微软雅黑" w:cs="微软雅黑"/>
          <w:sz w:val="21"/>
          <w:szCs w:val="21"/>
        </w:rPr>
        <w:t>与氟嘧啶单药相比，化疗</w:t>
      </w:r>
      <w:r>
        <w:rPr>
          <w:rFonts w:hint="eastAsia" w:ascii="微软雅黑" w:hAnsi="微软雅黑" w:cs="微软雅黑"/>
          <w:sz w:val="21"/>
          <w:szCs w:val="21"/>
        </w:rPr>
        <w:t>联合方案</w:t>
      </w:r>
      <w:r>
        <w:rPr>
          <w:rFonts w:ascii="微软雅黑" w:hAnsi="微软雅黑" w:cs="微软雅黑"/>
          <w:sz w:val="21"/>
          <w:szCs w:val="21"/>
        </w:rPr>
        <w:t>控制肿瘤生长</w:t>
      </w:r>
      <w:r>
        <w:rPr>
          <w:rFonts w:hint="eastAsia" w:ascii="微软雅黑" w:hAnsi="微软雅黑" w:cs="微软雅黑"/>
          <w:sz w:val="21"/>
          <w:szCs w:val="21"/>
        </w:rPr>
        <w:t>效果更好</w:t>
      </w:r>
      <w:r>
        <w:rPr>
          <w:rFonts w:ascii="微软雅黑" w:hAnsi="微软雅黑" w:cs="微软雅黑"/>
          <w:sz w:val="21"/>
          <w:szCs w:val="21"/>
        </w:rPr>
        <w:t>。但是，老年和体弱</w:t>
      </w:r>
      <w:r>
        <w:rPr>
          <w:rFonts w:hint="eastAsia" w:ascii="微软雅黑" w:hAnsi="微软雅黑" w:cs="微软雅黑"/>
          <w:sz w:val="21"/>
          <w:szCs w:val="21"/>
        </w:rPr>
        <w:t>的</w:t>
      </w:r>
      <w:r>
        <w:rPr>
          <w:rFonts w:ascii="微软雅黑" w:hAnsi="微软雅黑" w:cs="微软雅黑"/>
          <w:sz w:val="21"/>
          <w:szCs w:val="21"/>
        </w:rPr>
        <w:t>患者可能会受益于先后采用单药氟嘧啶单药化疗或氟嘧啶与VEGF-A靶向疗法联合治疗</w:t>
      </w:r>
      <w:r>
        <w:rPr>
          <w:rFonts w:hint="eastAsia" w:ascii="微软雅黑" w:hAnsi="微软雅黑" w:cs="微软雅黑"/>
          <w:sz w:val="21"/>
          <w:szCs w:val="21"/>
        </w:rPr>
        <w:t>手段（图6）。</w:t>
      </w:r>
    </w:p>
    <w:p w14:paraId="176B5001">
      <w:pPr>
        <w:ind w:firstLine="420" w:firstLineChars="200"/>
        <w:jc w:val="both"/>
        <w:rPr>
          <w:rFonts w:ascii="微软雅黑" w:hAnsi="微软雅黑" w:cs="微软雅黑"/>
          <w:sz w:val="21"/>
          <w:szCs w:val="21"/>
        </w:rPr>
      </w:pPr>
      <w:r>
        <w:rPr>
          <w:rFonts w:hint="eastAsia" w:ascii="微软雅黑" w:hAnsi="微软雅黑" w:cs="微软雅黑"/>
          <w:sz w:val="21"/>
          <w:szCs w:val="21"/>
        </w:rPr>
        <w:t>关于化疗时间，目前标准方案是辅助化疗6个月。但IDEA研究中6个随机的III期临床试验数据表明，III期低风险期结肠癌(不包括T4期或N2期)患者，辅助化疗控制在3个月可以降低毒性（例如，减少累积性神经病变），而不影响治疗效果</w:t>
      </w:r>
      <w:r>
        <w:rPr>
          <w:rFonts w:hint="eastAsia" w:ascii="微软雅黑" w:hAnsi="微软雅黑" w:cs="微软雅黑"/>
          <w:sz w:val="21"/>
          <w:szCs w:val="21"/>
          <w:vertAlign w:val="superscript"/>
        </w:rPr>
        <w:t>[50]</w:t>
      </w:r>
      <w:r>
        <w:rPr>
          <w:rFonts w:hint="eastAsia" w:ascii="微软雅黑" w:hAnsi="微软雅黑" w:cs="微软雅黑"/>
          <w:sz w:val="21"/>
          <w:szCs w:val="21"/>
        </w:rPr>
        <w:t>。</w:t>
      </w:r>
    </w:p>
    <w:p w14:paraId="04D796CE">
      <w:pPr>
        <w:jc w:val="center"/>
        <w:rPr>
          <w:rFonts w:ascii="微软雅黑" w:hAnsi="微软雅黑" w:cs="微软雅黑"/>
          <w:sz w:val="21"/>
          <w:szCs w:val="21"/>
        </w:rPr>
      </w:pPr>
      <w:r>
        <w:rPr>
          <w:rFonts w:hint="eastAsia" w:ascii="微软雅黑" w:hAnsi="微软雅黑" w:cs="微软雅黑"/>
          <w:sz w:val="21"/>
          <w:szCs w:val="21"/>
        </w:rPr>
        <w:drawing>
          <wp:inline distT="0" distB="0" distL="114300" distR="114300">
            <wp:extent cx="4368165" cy="3756025"/>
            <wp:effectExtent l="0" t="0" r="13335" b="15875"/>
            <wp:docPr id="103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 name="图片 2"/>
                    <pic:cNvPicPr>
                      <a:picLocks noChangeAspect="1"/>
                    </pic:cNvPicPr>
                  </pic:nvPicPr>
                  <pic:blipFill>
                    <a:blip r:embed="rId33"/>
                    <a:stretch>
                      <a:fillRect/>
                    </a:stretch>
                  </pic:blipFill>
                  <pic:spPr>
                    <a:xfrm>
                      <a:off x="0" y="0"/>
                      <a:ext cx="4368165" cy="3756025"/>
                    </a:xfrm>
                    <a:prstGeom prst="rect">
                      <a:avLst/>
                    </a:prstGeom>
                    <a:noFill/>
                    <a:ln>
                      <a:noFill/>
                    </a:ln>
                  </pic:spPr>
                </pic:pic>
              </a:graphicData>
            </a:graphic>
          </wp:inline>
        </w:drawing>
      </w:r>
    </w:p>
    <w:p w14:paraId="422FEB89">
      <w:pPr>
        <w:ind w:firstLine="400" w:firstLineChars="200"/>
        <w:jc w:val="center"/>
        <w:rPr>
          <w:rFonts w:ascii="微软雅黑" w:hAnsi="微软雅黑" w:cs="微软雅黑"/>
          <w:sz w:val="20"/>
          <w:szCs w:val="20"/>
        </w:rPr>
      </w:pPr>
      <w:r>
        <w:rPr>
          <w:rFonts w:hint="eastAsia" w:ascii="微软雅黑" w:hAnsi="微软雅黑" w:cs="微软雅黑"/>
          <w:sz w:val="20"/>
          <w:szCs w:val="20"/>
        </w:rPr>
        <w:t>图6 结直肠癌系统治疗药物组合</w:t>
      </w:r>
      <w:r>
        <w:rPr>
          <w:rFonts w:hint="eastAsia" w:ascii="微软雅黑" w:hAnsi="微软雅黑" w:cs="微软雅黑"/>
          <w:sz w:val="20"/>
          <w:szCs w:val="20"/>
          <w:vertAlign w:val="superscript"/>
        </w:rPr>
        <w:t>[1]</w:t>
      </w:r>
    </w:p>
    <w:p w14:paraId="1F473F55">
      <w:pPr>
        <w:jc w:val="both"/>
        <w:rPr>
          <w:rFonts w:ascii="微软雅黑" w:hAnsi="微软雅黑" w:cs="微软雅黑"/>
          <w:b/>
          <w:bCs/>
          <w:sz w:val="21"/>
          <w:szCs w:val="21"/>
        </w:rPr>
      </w:pPr>
      <w:r>
        <w:rPr>
          <w:rFonts w:hint="eastAsia" w:ascii="微软雅黑" w:hAnsi="微软雅黑" w:cs="微软雅黑"/>
          <w:b/>
          <w:bCs/>
          <w:sz w:val="21"/>
          <w:szCs w:val="21"/>
        </w:rPr>
        <w:t>4.4 靶向与免疫治疗</w:t>
      </w:r>
    </w:p>
    <w:p w14:paraId="3DAAB7D2">
      <w:pPr>
        <w:ind w:firstLine="420" w:firstLineChars="200"/>
        <w:jc w:val="both"/>
        <w:rPr>
          <w:rFonts w:ascii="微软雅黑" w:hAnsi="微软雅黑" w:cs="微软雅黑"/>
          <w:sz w:val="21"/>
          <w:szCs w:val="21"/>
        </w:rPr>
      </w:pPr>
      <w:r>
        <w:rPr>
          <w:rFonts w:hint="eastAsia" w:ascii="微软雅黑" w:hAnsi="微软雅黑" w:cs="微软雅黑"/>
          <w:sz w:val="21"/>
          <w:szCs w:val="21"/>
        </w:rPr>
        <w:t>目前结直肠癌靶向及免疫治疗主要包括四大类药物：单克隆抗体、抗血管生成抑制剂、特异性位点靶向药以及免疫检查点抑制剂。根据肿瘤突变状态的不同，治疗决策有所不同。</w:t>
      </w:r>
    </w:p>
    <w:p w14:paraId="4BA36163">
      <w:pPr>
        <w:jc w:val="both"/>
        <w:rPr>
          <w:rFonts w:ascii="微软雅黑" w:hAnsi="微软雅黑" w:cs="微软雅黑"/>
          <w:sz w:val="21"/>
          <w:szCs w:val="21"/>
        </w:rPr>
      </w:pPr>
      <w:r>
        <w:rPr>
          <w:rFonts w:hint="eastAsia" w:ascii="微软雅黑" w:hAnsi="微软雅黑" w:cs="微软雅黑"/>
          <w:sz w:val="21"/>
          <w:szCs w:val="21"/>
        </w:rPr>
        <w:t>4.4.1 EGFR单克隆抗体</w:t>
      </w:r>
    </w:p>
    <w:p w14:paraId="506C1BFC">
      <w:pPr>
        <w:ind w:firstLine="420" w:firstLineChars="200"/>
        <w:jc w:val="both"/>
        <w:rPr>
          <w:rFonts w:ascii="微软雅黑" w:hAnsi="微软雅黑" w:cs="微软雅黑"/>
          <w:sz w:val="21"/>
          <w:szCs w:val="21"/>
        </w:rPr>
      </w:pPr>
      <w:r>
        <w:rPr>
          <w:rFonts w:hint="eastAsia" w:ascii="微软雅黑" w:hAnsi="微软雅黑" w:cs="微软雅黑"/>
          <w:sz w:val="21"/>
          <w:szCs w:val="21"/>
        </w:rPr>
        <w:t>大约</w:t>
      </w:r>
      <w:r>
        <w:rPr>
          <w:rFonts w:ascii="微软雅黑" w:hAnsi="微软雅黑" w:cs="微软雅黑"/>
          <w:sz w:val="21"/>
          <w:szCs w:val="21"/>
        </w:rPr>
        <w:t>80％</w:t>
      </w:r>
      <w:r>
        <w:rPr>
          <w:rFonts w:hint="eastAsia" w:ascii="微软雅黑" w:hAnsi="微软雅黑" w:cs="微软雅黑"/>
          <w:sz w:val="21"/>
          <w:szCs w:val="21"/>
        </w:rPr>
        <w:t>左右的结直</w:t>
      </w:r>
      <w:r>
        <w:rPr>
          <w:rFonts w:ascii="微软雅黑" w:hAnsi="微软雅黑" w:cs="微软雅黑"/>
          <w:sz w:val="21"/>
          <w:szCs w:val="21"/>
        </w:rPr>
        <w:t>肠癌表达或过表达EGFR</w:t>
      </w:r>
      <w:r>
        <w:rPr>
          <w:rFonts w:hint="eastAsia" w:ascii="微软雅黑" w:hAnsi="微软雅黑" w:cs="微软雅黑"/>
          <w:sz w:val="21"/>
          <w:szCs w:val="21"/>
        </w:rPr>
        <w:t>，且</w:t>
      </w:r>
      <w:r>
        <w:rPr>
          <w:rFonts w:ascii="微软雅黑" w:hAnsi="微软雅黑" w:cs="微软雅黑"/>
          <w:sz w:val="21"/>
          <w:szCs w:val="21"/>
        </w:rPr>
        <w:t>EGFR过表达</w:t>
      </w:r>
      <w:r>
        <w:rPr>
          <w:rFonts w:hint="eastAsia" w:ascii="微软雅黑" w:hAnsi="微软雅黑" w:cs="微软雅黑"/>
          <w:sz w:val="21"/>
          <w:szCs w:val="21"/>
        </w:rPr>
        <w:t>的结直肠癌患者</w:t>
      </w:r>
      <w:r>
        <w:rPr>
          <w:rFonts w:ascii="微软雅黑" w:hAnsi="微软雅黑" w:cs="微软雅黑"/>
          <w:sz w:val="21"/>
          <w:szCs w:val="21"/>
        </w:rPr>
        <w:t>生存率降低</w:t>
      </w:r>
      <w:r>
        <w:rPr>
          <w:rFonts w:hint="eastAsia" w:ascii="微软雅黑" w:hAnsi="微软雅黑" w:cs="微软雅黑"/>
          <w:sz w:val="21"/>
          <w:szCs w:val="21"/>
        </w:rPr>
        <w:t>、</w:t>
      </w:r>
      <w:r>
        <w:rPr>
          <w:rFonts w:ascii="微软雅黑" w:hAnsi="微软雅黑" w:cs="微软雅黑"/>
          <w:sz w:val="21"/>
          <w:szCs w:val="21"/>
        </w:rPr>
        <w:t>转移</w:t>
      </w:r>
      <w:r>
        <w:rPr>
          <w:rFonts w:hint="eastAsia" w:ascii="微软雅黑" w:hAnsi="微软雅黑" w:cs="微软雅黑"/>
          <w:sz w:val="21"/>
          <w:szCs w:val="21"/>
        </w:rPr>
        <w:t>风</w:t>
      </w:r>
      <w:r>
        <w:rPr>
          <w:rFonts w:ascii="微软雅黑" w:hAnsi="微软雅黑" w:cs="微软雅黑"/>
          <w:sz w:val="21"/>
          <w:szCs w:val="21"/>
        </w:rPr>
        <w:t>险增加。</w:t>
      </w:r>
      <w:r>
        <w:rPr>
          <w:rFonts w:hint="eastAsia" w:ascii="微软雅黑" w:hAnsi="微软雅黑" w:cs="微软雅黑"/>
          <w:sz w:val="21"/>
          <w:szCs w:val="21"/>
        </w:rPr>
        <w:t>EGFR单克隆抗体通过</w:t>
      </w:r>
      <w:r>
        <w:rPr>
          <w:rFonts w:ascii="微软雅黑" w:hAnsi="微软雅黑" w:cs="微软雅黑"/>
          <w:sz w:val="21"/>
          <w:szCs w:val="21"/>
        </w:rPr>
        <w:t>诱饵受体</w:t>
      </w:r>
      <w:r>
        <w:rPr>
          <w:rFonts w:hint="eastAsia" w:ascii="微软雅黑" w:hAnsi="微软雅黑" w:cs="微软雅黑"/>
          <w:sz w:val="21"/>
          <w:szCs w:val="21"/>
        </w:rPr>
        <w:t>与</w:t>
      </w:r>
      <w:r>
        <w:rPr>
          <w:rFonts w:ascii="微软雅黑" w:hAnsi="微软雅黑" w:cs="微软雅黑"/>
          <w:sz w:val="21"/>
          <w:szCs w:val="21"/>
        </w:rPr>
        <w:t>可溶性配体结合阻断</w:t>
      </w:r>
      <w:r>
        <w:rPr>
          <w:rFonts w:hint="eastAsia" w:ascii="微软雅黑" w:hAnsi="微软雅黑" w:cs="微软雅黑"/>
          <w:sz w:val="21"/>
          <w:szCs w:val="21"/>
        </w:rPr>
        <w:t>、</w:t>
      </w:r>
      <w:r>
        <w:rPr>
          <w:rFonts w:ascii="微软雅黑" w:hAnsi="微软雅黑" w:cs="微软雅黑"/>
          <w:sz w:val="21"/>
          <w:szCs w:val="21"/>
        </w:rPr>
        <w:t>抑制受体二聚化</w:t>
      </w:r>
      <w:r>
        <w:rPr>
          <w:rFonts w:hint="eastAsia" w:ascii="微软雅黑" w:hAnsi="微软雅黑" w:cs="微软雅黑"/>
          <w:sz w:val="21"/>
          <w:szCs w:val="21"/>
        </w:rPr>
        <w:t>，或通过与酪氨酸激酶结构域ATP受体口袋结合的方式，使</w:t>
      </w:r>
      <w:r>
        <w:rPr>
          <w:rFonts w:ascii="微软雅黑" w:hAnsi="微软雅黑" w:cs="微软雅黑"/>
          <w:sz w:val="21"/>
          <w:szCs w:val="21"/>
        </w:rPr>
        <w:t>EGFR酪氨酸激酶受体胞外区域被单克隆抗体特异性阻断。</w:t>
      </w:r>
      <w:r>
        <w:rPr>
          <w:rFonts w:hint="eastAsia" w:ascii="微软雅黑" w:hAnsi="微软雅黑" w:cs="微软雅黑"/>
          <w:sz w:val="21"/>
          <w:szCs w:val="21"/>
        </w:rPr>
        <w:t>多项临床数据表明，</w:t>
      </w:r>
      <w:r>
        <w:rPr>
          <w:rFonts w:ascii="微软雅黑" w:hAnsi="微软雅黑" w:cs="微软雅黑"/>
          <w:sz w:val="21"/>
          <w:szCs w:val="21"/>
        </w:rPr>
        <w:t>西妥昔单抗（重组嵌合</w:t>
      </w:r>
      <w:r>
        <w:rPr>
          <w:rFonts w:hint="eastAsia" w:ascii="微软雅黑" w:hAnsi="微软雅黑" w:cs="微软雅黑"/>
          <w:sz w:val="21"/>
          <w:szCs w:val="21"/>
        </w:rPr>
        <w:t>型</w:t>
      </w:r>
      <w:r>
        <w:rPr>
          <w:rFonts w:ascii="微软雅黑" w:hAnsi="微软雅黑" w:cs="微软雅黑"/>
          <w:sz w:val="21"/>
          <w:szCs w:val="21"/>
        </w:rPr>
        <w:t>IgG1单克隆抗体）和帕尼单抗（</w:t>
      </w:r>
      <w:r>
        <w:rPr>
          <w:rFonts w:hint="eastAsia" w:ascii="微软雅黑" w:hAnsi="微软雅黑" w:cs="微软雅黑"/>
          <w:sz w:val="21"/>
          <w:szCs w:val="21"/>
        </w:rPr>
        <w:t>人</w:t>
      </w:r>
      <w:r>
        <w:rPr>
          <w:rFonts w:ascii="微软雅黑" w:hAnsi="微软雅黑" w:cs="微软雅黑"/>
          <w:sz w:val="21"/>
          <w:szCs w:val="21"/>
        </w:rPr>
        <w:t>EGFR特异性抗体）</w:t>
      </w:r>
      <w:r>
        <w:rPr>
          <w:rFonts w:hint="eastAsia" w:ascii="微软雅黑" w:hAnsi="微软雅黑" w:cs="微软雅黑"/>
          <w:sz w:val="21"/>
          <w:szCs w:val="21"/>
        </w:rPr>
        <w:t>能够</w:t>
      </w:r>
      <w:r>
        <w:rPr>
          <w:rFonts w:ascii="微软雅黑" w:hAnsi="微软雅黑" w:cs="微软雅黑"/>
          <w:sz w:val="21"/>
          <w:szCs w:val="21"/>
        </w:rPr>
        <w:t>提高肿瘤的总体缓解率，</w:t>
      </w:r>
      <w:r>
        <w:rPr>
          <w:rFonts w:hint="eastAsia" w:ascii="微软雅黑" w:hAnsi="微软雅黑" w:cs="微软雅黑"/>
          <w:sz w:val="21"/>
          <w:szCs w:val="21"/>
        </w:rPr>
        <w:t>对</w:t>
      </w:r>
      <w:r>
        <w:rPr>
          <w:rFonts w:ascii="微软雅黑" w:hAnsi="微软雅黑" w:cs="微软雅黑"/>
          <w:sz w:val="21"/>
          <w:szCs w:val="21"/>
        </w:rPr>
        <w:t>未接受过化疗及</w:t>
      </w:r>
      <w:r>
        <w:rPr>
          <w:rFonts w:hint="eastAsia" w:ascii="微软雅黑" w:hAnsi="微软雅黑" w:cs="微软雅黑"/>
          <w:sz w:val="21"/>
          <w:szCs w:val="21"/>
        </w:rPr>
        <w:t>化疗难治型</w:t>
      </w:r>
      <w:r>
        <w:rPr>
          <w:rFonts w:ascii="微软雅黑" w:hAnsi="微软雅黑" w:cs="微软雅黑"/>
          <w:sz w:val="21"/>
          <w:szCs w:val="21"/>
        </w:rPr>
        <w:t>患者</w:t>
      </w:r>
      <w:r>
        <w:rPr>
          <w:rFonts w:hint="eastAsia" w:ascii="微软雅黑" w:hAnsi="微软雅黑" w:cs="微软雅黑"/>
          <w:sz w:val="21"/>
          <w:szCs w:val="21"/>
        </w:rPr>
        <w:t>有效，从而</w:t>
      </w:r>
      <w:r>
        <w:rPr>
          <w:rFonts w:ascii="微软雅黑" w:hAnsi="微软雅黑" w:cs="微软雅黑"/>
          <w:sz w:val="21"/>
          <w:szCs w:val="21"/>
        </w:rPr>
        <w:t>改善转移性结直肠癌患者的无进展生存期</w:t>
      </w:r>
      <w:r>
        <w:rPr>
          <w:rFonts w:hint="eastAsia" w:ascii="微软雅黑" w:hAnsi="微软雅黑" w:cs="微软雅黑"/>
          <w:sz w:val="21"/>
          <w:szCs w:val="21"/>
        </w:rPr>
        <w:t>（PFS）</w:t>
      </w:r>
      <w:r>
        <w:rPr>
          <w:rFonts w:ascii="微软雅黑" w:hAnsi="微软雅黑" w:cs="微软雅黑"/>
          <w:sz w:val="21"/>
          <w:szCs w:val="21"/>
        </w:rPr>
        <w:t>甚至总体生存期</w:t>
      </w:r>
      <w:r>
        <w:rPr>
          <w:rFonts w:hint="eastAsia" w:ascii="微软雅黑" w:hAnsi="微软雅黑" w:cs="微软雅黑"/>
          <w:sz w:val="21"/>
          <w:szCs w:val="21"/>
        </w:rPr>
        <w:t>（OS）</w:t>
      </w:r>
      <w:r>
        <w:rPr>
          <w:rFonts w:ascii="微软雅黑" w:hAnsi="微软雅黑" w:cs="微软雅黑"/>
          <w:sz w:val="21"/>
          <w:szCs w:val="21"/>
        </w:rPr>
        <w:t>。</w:t>
      </w:r>
      <w:r>
        <w:rPr>
          <w:rFonts w:hint="eastAsia" w:ascii="微软雅黑" w:hAnsi="微软雅黑" w:cs="微软雅黑"/>
          <w:sz w:val="21"/>
          <w:szCs w:val="21"/>
        </w:rPr>
        <w:t>值得注意的是，可能由于右半结直肠癌与左半结肠肿瘤的胚胎起源不同（图4），在一线转移瘤治疗中，右半结直肠癌使用EGFR单抗治疗获益较左半结肠癌差异显著</w:t>
      </w:r>
      <w:r>
        <w:rPr>
          <w:rFonts w:hint="eastAsia" w:ascii="微软雅黑" w:hAnsi="微软雅黑" w:cs="微软雅黑"/>
          <w:sz w:val="21"/>
          <w:szCs w:val="21"/>
          <w:vertAlign w:val="superscript"/>
        </w:rPr>
        <w:t>[51]</w:t>
      </w:r>
      <w:r>
        <w:rPr>
          <w:rFonts w:hint="eastAsia" w:ascii="微软雅黑" w:hAnsi="微软雅黑" w:cs="微软雅黑"/>
          <w:sz w:val="21"/>
          <w:szCs w:val="21"/>
        </w:rPr>
        <w:t>，并在多项随机研究合并分析中得到证实</w:t>
      </w:r>
      <w:r>
        <w:rPr>
          <w:rFonts w:hint="eastAsia" w:ascii="微软雅黑" w:hAnsi="微软雅黑" w:cs="微软雅黑"/>
          <w:sz w:val="21"/>
          <w:szCs w:val="21"/>
          <w:vertAlign w:val="superscript"/>
        </w:rPr>
        <w:t>[52]</w:t>
      </w:r>
      <w:r>
        <w:rPr>
          <w:rFonts w:hint="eastAsia" w:ascii="微软雅黑" w:hAnsi="微软雅黑" w:cs="微软雅黑"/>
          <w:sz w:val="21"/>
          <w:szCs w:val="21"/>
        </w:rPr>
        <w:t>。除了侧边性，结直肠癌接受EGFR单抗治疗前，还应该进行RAS和RAF (KRAS、NRAS和BRAF)突变检测</w:t>
      </w:r>
      <w:r>
        <w:rPr>
          <w:rFonts w:hint="eastAsia" w:ascii="微软雅黑" w:hAnsi="微软雅黑" w:cs="微软雅黑"/>
          <w:sz w:val="21"/>
          <w:szCs w:val="21"/>
          <w:vertAlign w:val="superscript"/>
        </w:rPr>
        <w:t>[53,54]</w:t>
      </w:r>
      <w:r>
        <w:rPr>
          <w:rFonts w:hint="eastAsia" w:ascii="微软雅黑" w:hAnsi="微软雅黑" w:cs="微软雅黑"/>
          <w:sz w:val="21"/>
          <w:szCs w:val="21"/>
        </w:rPr>
        <w:t>，携带KRAS、NRAS、BRAF</w:t>
      </w:r>
      <w:r>
        <w:rPr>
          <w:rFonts w:ascii="微软雅黑" w:hAnsi="微软雅黑" w:cs="微软雅黑"/>
          <w:sz w:val="21"/>
          <w:szCs w:val="21"/>
        </w:rPr>
        <w:t>激活突变</w:t>
      </w:r>
      <w:r>
        <w:rPr>
          <w:rFonts w:hint="eastAsia" w:ascii="微软雅黑" w:hAnsi="微软雅黑" w:cs="微软雅黑"/>
          <w:sz w:val="21"/>
          <w:szCs w:val="21"/>
        </w:rPr>
        <w:t>的肿瘤对西妥昔单抗、帕尼单抗无效</w:t>
      </w:r>
      <w:r>
        <w:rPr>
          <w:rFonts w:hint="eastAsia" w:ascii="微软雅黑" w:hAnsi="微软雅黑" w:cs="微软雅黑"/>
          <w:sz w:val="21"/>
          <w:szCs w:val="21"/>
          <w:vertAlign w:val="superscript"/>
        </w:rPr>
        <w:t>[55,56]</w:t>
      </w:r>
      <w:r>
        <w:rPr>
          <w:rFonts w:hint="eastAsia" w:ascii="微软雅黑" w:hAnsi="微软雅黑" w:cs="微软雅黑"/>
          <w:sz w:val="21"/>
          <w:szCs w:val="21"/>
        </w:rPr>
        <w:t>。</w:t>
      </w:r>
    </w:p>
    <w:p w14:paraId="4D9A884F">
      <w:pPr>
        <w:jc w:val="both"/>
        <w:rPr>
          <w:rFonts w:ascii="微软雅黑" w:hAnsi="微软雅黑" w:cs="微软雅黑"/>
          <w:sz w:val="21"/>
          <w:szCs w:val="21"/>
        </w:rPr>
      </w:pPr>
      <w:r>
        <w:rPr>
          <w:rFonts w:hint="eastAsia" w:ascii="微软雅黑" w:hAnsi="微软雅黑" w:cs="微软雅黑"/>
          <w:sz w:val="21"/>
          <w:szCs w:val="21"/>
        </w:rPr>
        <w:t>4.4.2抗血管生成抑制剂</w:t>
      </w:r>
    </w:p>
    <w:p w14:paraId="52A242BE">
      <w:pPr>
        <w:ind w:firstLine="420" w:firstLineChars="200"/>
        <w:jc w:val="both"/>
        <w:rPr>
          <w:rFonts w:ascii="微软雅黑" w:hAnsi="微软雅黑" w:cs="微软雅黑"/>
          <w:sz w:val="21"/>
          <w:szCs w:val="21"/>
        </w:rPr>
      </w:pPr>
      <w:r>
        <w:rPr>
          <w:rFonts w:hint="eastAsia" w:ascii="微软雅黑" w:hAnsi="微软雅黑" w:cs="微软雅黑"/>
          <w:sz w:val="21"/>
          <w:szCs w:val="21"/>
        </w:rPr>
        <w:t>肿瘤达到临界尺寸</w:t>
      </w:r>
      <w:r>
        <w:rPr>
          <w:rFonts w:hint="eastAsia" w:ascii="微软雅黑" w:hAnsi="微软雅黑" w:cs="微软雅黑"/>
          <w:sz w:val="21"/>
          <w:szCs w:val="21"/>
          <w:vertAlign w:val="superscript"/>
        </w:rPr>
        <w:t>[57]</w:t>
      </w:r>
      <w:r>
        <w:rPr>
          <w:rFonts w:hint="eastAsia" w:ascii="微软雅黑" w:hAnsi="微软雅黑" w:cs="微软雅黑"/>
          <w:sz w:val="21"/>
          <w:szCs w:val="21"/>
        </w:rPr>
        <w:t>就会建立自身血管网络，肿瘤血管生成的主要有效分泌糖蛋白VEGF-A能够与VEGFR-1和VEGFR-2结合。VEGF-A由许多肿瘤和基质细胞产生，可促进内皮细胞增殖、迁移并增加血管通透性。此外，VEGF是多种肿瘤细胞的生长因子，能够特异性作用于转移性结直肠癌，但作用机制尚未完全明确。目前尚无预测抗血管生成药物的生物标志物。</w:t>
      </w:r>
    </w:p>
    <w:p w14:paraId="3E0B2363">
      <w:pPr>
        <w:ind w:firstLine="420" w:firstLineChars="200"/>
        <w:jc w:val="both"/>
        <w:rPr>
          <w:rFonts w:ascii="微软雅黑" w:hAnsi="微软雅黑" w:cs="微软雅黑"/>
          <w:sz w:val="21"/>
          <w:szCs w:val="21"/>
        </w:rPr>
      </w:pPr>
      <w:r>
        <w:rPr>
          <w:rFonts w:hint="eastAsia" w:ascii="微软雅黑" w:hAnsi="微软雅黑" w:cs="微软雅黑"/>
          <w:sz w:val="21"/>
          <w:szCs w:val="21"/>
        </w:rPr>
        <w:t>贝伐珠单抗是一种针对血管生成的VEGF单克隆抗体，首个被批准用于转移性结直肠癌的生物制剂，也是少数在疾病进展后继续治疗仍可使患者获益的药物之一。贝伐珠单抗联合5-氟尿嘧啶与伊立替康联合贝伐珠单抗在III期临床试验中，与单纯化疗相比患者的中位生存期和总生存期（OS）显著改善。接受氟嘧啶和奥沙利铂联合治疗的患者中，加入贝伐珠单抗能够显著改善PFS。同时，与单纯化疗相比，贝伐珠单抗和5-氟尿嘧啶/奥沙利铂的组合也能够使难治性转移性结直肠癌患者中位PFS和OS明显延长</w:t>
      </w:r>
      <w:r>
        <w:rPr>
          <w:rFonts w:hint="eastAsia" w:ascii="微软雅黑" w:hAnsi="微软雅黑" w:cs="微软雅黑"/>
          <w:sz w:val="21"/>
          <w:szCs w:val="21"/>
          <w:vertAlign w:val="superscript"/>
        </w:rPr>
        <w:t>[58]</w:t>
      </w:r>
      <w:r>
        <w:rPr>
          <w:rFonts w:hint="eastAsia" w:ascii="微软雅黑" w:hAnsi="微软雅黑" w:cs="微软雅黑"/>
          <w:sz w:val="21"/>
          <w:szCs w:val="21"/>
        </w:rPr>
        <w:t>。</w:t>
      </w:r>
    </w:p>
    <w:p w14:paraId="456D57F8">
      <w:pPr>
        <w:ind w:firstLine="420" w:firstLineChars="200"/>
        <w:jc w:val="both"/>
        <w:rPr>
          <w:rFonts w:ascii="微软雅黑" w:hAnsi="微软雅黑" w:cs="微软雅黑"/>
          <w:sz w:val="21"/>
          <w:szCs w:val="21"/>
        </w:rPr>
      </w:pPr>
      <w:r>
        <w:rPr>
          <w:rFonts w:hint="eastAsia" w:ascii="微软雅黑" w:hAnsi="微软雅黑" w:cs="微软雅黑"/>
          <w:sz w:val="21"/>
          <w:szCs w:val="21"/>
        </w:rPr>
        <w:t>其它批准用于转移性结直肠癌患者的抗VEGF药物包括阿柏西普、雷莫西尤单抗和瑞戈非尼，以及呋喹替尼等国产药物。阿柏西普是一种重组融合蛋白，作为血管内皮生长因子（VEGF）的可溶性诱饵受体，作用于靶点VEGF-A、VEGF-B和胎盘生长因子（PIGF），比贝伐珠单抗具有更广泛的抗血管生成活性。当与FOLFIRI组合用于转移性疾病治疗的二线治疗时，阿柏西普可改善患者PFS和OS</w:t>
      </w:r>
      <w:r>
        <w:rPr>
          <w:rFonts w:hint="eastAsia" w:ascii="微软雅黑" w:hAnsi="微软雅黑" w:cs="微软雅黑"/>
          <w:sz w:val="21"/>
          <w:szCs w:val="21"/>
          <w:vertAlign w:val="superscript"/>
        </w:rPr>
        <w:t>[59]</w:t>
      </w:r>
      <w:r>
        <w:rPr>
          <w:rFonts w:hint="eastAsia" w:ascii="微软雅黑" w:hAnsi="微软雅黑" w:cs="微软雅黑"/>
          <w:sz w:val="21"/>
          <w:szCs w:val="21"/>
        </w:rPr>
        <w:t>。</w:t>
      </w:r>
    </w:p>
    <w:p w14:paraId="0FB0CDB5">
      <w:pPr>
        <w:jc w:val="both"/>
        <w:rPr>
          <w:rFonts w:ascii="微软雅黑" w:hAnsi="微软雅黑" w:cs="微软雅黑"/>
          <w:sz w:val="21"/>
          <w:szCs w:val="21"/>
        </w:rPr>
      </w:pPr>
      <w:r>
        <w:rPr>
          <w:rFonts w:hint="eastAsia" w:ascii="微软雅黑" w:hAnsi="微软雅黑" w:cs="微软雅黑"/>
          <w:sz w:val="21"/>
          <w:szCs w:val="21"/>
        </w:rPr>
        <w:t>4.4.3 染色体不稳定（CIN）及RAS基因突变</w:t>
      </w:r>
    </w:p>
    <w:p w14:paraId="19EC1CF3">
      <w:pPr>
        <w:jc w:val="both"/>
        <w:rPr>
          <w:rFonts w:ascii="微软雅黑" w:hAnsi="微软雅黑" w:cs="微软雅黑"/>
          <w:sz w:val="21"/>
          <w:szCs w:val="21"/>
        </w:rPr>
      </w:pPr>
      <w:r>
        <w:rPr>
          <w:rFonts w:hint="eastAsia" w:ascii="微软雅黑" w:hAnsi="微软雅黑" w:cs="微软雅黑"/>
          <w:sz w:val="21"/>
          <w:szCs w:val="21"/>
        </w:rPr>
        <w:t>4.4.3.1 染色体不稳定（CIN）</w:t>
      </w:r>
    </w:p>
    <w:p w14:paraId="3D3602EC">
      <w:pPr>
        <w:ind w:firstLine="420" w:firstLineChars="200"/>
        <w:jc w:val="both"/>
        <w:rPr>
          <w:rFonts w:ascii="微软雅黑" w:hAnsi="微软雅黑" w:cs="微软雅黑"/>
          <w:sz w:val="21"/>
          <w:szCs w:val="21"/>
        </w:rPr>
      </w:pPr>
      <w:r>
        <w:rPr>
          <w:rFonts w:hint="eastAsia" w:ascii="微软雅黑" w:hAnsi="微软雅黑" w:cs="微软雅黑"/>
          <w:sz w:val="21"/>
          <w:szCs w:val="21"/>
        </w:rPr>
        <w:t>CIN 指染色体的全部或大部分不断获得的增加或丢失，包括染色体非整倍体改变，部分染色体缺失、插入、倒置和扩增，导致细胞核型变异，是结直肠癌从正常黏膜上皮-腺瘤-腺癌的组织发生过程中癌基因突变激活和抑癌基因失活渐次改变的经典分子模型</w:t>
      </w:r>
      <w:r>
        <w:rPr>
          <w:rFonts w:hint="eastAsia" w:ascii="微软雅黑" w:hAnsi="微软雅黑" w:cs="微软雅黑"/>
          <w:sz w:val="21"/>
          <w:szCs w:val="21"/>
          <w:vertAlign w:val="superscript"/>
        </w:rPr>
        <w:t>[60]</w:t>
      </w:r>
      <w:r>
        <w:rPr>
          <w:rFonts w:hint="eastAsia" w:ascii="微软雅黑" w:hAnsi="微软雅黑" w:cs="微软雅黑"/>
          <w:sz w:val="21"/>
          <w:szCs w:val="21"/>
        </w:rPr>
        <w:t>，如图 7。涉及的基因变化有原癌基因KRAS、C-SRC、C-MYC的激活，以及至少3个抑癌基因的失活：结肠腺瘤性息肉病（adenomatous polyposis coli，APC）基因、TP53、18号染色质长臂的杂合性缺失（18qLOH）</w:t>
      </w:r>
      <w:r>
        <w:rPr>
          <w:rFonts w:hint="eastAsia" w:ascii="微软雅黑" w:hAnsi="微软雅黑" w:cs="微软雅黑"/>
          <w:sz w:val="21"/>
          <w:szCs w:val="21"/>
          <w:vertAlign w:val="superscript"/>
        </w:rPr>
        <w:t>[61]</w:t>
      </w:r>
      <w:r>
        <w:rPr>
          <w:rFonts w:hint="eastAsia" w:ascii="微软雅黑" w:hAnsi="微软雅黑" w:cs="微软雅黑"/>
          <w:sz w:val="21"/>
          <w:szCs w:val="21"/>
        </w:rPr>
        <w:t>。CIN是导致染色体数量（异倍体）的失衡、亚染色体基因的扩增以及杂合性缺失的高频出现的原因之一。</w:t>
      </w:r>
    </w:p>
    <w:p w14:paraId="51A6C323">
      <w:pPr>
        <w:jc w:val="center"/>
        <w:rPr>
          <w:rFonts w:ascii="微软雅黑" w:hAnsi="微软雅黑" w:cs="微软雅黑"/>
          <w:sz w:val="21"/>
          <w:szCs w:val="21"/>
        </w:rPr>
      </w:pPr>
      <w:r>
        <w:rPr>
          <w:rFonts w:hint="eastAsia" w:ascii="微软雅黑" w:hAnsi="微软雅黑" w:cs="微软雅黑"/>
          <w:sz w:val="21"/>
          <w:szCs w:val="21"/>
        </w:rPr>
        <w:drawing>
          <wp:inline distT="0" distB="0" distL="0" distR="0">
            <wp:extent cx="5164455" cy="2489835"/>
            <wp:effectExtent l="0" t="0" r="17145" b="5715"/>
            <wp:docPr id="1033" name="图片 48" descr="../Library/Containers/com.tencent.qq/Data/Library/Application%20Support/QQ/Users/823908067/QQ/Temp.db/05C1A0B5-D29D-44D7-8AE5-B12732649BF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 name="图片 48" descr="../Library/Containers/com.tencent.qq/Data/Library/Application%20Support/QQ/Users/823908067/QQ/Temp.db/05C1A0B5-D29D-44D7-8AE5-B12732649BFB.pn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a:xfrm>
                      <a:off x="0" y="0"/>
                      <a:ext cx="5164455" cy="2489835"/>
                    </a:xfrm>
                    <a:prstGeom prst="rect">
                      <a:avLst/>
                    </a:prstGeom>
                    <a:noFill/>
                    <a:ln>
                      <a:noFill/>
                    </a:ln>
                  </pic:spPr>
                </pic:pic>
              </a:graphicData>
            </a:graphic>
          </wp:inline>
        </w:drawing>
      </w:r>
    </w:p>
    <w:p w14:paraId="2E084CD8">
      <w:pPr>
        <w:ind w:firstLine="400" w:firstLineChars="200"/>
        <w:jc w:val="center"/>
        <w:rPr>
          <w:rFonts w:ascii="微软雅黑" w:hAnsi="微软雅黑" w:cs="微软雅黑"/>
          <w:sz w:val="21"/>
          <w:szCs w:val="21"/>
        </w:rPr>
      </w:pPr>
      <w:r>
        <w:rPr>
          <w:rFonts w:hint="eastAsia" w:ascii="微软雅黑" w:hAnsi="微软雅黑" w:cs="微软雅黑"/>
          <w:sz w:val="20"/>
          <w:szCs w:val="20"/>
        </w:rPr>
        <w:t>图7 正常黏膜上皮-腺瘤-腺癌途径</w:t>
      </w:r>
    </w:p>
    <w:p w14:paraId="65B4B601">
      <w:pPr>
        <w:ind w:firstLine="420" w:firstLineChars="200"/>
        <w:jc w:val="both"/>
        <w:rPr>
          <w:rFonts w:ascii="微软雅黑" w:hAnsi="微软雅黑" w:cs="微软雅黑"/>
          <w:sz w:val="21"/>
          <w:szCs w:val="21"/>
        </w:rPr>
      </w:pPr>
      <w:r>
        <w:rPr>
          <w:rFonts w:hint="eastAsia" w:ascii="微软雅黑" w:hAnsi="微软雅黑" w:cs="微软雅黑"/>
          <w:sz w:val="21"/>
          <w:szCs w:val="21"/>
        </w:rPr>
        <w:t>散发性结直肠癌变过程最早期的事件是APC基因的缺失。早于KRAS和TP53基因突变。APC基因被称为结直肠癌发生的“门卫基因”。可通过诱导凋亡发挥其“看门”作用，也参与细胞迁移、黏附、转录激活等进程。它的失活与家族性腺瘤性息肉病密切关联。APC通过负性调控转录因子β-连环蛋白参与Wnt信号通路，而Wnt信号通路是调控细胞增殖、分化的关键通路之一，在胚胎发育及肿瘤发生发展过程中起着重要作用。研究证实，APC基因上的多个突变，包括错义突变、移码突变和无义突变等，都会使其蛋白的表达量下降、不表达或截短，产生突变表型，使其无法与β-连环蛋白结合组成三聚体复合物“GSK-3β、APC、AXIN”。磷酸化降解时，β-连环蛋白被持续激活并大量蓄积在细胞核和细胞质中，导致Wnt信号通路功能紊乱、下游的靶基因如C-Myc、细胞周期蛋白D1（cyclinD1）和Wnt通路反馈调节因子等转录持续增加，引发细胞增殖失控</w:t>
      </w:r>
      <w:r>
        <w:rPr>
          <w:rFonts w:hint="eastAsia" w:ascii="微软雅黑" w:hAnsi="微软雅黑" w:cs="微软雅黑"/>
          <w:sz w:val="21"/>
          <w:szCs w:val="21"/>
          <w:vertAlign w:val="superscript"/>
        </w:rPr>
        <w:t>[87]</w:t>
      </w:r>
      <w:r>
        <w:rPr>
          <w:rFonts w:hint="eastAsia" w:ascii="微软雅黑" w:hAnsi="微软雅黑" w:cs="微软雅黑"/>
          <w:sz w:val="21"/>
          <w:szCs w:val="21"/>
        </w:rPr>
        <w:t>，进而参与了家族性及散发性结直肠癌的发生发展。约有80%的结直肠腺瘤和腺癌中存在APC基因失活突变。</w:t>
      </w:r>
    </w:p>
    <w:p w14:paraId="360B3328">
      <w:pPr>
        <w:jc w:val="both"/>
        <w:rPr>
          <w:rFonts w:ascii="微软雅黑" w:hAnsi="微软雅黑" w:cs="微软雅黑"/>
          <w:sz w:val="21"/>
          <w:szCs w:val="21"/>
        </w:rPr>
      </w:pPr>
      <w:r>
        <w:rPr>
          <w:rFonts w:hint="eastAsia" w:ascii="微软雅黑" w:hAnsi="微软雅黑" w:cs="微软雅黑"/>
          <w:sz w:val="21"/>
          <w:szCs w:val="21"/>
        </w:rPr>
        <w:t>4.4.3.2 RAS基因突变及相关治疗策略</w:t>
      </w:r>
    </w:p>
    <w:p w14:paraId="69766F58">
      <w:pPr>
        <w:ind w:firstLine="420" w:firstLineChars="200"/>
        <w:jc w:val="both"/>
        <w:rPr>
          <w:rFonts w:ascii="微软雅黑" w:hAnsi="微软雅黑" w:cs="微软雅黑"/>
          <w:sz w:val="21"/>
          <w:szCs w:val="21"/>
        </w:rPr>
      </w:pPr>
      <w:r>
        <w:rPr>
          <w:rFonts w:hint="eastAsia" w:ascii="微软雅黑" w:hAnsi="微软雅黑" w:cs="微软雅黑"/>
          <w:sz w:val="21"/>
          <w:szCs w:val="21"/>
        </w:rPr>
        <w:t>CIN的另一重要遗传路径就是KRAS基因突变。KRAS基因属于RAS家族3个亚群（KRAS、HRAS和 NRAS）之一，是这个家族中突变率最高的基因，肠癌突变频率为30%~50%</w:t>
      </w:r>
      <w:r>
        <w:rPr>
          <w:rFonts w:hint="eastAsia" w:ascii="微软雅黑" w:hAnsi="微软雅黑" w:cs="微软雅黑"/>
          <w:sz w:val="21"/>
          <w:szCs w:val="21"/>
          <w:vertAlign w:val="superscript"/>
        </w:rPr>
        <w:t>[62]</w:t>
      </w:r>
      <w:r>
        <w:rPr>
          <w:rFonts w:hint="eastAsia" w:ascii="微软雅黑" w:hAnsi="微软雅黑" w:cs="微软雅黑"/>
          <w:sz w:val="21"/>
          <w:szCs w:val="21"/>
        </w:rPr>
        <w:t>。 RAS蛋白是酪氨酸激酶受体下游效应器，通过不同途径调控细胞众多功能，在细胞分裂、分化、凋亡中起重要作用，突变使Ras GTPase组成型激活，活跃的Ras诱导胞内致癌信号通路增加。其中最有代表性的途径就是丝裂原激活蛋白激酶（MAPK）信号转导途径（Ras-Raf-MEK-ERK）。一旦KRAS基因突变激活，与GDP结合能力降低，GTP取代GDP与Ras结合后，通过Raf激酶磷酸化MAPK激酶（MAP2K），MAP2K再激活MAPK，进而转至细胞核内直接激活转录因子（如C-Myc）促进细胞无限制分裂、增殖。因此，KRAS突变激活是人类多种肿瘤细胞恶性转化的主要原因之一。</w:t>
      </w:r>
    </w:p>
    <w:p w14:paraId="5E68042A">
      <w:pPr>
        <w:ind w:firstLine="420" w:firstLineChars="200"/>
        <w:jc w:val="both"/>
        <w:rPr>
          <w:rFonts w:ascii="微软雅黑" w:hAnsi="微软雅黑" w:cs="微软雅黑"/>
          <w:sz w:val="21"/>
          <w:szCs w:val="21"/>
        </w:rPr>
      </w:pPr>
      <w:r>
        <w:rPr>
          <w:rFonts w:hint="eastAsia" w:ascii="微软雅黑" w:hAnsi="微软雅黑" w:cs="微软雅黑"/>
          <w:sz w:val="21"/>
          <w:szCs w:val="21"/>
        </w:rPr>
        <w:t>对于非MSI型mCRC患者，目前治疗以标准化疗联合或不联合靶向治疗为主。大约50%的CRC患者携带RAS突变，以12和13号密码子突变较为常见。其中，KRAS基因61和146号密码子突变以及NRAS基因12、13和61号密码子突变影响较小</w:t>
      </w:r>
      <w:r>
        <w:rPr>
          <w:rFonts w:hint="eastAsia" w:ascii="微软雅黑" w:hAnsi="微软雅黑" w:cs="微软雅黑"/>
          <w:sz w:val="21"/>
          <w:szCs w:val="21"/>
          <w:vertAlign w:val="superscript"/>
        </w:rPr>
        <w:t>[3]</w:t>
      </w:r>
      <w:r>
        <w:rPr>
          <w:rFonts w:hint="eastAsia" w:ascii="微软雅黑" w:hAnsi="微软雅黑" w:cs="微软雅黑"/>
          <w:sz w:val="21"/>
          <w:szCs w:val="21"/>
        </w:rPr>
        <w:t>。</w:t>
      </w:r>
    </w:p>
    <w:p w14:paraId="70C6C81A">
      <w:pPr>
        <w:ind w:firstLine="420" w:firstLineChars="200"/>
        <w:jc w:val="both"/>
        <w:rPr>
          <w:rFonts w:ascii="微软雅黑" w:hAnsi="微软雅黑" w:cs="微软雅黑"/>
          <w:sz w:val="21"/>
          <w:szCs w:val="21"/>
        </w:rPr>
      </w:pPr>
      <w:r>
        <w:rPr>
          <w:rFonts w:hint="eastAsia" w:ascii="微软雅黑" w:hAnsi="微软雅黑" w:cs="微软雅黑"/>
          <w:sz w:val="21"/>
          <w:szCs w:val="21"/>
        </w:rPr>
        <w:t>结直肠癌NCCN指南指出，每一位患者都需进行RAS基因检测，包括KRAS外显子2、3、4及NRAS外显子2、3、4。临床试验表明，RAS野生型患者在标准化疗基础上联合西妥昔单抗或帕尼单抗可延长生存期</w:t>
      </w:r>
      <w:r>
        <w:rPr>
          <w:rFonts w:hint="eastAsia" w:ascii="微软雅黑" w:hAnsi="微软雅黑" w:cs="微软雅黑"/>
          <w:sz w:val="21"/>
          <w:szCs w:val="21"/>
          <w:vertAlign w:val="superscript"/>
        </w:rPr>
        <w:t>[63]</w:t>
      </w:r>
      <w:r>
        <w:rPr>
          <w:rFonts w:hint="eastAsia" w:ascii="微软雅黑" w:hAnsi="微软雅黑" w:cs="微软雅黑"/>
          <w:sz w:val="21"/>
          <w:szCs w:val="21"/>
        </w:rPr>
        <w:t>。因此，RAS野生型患者可采用化疗联合西妥昔单抗或帕尼单抗进行治疗。而RAS基因突变是EGFR单抗的负性疗效预测指标</w:t>
      </w:r>
      <w:r>
        <w:rPr>
          <w:rFonts w:hint="eastAsia" w:ascii="微软雅黑" w:hAnsi="微软雅黑" w:cs="微软雅黑"/>
          <w:sz w:val="21"/>
          <w:szCs w:val="21"/>
          <w:vertAlign w:val="superscript"/>
        </w:rPr>
        <w:t>[63]</w:t>
      </w:r>
      <w:r>
        <w:rPr>
          <w:rFonts w:hint="eastAsia" w:ascii="微软雅黑" w:hAnsi="微软雅黑" w:cs="微软雅黑"/>
          <w:sz w:val="21"/>
          <w:szCs w:val="21"/>
        </w:rPr>
        <w:t>，即存在RAS突变的肠癌患者不能从EGFR靶点的靶向治疗中受益，不论是EGFR的单抗西妥昔单抗、帕尼单抗，还是厄洛替尼、吉非替尼等小分子酪氨酸酶抑制剂。针对RAS基因突变，目前FDA尚未批准相应靶向治疗药物，但有临床试验新药在研，临床试验疗效较好的主要是KRAS G12C小分子抑制剂索托拉西布（AMG510）、Adagrasib（MRTX849）和VS-6766。</w:t>
      </w:r>
    </w:p>
    <w:p w14:paraId="2D8E3E51">
      <w:pPr>
        <w:ind w:firstLine="420" w:firstLineChars="200"/>
        <w:jc w:val="both"/>
        <w:rPr>
          <w:rFonts w:ascii="微软雅黑" w:hAnsi="微软雅黑" w:cs="微软雅黑"/>
          <w:sz w:val="21"/>
          <w:szCs w:val="21"/>
        </w:rPr>
      </w:pPr>
      <w:r>
        <w:rPr>
          <w:rFonts w:hint="eastAsia" w:ascii="微软雅黑" w:hAnsi="微软雅黑" w:cs="微软雅黑"/>
          <w:sz w:val="21"/>
          <w:szCs w:val="21"/>
        </w:rPr>
        <w:t>索托拉西布能够激发肿瘤微环境中的促炎症反应、提高T细胞活化程度并对肿瘤抗原进行识别，从而产生长期促进抗肿瘤T细胞反应，同时，PD-1免疫检查点抑制剂与索托拉西布抗癌机制互补。I期研究的结果显示，索托拉西布治疗KRAS突变的非小细胞肺癌（NSCLC）患者的总客观缓解率（ORR）为48%，疾病控制率（DCR）为96%，在13名接受剂量为960 mg 索托拉西布的NSCLC患者中，ORR为54%，DCR为100%，同时，AMG510在KRAS突变结直肠癌患者的DCR达到79%</w:t>
      </w:r>
      <w:r>
        <w:rPr>
          <w:rFonts w:hint="eastAsia" w:ascii="微软雅黑" w:hAnsi="微软雅黑" w:cs="微软雅黑"/>
          <w:sz w:val="21"/>
          <w:szCs w:val="21"/>
          <w:vertAlign w:val="superscript"/>
        </w:rPr>
        <w:t>[88]</w:t>
      </w:r>
      <w:r>
        <w:rPr>
          <w:rFonts w:hint="eastAsia" w:ascii="微软雅黑" w:hAnsi="微软雅黑" w:cs="微软雅黑"/>
          <w:sz w:val="21"/>
          <w:szCs w:val="21"/>
        </w:rPr>
        <w:t>。索托拉西布分别获得FDA批准治疗非小细胞肺癌（NSCLC）和结直肠癌（CRC）的孤儿药资格。今年3月9日，CDE（国家药监局）官网更新索托拉西布将在不久后开始招募国内晚期肿瘤患者（JXHL2000044）。</w:t>
      </w:r>
    </w:p>
    <w:p w14:paraId="5FDD9D4E">
      <w:pPr>
        <w:ind w:firstLine="420" w:firstLineChars="200"/>
        <w:jc w:val="both"/>
        <w:rPr>
          <w:rFonts w:ascii="微软雅黑" w:hAnsi="微软雅黑" w:cs="微软雅黑"/>
          <w:sz w:val="21"/>
          <w:szCs w:val="21"/>
        </w:rPr>
      </w:pPr>
      <w:r>
        <w:rPr>
          <w:rFonts w:hint="eastAsia" w:ascii="微软雅黑" w:hAnsi="微软雅黑" w:cs="微软雅黑"/>
          <w:sz w:val="21"/>
          <w:szCs w:val="21"/>
        </w:rPr>
        <w:t>临床前研究中，Adagrasib在阻断 KRAS 依赖性信号转导和癌细胞活力方面具有很高的效力。Adagrasib研发公司Mirati官网数据中，Ⅰ/Ⅰb期临床试验和Ⅱ期临床试验数据显示，Adagrasib单药治疗确认客观缓解率达到45%（23/51），且96%（49/51）的患者能够从Adagrasib单药治疗中获益，在确认获得缓解的患者中，70%（16/23）患者的肿瘤与基线相比缩小40%以上。</w:t>
      </w:r>
    </w:p>
    <w:p w14:paraId="73523253">
      <w:pPr>
        <w:ind w:firstLine="420" w:firstLineChars="200"/>
        <w:jc w:val="both"/>
        <w:rPr>
          <w:rFonts w:ascii="微软雅黑" w:hAnsi="微软雅黑" w:cs="微软雅黑"/>
          <w:sz w:val="21"/>
          <w:szCs w:val="21"/>
        </w:rPr>
      </w:pPr>
      <w:r>
        <w:rPr>
          <w:rFonts w:hint="eastAsia" w:ascii="微软雅黑" w:hAnsi="微软雅黑" w:cs="微软雅黑"/>
          <w:sz w:val="21"/>
          <w:szCs w:val="21"/>
        </w:rPr>
        <w:t>在临床前试验中，VS-6766和Defactinib联用可更全面地抑制RAS和RAF突变肿瘤细胞，在AACR 2020年会上公布了VS-6766和FAK抑制剂Defactinib联用治疗RAS突变的实体瘤患者的I期临床试验结果，研究中10例KRAS突变非小细胞肺癌患者中有7例患者肿瘤缩小，其中1例G12V突变患者肿瘤缩小超过30%。</w:t>
      </w:r>
    </w:p>
    <w:p w14:paraId="2AA6E1AE">
      <w:pPr>
        <w:ind w:firstLine="420" w:firstLineChars="200"/>
        <w:jc w:val="both"/>
        <w:rPr>
          <w:rFonts w:ascii="微软雅黑" w:hAnsi="微软雅黑" w:cs="微软雅黑"/>
          <w:sz w:val="21"/>
          <w:szCs w:val="21"/>
        </w:rPr>
      </w:pPr>
      <w:r>
        <w:rPr>
          <w:rFonts w:hint="eastAsia" w:ascii="微软雅黑" w:hAnsi="微软雅黑" w:cs="微软雅黑"/>
          <w:sz w:val="21"/>
          <w:szCs w:val="21"/>
        </w:rPr>
        <w:t>此外，也有相关研究发现K药单药或联合化疗、FAK抑制剂Defactinib单药、MEK抑制剂曲美替尼单药或联合化疗治疗KRAS突变有一定疗效。越来越多的KRAS抑制剂浮出水面，RAS基因突变患者病情得以缓解，期待后续报道为患者带来福音。</w:t>
      </w:r>
    </w:p>
    <w:p w14:paraId="69B28A9C">
      <w:pPr>
        <w:jc w:val="both"/>
        <w:rPr>
          <w:rFonts w:ascii="微软雅黑" w:hAnsi="微软雅黑" w:cs="微软雅黑"/>
          <w:sz w:val="21"/>
          <w:szCs w:val="21"/>
        </w:rPr>
      </w:pPr>
      <w:r>
        <w:rPr>
          <w:rFonts w:hint="eastAsia" w:ascii="微软雅黑" w:hAnsi="微软雅黑" w:cs="微软雅黑"/>
          <w:sz w:val="21"/>
          <w:szCs w:val="21"/>
        </w:rPr>
        <w:t>4.4.4 靶向药及相关基因</w:t>
      </w:r>
    </w:p>
    <w:p w14:paraId="59F89A05">
      <w:pPr>
        <w:jc w:val="both"/>
        <w:rPr>
          <w:rFonts w:ascii="微软雅黑" w:hAnsi="微软雅黑" w:cs="微软雅黑"/>
          <w:sz w:val="21"/>
          <w:szCs w:val="21"/>
        </w:rPr>
      </w:pPr>
      <w:bookmarkStart w:id="205" w:name="OLE_LINK6"/>
      <w:r>
        <w:rPr>
          <w:rFonts w:hint="eastAsia" w:ascii="微软雅黑" w:hAnsi="微软雅黑" w:cs="微软雅黑"/>
          <w:sz w:val="21"/>
          <w:szCs w:val="21"/>
        </w:rPr>
        <w:t>4.4.4</w:t>
      </w:r>
      <w:bookmarkEnd w:id="205"/>
      <w:r>
        <w:rPr>
          <w:rFonts w:hint="eastAsia" w:ascii="微软雅黑" w:hAnsi="微软雅黑" w:cs="微软雅黑"/>
          <w:sz w:val="21"/>
          <w:szCs w:val="21"/>
        </w:rPr>
        <w:t>.1 BRAF V600E突变型及相关治疗</w:t>
      </w:r>
    </w:p>
    <w:p w14:paraId="55233E82">
      <w:pPr>
        <w:ind w:firstLine="420" w:firstLineChars="200"/>
        <w:jc w:val="both"/>
        <w:rPr>
          <w:rFonts w:ascii="微软雅黑" w:hAnsi="微软雅黑" w:cs="微软雅黑"/>
          <w:sz w:val="21"/>
          <w:szCs w:val="21"/>
        </w:rPr>
      </w:pPr>
      <w:r>
        <w:rPr>
          <w:rFonts w:hint="eastAsia" w:ascii="微软雅黑" w:hAnsi="微软雅黑" w:cs="微软雅黑"/>
          <w:sz w:val="21"/>
          <w:szCs w:val="21"/>
        </w:rPr>
        <w:t>在mCRC中，BRAF突变率为5%~10%</w:t>
      </w:r>
      <w:r>
        <w:rPr>
          <w:rFonts w:hint="eastAsia" w:ascii="微软雅黑" w:hAnsi="微软雅黑" w:cs="微软雅黑"/>
          <w:sz w:val="21"/>
          <w:szCs w:val="21"/>
          <w:vertAlign w:val="superscript"/>
        </w:rPr>
        <w:t>[64]</w:t>
      </w:r>
      <w:r>
        <w:rPr>
          <w:rFonts w:hint="eastAsia" w:ascii="微软雅黑" w:hAnsi="微软雅黑" w:cs="微软雅黑"/>
          <w:sz w:val="21"/>
          <w:szCs w:val="21"/>
        </w:rPr>
        <w:t>。最常见突变位点是位于第15号外显子第1799位核苷酸上（T突变为A），导致其编码的缬氨酸被谷氨酸替代（V600E），该突变可致MAPK信号通路持续激活</w:t>
      </w:r>
      <w:r>
        <w:rPr>
          <w:rFonts w:hint="eastAsia" w:ascii="微软雅黑" w:hAnsi="微软雅黑" w:cs="微软雅黑"/>
          <w:sz w:val="21"/>
          <w:szCs w:val="21"/>
          <w:vertAlign w:val="superscript"/>
        </w:rPr>
        <w:t>[65]</w:t>
      </w:r>
      <w:r>
        <w:rPr>
          <w:rFonts w:hint="eastAsia" w:ascii="微软雅黑" w:hAnsi="微软雅黑" w:cs="微软雅黑"/>
          <w:sz w:val="21"/>
          <w:szCs w:val="21"/>
        </w:rPr>
        <w:t>。具有BRAF V600E突变的肿瘤患者往往预示着较差的预后。目前针对BRAF V600E的黑色素瘤药物已经获批，但在BRAF V600E突变型黑色素瘤患者显著获益的单药达拉非尼（Dabrafenib）或维莫非尼（Vemurafenib）却未在mCRC治疗中取得成功。《专家共识》推荐，对于BRAF V600E突变患者，如果一般状况较好，可考虑FOLFOXIRI±贝伐珠单抗的一线治疗。同时，目前很多临床试验将目光着眼于BRAF V600E抑制剂三联法，如BRAF、MEK和EGFR抑制剂的三联疗法以及BRAF、EGFR抑制剂和伊立替康的三联疗法，用以寻找治疗的新方案。目前，康奈非尼与西妥昔单抗或帕尼单抗联合方案治疗BRAF V600E突变阳性患者已写入结直肠癌NCCN指南。</w:t>
      </w:r>
    </w:p>
    <w:p w14:paraId="1626571E">
      <w:pPr>
        <w:jc w:val="both"/>
        <w:rPr>
          <w:rFonts w:ascii="微软雅黑" w:hAnsi="微软雅黑" w:cs="微软雅黑"/>
          <w:sz w:val="21"/>
          <w:szCs w:val="21"/>
        </w:rPr>
      </w:pPr>
      <w:r>
        <w:rPr>
          <w:rFonts w:hint="eastAsia" w:ascii="微软雅黑" w:hAnsi="微软雅黑" w:cs="微软雅黑"/>
          <w:sz w:val="21"/>
          <w:szCs w:val="21"/>
        </w:rPr>
        <w:t>4.4.4.2 HER2突变型及相关治疗</w:t>
      </w:r>
    </w:p>
    <w:p w14:paraId="4D0F413E">
      <w:pPr>
        <w:ind w:firstLine="420" w:firstLineChars="200"/>
        <w:jc w:val="both"/>
        <w:rPr>
          <w:rFonts w:ascii="微软雅黑" w:hAnsi="微软雅黑" w:cs="微软雅黑"/>
          <w:sz w:val="21"/>
          <w:szCs w:val="21"/>
        </w:rPr>
      </w:pPr>
      <w:r>
        <w:rPr>
          <w:rFonts w:hint="eastAsia" w:ascii="微软雅黑" w:hAnsi="微软雅黑" w:cs="微软雅黑"/>
          <w:sz w:val="21"/>
          <w:szCs w:val="21"/>
        </w:rPr>
        <w:t>约2%-11%的mCRC中存在HER2扩增，且在左半结肠癌和直肠癌中较为常见，也是EGFR单克隆抗体耐药的原因之一</w:t>
      </w:r>
      <w:r>
        <w:rPr>
          <w:rFonts w:hint="eastAsia" w:ascii="微软雅黑" w:hAnsi="微软雅黑" w:cs="微软雅黑"/>
          <w:sz w:val="21"/>
          <w:szCs w:val="21"/>
          <w:vertAlign w:val="superscript"/>
        </w:rPr>
        <w:t>[66]</w:t>
      </w:r>
      <w:r>
        <w:rPr>
          <w:rFonts w:hint="eastAsia" w:ascii="微软雅黑" w:hAnsi="微软雅黑" w:cs="微软雅黑"/>
          <w:sz w:val="21"/>
          <w:szCs w:val="21"/>
        </w:rPr>
        <w:t>。HERACLES Ⅱ期研究评估了曲妥珠单抗和拉帕替尼在27例HER2阳性/KRAS基因2号外显子野生型mCRC患者中的疗效，这些患者在包括西妥昔单抗在内的其它治疗中都取得了进展，其ORR为30%</w:t>
      </w:r>
      <w:r>
        <w:rPr>
          <w:rFonts w:hint="eastAsia" w:ascii="微软雅黑" w:hAnsi="微软雅黑" w:cs="微软雅黑"/>
          <w:sz w:val="21"/>
          <w:szCs w:val="21"/>
          <w:vertAlign w:val="superscript"/>
        </w:rPr>
        <w:t>[67]</w:t>
      </w:r>
      <w:r>
        <w:rPr>
          <w:rFonts w:hint="eastAsia" w:ascii="微软雅黑" w:hAnsi="微软雅黑" w:cs="微软雅黑"/>
          <w:sz w:val="21"/>
          <w:szCs w:val="21"/>
        </w:rPr>
        <w:t>。MyPathway Ⅱ期篮子试验结果显示，57名可评估患者中，1名患者具有完全的客观缓解，17名患者部分缓解，ORR为32％（95％CI 20-45）</w:t>
      </w:r>
      <w:r>
        <w:rPr>
          <w:rFonts w:hint="eastAsia" w:ascii="微软雅黑" w:hAnsi="微软雅黑" w:cs="微软雅黑"/>
          <w:sz w:val="21"/>
          <w:szCs w:val="21"/>
          <w:vertAlign w:val="superscript"/>
        </w:rPr>
        <w:t>[68]</w:t>
      </w:r>
      <w:r>
        <w:rPr>
          <w:rFonts w:hint="eastAsia" w:ascii="微软雅黑" w:hAnsi="微软雅黑" w:cs="微软雅黑"/>
          <w:sz w:val="21"/>
          <w:szCs w:val="21"/>
        </w:rPr>
        <w:t>。结直肠癌NCCN指南推荐HER2扩增阳性且RAS、BRAF野生型患者使用曲妥珠单抗联合帕妥珠单抗或拉帕替尼进行治疗。</w:t>
      </w:r>
    </w:p>
    <w:p w14:paraId="5BAA16BE">
      <w:pPr>
        <w:jc w:val="both"/>
        <w:rPr>
          <w:rFonts w:ascii="微软雅黑" w:hAnsi="微软雅黑" w:cs="微软雅黑"/>
          <w:sz w:val="21"/>
          <w:szCs w:val="21"/>
        </w:rPr>
      </w:pPr>
      <w:r>
        <w:rPr>
          <w:rFonts w:hint="eastAsia" w:ascii="微软雅黑" w:hAnsi="微软雅黑" w:cs="微软雅黑"/>
          <w:sz w:val="21"/>
          <w:szCs w:val="21"/>
        </w:rPr>
        <w:t>4.4.4.3 其它信号通路及相应创新药物</w:t>
      </w:r>
    </w:p>
    <w:p w14:paraId="29579E8F">
      <w:pPr>
        <w:ind w:firstLine="420" w:firstLineChars="200"/>
        <w:jc w:val="both"/>
        <w:rPr>
          <w:rFonts w:ascii="微软雅黑" w:hAnsi="微软雅黑" w:cs="微软雅黑"/>
          <w:sz w:val="21"/>
          <w:szCs w:val="21"/>
        </w:rPr>
      </w:pPr>
      <w:r>
        <w:rPr>
          <w:rFonts w:hint="eastAsia" w:ascii="微软雅黑" w:hAnsi="微软雅黑" w:cs="微软雅黑"/>
          <w:sz w:val="21"/>
          <w:szCs w:val="21"/>
        </w:rPr>
        <w:t>随着二代测序及肿瘤精准医学研究的不断深入，癌症基因组图谱和其它基因组计划在结直肠癌中发现了新的潜在分子靶标和标志物（图8），包括Wnt信号通路、转化生长因子（TGF）-β信号通路以及表皮生长因子（EGF）受体信号通路等。希望可以在未来用于指导针对不同亚组患者进行治疗。</w:t>
      </w:r>
    </w:p>
    <w:p w14:paraId="5F051743">
      <w:pPr>
        <w:jc w:val="center"/>
        <w:rPr>
          <w:rFonts w:ascii="微软雅黑" w:hAnsi="微软雅黑" w:cs="微软雅黑"/>
          <w:sz w:val="21"/>
          <w:szCs w:val="21"/>
        </w:rPr>
      </w:pPr>
      <w:r>
        <w:rPr>
          <w:rFonts w:hint="eastAsia" w:ascii="微软雅黑" w:hAnsi="微软雅黑" w:cs="微软雅黑"/>
          <w:sz w:val="21"/>
          <w:szCs w:val="21"/>
        </w:rPr>
        <w:drawing>
          <wp:inline distT="0" distB="0" distL="114300" distR="114300">
            <wp:extent cx="5153660" cy="4201795"/>
            <wp:effectExtent l="0" t="0" r="8890" b="8255"/>
            <wp:docPr id="103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 name="图片 2"/>
                    <pic:cNvPicPr>
                      <a:picLocks noChangeAspect="1"/>
                    </pic:cNvPicPr>
                  </pic:nvPicPr>
                  <pic:blipFill>
                    <a:blip r:embed="rId35"/>
                    <a:stretch>
                      <a:fillRect/>
                    </a:stretch>
                  </pic:blipFill>
                  <pic:spPr>
                    <a:xfrm>
                      <a:off x="0" y="0"/>
                      <a:ext cx="5153660" cy="4201795"/>
                    </a:xfrm>
                    <a:prstGeom prst="rect">
                      <a:avLst/>
                    </a:prstGeom>
                    <a:noFill/>
                    <a:ln>
                      <a:noFill/>
                    </a:ln>
                  </pic:spPr>
                </pic:pic>
              </a:graphicData>
            </a:graphic>
          </wp:inline>
        </w:drawing>
      </w:r>
    </w:p>
    <w:p w14:paraId="56FF8537">
      <w:pPr>
        <w:ind w:firstLine="400" w:firstLineChars="200"/>
        <w:jc w:val="center"/>
        <w:rPr>
          <w:rFonts w:ascii="微软雅黑" w:hAnsi="微软雅黑" w:cs="微软雅黑"/>
          <w:sz w:val="20"/>
          <w:szCs w:val="20"/>
        </w:rPr>
      </w:pPr>
      <w:r>
        <w:rPr>
          <w:rFonts w:hint="eastAsia" w:ascii="微软雅黑" w:hAnsi="微软雅黑" w:cs="微软雅黑"/>
          <w:sz w:val="20"/>
          <w:szCs w:val="20"/>
        </w:rPr>
        <w:t>图8 结肠直肠癌的新药靶点和候选药物</w:t>
      </w:r>
      <w:r>
        <w:rPr>
          <w:rFonts w:hint="eastAsia" w:ascii="微软雅黑" w:hAnsi="微软雅黑" w:cs="微软雅黑"/>
          <w:sz w:val="20"/>
          <w:szCs w:val="20"/>
          <w:vertAlign w:val="superscript"/>
        </w:rPr>
        <w:t>[3]</w:t>
      </w:r>
    </w:p>
    <w:p w14:paraId="02F0DEB4">
      <w:pPr>
        <w:jc w:val="both"/>
        <w:rPr>
          <w:rFonts w:ascii="微软雅黑" w:hAnsi="微软雅黑" w:cs="微软雅黑"/>
          <w:sz w:val="21"/>
          <w:szCs w:val="21"/>
        </w:rPr>
      </w:pPr>
      <w:r>
        <w:rPr>
          <w:rFonts w:hint="eastAsia" w:ascii="微软雅黑" w:hAnsi="微软雅黑" w:cs="微软雅黑"/>
          <w:sz w:val="21"/>
          <w:szCs w:val="21"/>
        </w:rPr>
        <w:t>4.4.5  免疫检查点抑制剂</w:t>
      </w:r>
    </w:p>
    <w:p w14:paraId="3512A4D5">
      <w:pPr>
        <w:jc w:val="both"/>
        <w:rPr>
          <w:rFonts w:ascii="微软雅黑" w:hAnsi="微软雅黑" w:cs="微软雅黑"/>
          <w:sz w:val="21"/>
          <w:szCs w:val="21"/>
        </w:rPr>
      </w:pPr>
      <w:r>
        <w:rPr>
          <w:rFonts w:hint="eastAsia" w:ascii="微软雅黑" w:hAnsi="微软雅黑" w:cs="微软雅黑"/>
          <w:sz w:val="21"/>
          <w:szCs w:val="21"/>
        </w:rPr>
        <w:t>4.4.5.1 DNA错配修复缺陷（dMMR）与微卫星不稳定（MSI）</w:t>
      </w:r>
    </w:p>
    <w:p w14:paraId="31AFB470">
      <w:pPr>
        <w:ind w:firstLine="420" w:firstLineChars="200"/>
        <w:jc w:val="both"/>
        <w:rPr>
          <w:rFonts w:ascii="微软雅黑" w:hAnsi="微软雅黑" w:cs="微软雅黑"/>
          <w:sz w:val="21"/>
          <w:szCs w:val="21"/>
        </w:rPr>
      </w:pPr>
      <w:r>
        <w:rPr>
          <w:rFonts w:hint="eastAsia" w:ascii="微软雅黑" w:hAnsi="微软雅黑" w:cs="微软雅黑"/>
          <w:sz w:val="21"/>
          <w:szCs w:val="21"/>
        </w:rPr>
        <w:t>错配修复基因表达缺失可以引起微卫星不稳定，dMMR或MSI约占全部肿瘤的4%。微卫星是指DNA中核苷酸的短重复序列，广泛分布于整个DNA序列中，在DNA复制过程中易发生错误。在正常细胞中，这类复制错误可由错配修复（mismatch repair，MMR）基因（MLH1、MSH2、MSH6、PMS2）编码的MMR蛋白来修复。肿瘤细胞由于MMR系统功能缺失，导致MSI的出现</w:t>
      </w:r>
      <w:r>
        <w:rPr>
          <w:rFonts w:hint="eastAsia" w:ascii="微软雅黑" w:hAnsi="微软雅黑" w:cs="微软雅黑"/>
          <w:sz w:val="21"/>
          <w:szCs w:val="21"/>
          <w:vertAlign w:val="superscript"/>
        </w:rPr>
        <w:t>[69]</w:t>
      </w:r>
      <w:r>
        <w:rPr>
          <w:rFonts w:hint="eastAsia" w:ascii="微软雅黑" w:hAnsi="微软雅黑" w:cs="微软雅黑"/>
          <w:sz w:val="21"/>
          <w:szCs w:val="21"/>
        </w:rPr>
        <w:t>。此外，微卫星不稳定可导致多种抑癌基因如转化因子β受体2（TGFBR2）和BAX的失活以及BRAF等重要原癌基因活化，从而促进结直肠癌的发生</w:t>
      </w:r>
      <w:r>
        <w:rPr>
          <w:rFonts w:hint="eastAsia" w:ascii="微软雅黑" w:hAnsi="微软雅黑" w:cs="微软雅黑"/>
          <w:sz w:val="21"/>
          <w:szCs w:val="21"/>
          <w:vertAlign w:val="superscript"/>
        </w:rPr>
        <w:t>[70]</w:t>
      </w:r>
      <w:r>
        <w:rPr>
          <w:rFonts w:hint="eastAsia" w:ascii="微软雅黑" w:hAnsi="微软雅黑" w:cs="微软雅黑"/>
          <w:sz w:val="21"/>
          <w:szCs w:val="21"/>
        </w:rPr>
        <w:t>，如图9 。</w:t>
      </w:r>
    </w:p>
    <w:p w14:paraId="57BD1449">
      <w:pPr>
        <w:jc w:val="both"/>
        <w:rPr>
          <w:rFonts w:ascii="微软雅黑" w:hAnsi="微软雅黑" w:cs="微软雅黑"/>
          <w:sz w:val="21"/>
          <w:szCs w:val="21"/>
        </w:rPr>
      </w:pPr>
      <w:r>
        <w:rPr>
          <w:rFonts w:hint="eastAsia" w:ascii="微软雅黑" w:hAnsi="微软雅黑" w:cs="微软雅黑"/>
          <w:sz w:val="21"/>
          <w:szCs w:val="21"/>
        </w:rPr>
        <w:drawing>
          <wp:inline distT="0" distB="0" distL="0" distR="0">
            <wp:extent cx="5221605" cy="2280285"/>
            <wp:effectExtent l="0" t="0" r="17145" b="5715"/>
            <wp:docPr id="103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 name="图片 10"/>
                    <pic:cNvPicPr>
                      <a:picLocks noChangeAspect="1"/>
                    </pic:cNvPicPr>
                  </pic:nvPicPr>
                  <pic:blipFill>
                    <a:blip r:embed="rId36" cstate="print"/>
                    <a:stretch>
                      <a:fillRect/>
                    </a:stretch>
                  </pic:blipFill>
                  <pic:spPr>
                    <a:xfrm>
                      <a:off x="0" y="0"/>
                      <a:ext cx="5221605" cy="2280285"/>
                    </a:xfrm>
                    <a:prstGeom prst="rect">
                      <a:avLst/>
                    </a:prstGeom>
                  </pic:spPr>
                </pic:pic>
              </a:graphicData>
            </a:graphic>
          </wp:inline>
        </w:drawing>
      </w:r>
    </w:p>
    <w:p w14:paraId="6F9CD058">
      <w:pPr>
        <w:ind w:firstLine="400" w:firstLineChars="200"/>
        <w:jc w:val="center"/>
        <w:rPr>
          <w:rFonts w:ascii="微软雅黑" w:hAnsi="微软雅黑" w:cs="微软雅黑"/>
          <w:sz w:val="20"/>
          <w:szCs w:val="20"/>
        </w:rPr>
      </w:pPr>
      <w:r>
        <w:rPr>
          <w:rFonts w:hint="eastAsia" w:ascii="微软雅黑" w:hAnsi="微软雅黑" w:cs="微软雅黑"/>
          <w:sz w:val="20"/>
          <w:szCs w:val="20"/>
        </w:rPr>
        <w:t>图9 锯齿状息肉癌变途径</w:t>
      </w:r>
    </w:p>
    <w:p w14:paraId="2DD81B37">
      <w:pPr>
        <w:ind w:firstLine="420" w:firstLineChars="200"/>
        <w:jc w:val="both"/>
        <w:rPr>
          <w:rFonts w:ascii="微软雅黑" w:hAnsi="微软雅黑" w:cs="微软雅黑"/>
          <w:sz w:val="21"/>
          <w:szCs w:val="21"/>
        </w:rPr>
      </w:pPr>
      <w:r>
        <w:rPr>
          <w:rFonts w:hint="eastAsia" w:ascii="微软雅黑" w:hAnsi="微软雅黑" w:cs="微软雅黑"/>
          <w:sz w:val="21"/>
          <w:szCs w:val="21"/>
        </w:rPr>
        <w:t>大约90%的Lynch综合征分子表型为MSI，主要由MMR基因种系突变引起，其中 MSH1和MLH2基因突变占所有MMR基因突变的90%</w:t>
      </w:r>
      <w:r>
        <w:rPr>
          <w:rFonts w:hint="eastAsia" w:ascii="微软雅黑" w:hAnsi="微软雅黑" w:cs="微软雅黑"/>
          <w:sz w:val="21"/>
          <w:szCs w:val="21"/>
          <w:vertAlign w:val="superscript"/>
        </w:rPr>
        <w:t>[71]</w:t>
      </w:r>
      <w:r>
        <w:rPr>
          <w:rFonts w:hint="eastAsia" w:ascii="微软雅黑" w:hAnsi="微软雅黑" w:cs="微软雅黑"/>
          <w:sz w:val="21"/>
          <w:szCs w:val="21"/>
        </w:rPr>
        <w:t>，携带有MMR基因突变的个体一生中罹患结直肠癌的风险达到30%-70%。据此，《遗传性结直肠癌临床诊治和家系管理中国专家共识》推荐对于有条件的医疗单位，可对所有结直肠癌患者肿瘤组织的4个MMR蛋白进行免疫组织化学或微卫星不稳定（MSI）检测来进行初筛。且对于经免疫组织化学检测确定的dMMR患者，建议进一步检测蛋白表达缺失基因的胚系突变；对于经MSI方法确定的dMMR患者，建议行 MLH1、MSH2、MSH6、PMS2 和 EPCAM 5个基因的胚系突变检测。通过对家系先证者的基因诊断，继而找到突变携带者，并对这些高危人群进行风险管理，从而实现预防、早诊和早治。</w:t>
      </w:r>
    </w:p>
    <w:p w14:paraId="713034B5">
      <w:pPr>
        <w:ind w:firstLine="420" w:firstLineChars="200"/>
        <w:jc w:val="both"/>
        <w:rPr>
          <w:rFonts w:ascii="微软雅黑" w:hAnsi="微软雅黑" w:cs="微软雅黑"/>
          <w:sz w:val="21"/>
          <w:szCs w:val="21"/>
        </w:rPr>
      </w:pPr>
      <w:r>
        <w:rPr>
          <w:rFonts w:hint="eastAsia" w:ascii="微软雅黑" w:hAnsi="微软雅黑" w:cs="微软雅黑"/>
          <w:sz w:val="21"/>
          <w:szCs w:val="21"/>
        </w:rPr>
        <w:t>帕博利珠单抗、纳武利尤单抗等免疫检查点抑制剂可通过与T细胞PD-1/PD-L1结合，并破坏与T细胞PD-1的相互作用来促进肿瘤细胞凋亡（图10）</w:t>
      </w:r>
      <w:r>
        <w:rPr>
          <w:rFonts w:hint="eastAsia" w:ascii="微软雅黑" w:hAnsi="微软雅黑" w:cs="微软雅黑"/>
          <w:sz w:val="21"/>
          <w:szCs w:val="21"/>
          <w:vertAlign w:val="superscript"/>
        </w:rPr>
        <w:t>[72]</w:t>
      </w:r>
      <w:r>
        <w:rPr>
          <w:rFonts w:hint="eastAsia" w:ascii="微软雅黑" w:hAnsi="微软雅黑" w:cs="微软雅黑"/>
          <w:sz w:val="21"/>
          <w:szCs w:val="21"/>
        </w:rPr>
        <w:t>。早在2015年，新英格兰杂志发表的KEYNOTE-016研究，首次报道抗PD-1单抗帕博利珠单抗（Pembrolizumab）用于治疗既往失败的晚期肠癌患者的疗效，11例dMMR患者客观有效率（objective response rate，ORR）为40％，疾病控制率为90％，而pMMR患者无 1例有效</w:t>
      </w:r>
      <w:r>
        <w:rPr>
          <w:rFonts w:hint="eastAsia" w:ascii="微软雅黑" w:hAnsi="微软雅黑" w:cs="微软雅黑"/>
          <w:sz w:val="21"/>
          <w:szCs w:val="21"/>
          <w:vertAlign w:val="superscript"/>
        </w:rPr>
        <w:t>[73]</w:t>
      </w:r>
      <w:r>
        <w:rPr>
          <w:rFonts w:hint="eastAsia" w:ascii="微软雅黑" w:hAnsi="微软雅黑" w:cs="微软雅黑"/>
          <w:sz w:val="21"/>
          <w:szCs w:val="21"/>
        </w:rPr>
        <w:t>。另一项研究中，40例MSI-H或免疫组织化学dMMR的结直肠癌患者，抗PD-1单抗的ORR达52％，而在与Lynch综合征相关和无关的肿瘤中，ORR差异无统计学意义（46％vs59％，Ｐ=0.27）</w:t>
      </w:r>
      <w:r>
        <w:rPr>
          <w:rFonts w:hint="eastAsia" w:ascii="微软雅黑" w:hAnsi="微软雅黑" w:cs="微软雅黑"/>
          <w:sz w:val="21"/>
          <w:szCs w:val="21"/>
          <w:vertAlign w:val="superscript"/>
        </w:rPr>
        <w:t>[74]</w:t>
      </w:r>
      <w:r>
        <w:rPr>
          <w:rFonts w:hint="eastAsia" w:ascii="微软雅黑" w:hAnsi="微软雅黑" w:cs="微软雅黑"/>
          <w:sz w:val="21"/>
          <w:szCs w:val="21"/>
        </w:rPr>
        <w:t>。这些结果初步证实，抗PD-1单抗对dMMR 的晚期肿瘤患者有效。随后的CheckMate 142研究证实，另一个抗PD-1单抗纳武利尤单抗（Nivolumab）治疗dＭＭR/MSI-H转移性肠癌同样有效（有效率为31％，中位无进展生存时间为14.3个月）</w:t>
      </w:r>
      <w:r>
        <w:rPr>
          <w:rFonts w:hint="eastAsia" w:ascii="微软雅黑" w:hAnsi="微软雅黑" w:cs="微软雅黑"/>
          <w:sz w:val="21"/>
          <w:szCs w:val="21"/>
          <w:vertAlign w:val="superscript"/>
        </w:rPr>
        <w:t>[75]</w:t>
      </w:r>
      <w:r>
        <w:rPr>
          <w:rFonts w:hint="eastAsia" w:ascii="微软雅黑" w:hAnsi="微软雅黑" w:cs="微软雅黑"/>
          <w:sz w:val="21"/>
          <w:szCs w:val="21"/>
        </w:rPr>
        <w:t>。目前，FDA已批准帕博利珠单抗及纳武利尤单抗应用于dＭＭR/MSI-H结直肠癌患者的治疗。因此，通过免疫组化或基因检测确定为dＭＭR/MSI-H 型结直肠癌患者，可考虑免疫抑制剂帕博利珠单抗及纳武利尤单抗治疗。</w:t>
      </w:r>
    </w:p>
    <w:p w14:paraId="46B68E09">
      <w:pPr>
        <w:jc w:val="center"/>
        <w:rPr>
          <w:rFonts w:ascii="微软雅黑" w:hAnsi="微软雅黑" w:cs="微软雅黑"/>
          <w:sz w:val="21"/>
          <w:szCs w:val="21"/>
        </w:rPr>
      </w:pPr>
      <w:r>
        <w:rPr>
          <w:rFonts w:hint="eastAsia" w:ascii="微软雅黑" w:hAnsi="微软雅黑" w:cs="微软雅黑"/>
          <w:sz w:val="21"/>
          <w:szCs w:val="21"/>
        </w:rPr>
        <w:drawing>
          <wp:inline distT="0" distB="0" distL="114300" distR="114300">
            <wp:extent cx="4853305" cy="3787140"/>
            <wp:effectExtent l="0" t="0" r="4445" b="3810"/>
            <wp:docPr id="10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 name="图片 1"/>
                    <pic:cNvPicPr>
                      <a:picLocks noChangeAspect="1"/>
                    </pic:cNvPicPr>
                  </pic:nvPicPr>
                  <pic:blipFill>
                    <a:blip r:embed="rId37"/>
                    <a:stretch>
                      <a:fillRect/>
                    </a:stretch>
                  </pic:blipFill>
                  <pic:spPr>
                    <a:xfrm>
                      <a:off x="0" y="0"/>
                      <a:ext cx="4853305" cy="3787140"/>
                    </a:xfrm>
                    <a:prstGeom prst="rect">
                      <a:avLst/>
                    </a:prstGeom>
                    <a:noFill/>
                    <a:ln>
                      <a:noFill/>
                    </a:ln>
                  </pic:spPr>
                </pic:pic>
              </a:graphicData>
            </a:graphic>
          </wp:inline>
        </w:drawing>
      </w:r>
    </w:p>
    <w:p w14:paraId="21B9C429">
      <w:pPr>
        <w:ind w:firstLine="400" w:firstLineChars="200"/>
        <w:jc w:val="center"/>
        <w:rPr>
          <w:rFonts w:ascii="微软雅黑" w:hAnsi="微软雅黑" w:cs="微软雅黑"/>
          <w:sz w:val="20"/>
          <w:szCs w:val="20"/>
        </w:rPr>
      </w:pPr>
      <w:r>
        <w:rPr>
          <w:rFonts w:hint="eastAsia" w:ascii="微软雅黑" w:hAnsi="微软雅黑" w:cs="微软雅黑"/>
          <w:sz w:val="20"/>
          <w:szCs w:val="20"/>
        </w:rPr>
        <w:t>图10 dMMR或MSI-H阳性肿瘤患者中免疫检查点抑制剂作用机制</w:t>
      </w:r>
      <w:r>
        <w:rPr>
          <w:rFonts w:hint="eastAsia" w:ascii="微软雅黑" w:hAnsi="微软雅黑" w:cs="微软雅黑"/>
          <w:sz w:val="20"/>
          <w:szCs w:val="20"/>
          <w:vertAlign w:val="superscript"/>
        </w:rPr>
        <w:t>[72]</w:t>
      </w:r>
    </w:p>
    <w:p w14:paraId="1B80F1F8">
      <w:pPr>
        <w:jc w:val="both"/>
        <w:rPr>
          <w:rFonts w:ascii="微软雅黑" w:hAnsi="微软雅黑" w:cs="微软雅黑"/>
          <w:sz w:val="21"/>
          <w:szCs w:val="21"/>
        </w:rPr>
      </w:pPr>
      <w:r>
        <w:rPr>
          <w:rFonts w:hint="eastAsia" w:ascii="微软雅黑" w:hAnsi="微软雅黑" w:cs="微软雅黑"/>
          <w:sz w:val="21"/>
          <w:szCs w:val="21"/>
        </w:rPr>
        <w:t>4.4.5.2  POLE基因突变</w:t>
      </w:r>
    </w:p>
    <w:p w14:paraId="44435D2C">
      <w:pPr>
        <w:ind w:firstLine="420" w:firstLineChars="200"/>
        <w:jc w:val="both"/>
        <w:rPr>
          <w:rFonts w:ascii="微软雅黑" w:hAnsi="微软雅黑" w:cs="微软雅黑"/>
          <w:sz w:val="21"/>
          <w:szCs w:val="21"/>
        </w:rPr>
      </w:pPr>
      <w:r>
        <w:rPr>
          <w:rFonts w:hint="eastAsia" w:ascii="微软雅黑" w:hAnsi="微软雅黑" w:cs="微软雅黑"/>
          <w:sz w:val="21"/>
          <w:szCs w:val="21"/>
        </w:rPr>
        <w:t>研究表明，在高突变型转移性结直肠癌（mCRC）中，75%的患者为高度微卫星不稳定</w:t>
      </w:r>
      <w:bookmarkStart w:id="206" w:name="OLE_LINK22"/>
      <w:bookmarkStart w:id="207" w:name="OLE_LINK21"/>
      <w:r>
        <w:rPr>
          <w:rFonts w:hint="eastAsia" w:ascii="微软雅黑" w:hAnsi="微软雅黑" w:cs="微软雅黑"/>
          <w:sz w:val="21"/>
          <w:szCs w:val="21"/>
        </w:rPr>
        <w:t>（microsatellite instability-high，MSI-H）</w:t>
      </w:r>
      <w:bookmarkEnd w:id="206"/>
      <w:bookmarkEnd w:id="207"/>
      <w:r>
        <w:rPr>
          <w:rFonts w:hint="eastAsia" w:ascii="微软雅黑" w:hAnsi="微软雅黑" w:cs="微软雅黑"/>
          <w:sz w:val="21"/>
          <w:szCs w:val="21"/>
        </w:rPr>
        <w:t>，其余患者的高突变负荷主要与POLE基因突变相关</w:t>
      </w:r>
      <w:r>
        <w:rPr>
          <w:rFonts w:hint="eastAsia" w:ascii="微软雅黑" w:hAnsi="微软雅黑" w:cs="微软雅黑"/>
          <w:sz w:val="21"/>
          <w:szCs w:val="21"/>
          <w:vertAlign w:val="superscript"/>
        </w:rPr>
        <w:t>[76]</w:t>
      </w:r>
      <w:r>
        <w:rPr>
          <w:rFonts w:hint="eastAsia" w:ascii="微软雅黑" w:hAnsi="微软雅黑" w:cs="微软雅黑"/>
          <w:sz w:val="21"/>
          <w:szCs w:val="21"/>
        </w:rPr>
        <w:t>。</w:t>
      </w:r>
    </w:p>
    <w:p w14:paraId="3E2F2D26">
      <w:pPr>
        <w:ind w:firstLine="420" w:firstLineChars="200"/>
        <w:jc w:val="both"/>
        <w:rPr>
          <w:rFonts w:ascii="微软雅黑" w:hAnsi="微软雅黑" w:cs="微软雅黑"/>
          <w:sz w:val="21"/>
          <w:szCs w:val="21"/>
        </w:rPr>
      </w:pPr>
      <w:r>
        <w:rPr>
          <w:rFonts w:hint="eastAsia" w:ascii="微软雅黑" w:hAnsi="微软雅黑" w:cs="微软雅黑"/>
          <w:sz w:val="21"/>
          <w:szCs w:val="21"/>
        </w:rPr>
        <w:t>POLE基因编码DNA聚合酶ε催化亚基，具有两种催化活性，一是以DNA为模板的聚合酶活性,负责DNA新链的复制延长；二是核酸外切酶区的校正活性，负责对错配碱基进行识别和修复。在mCRC中，POLE基因突变率为1%~2%。POLE基因的突变直接影响DNA 聚合酶ε的纠错功能。有研究表明，携带这类突变的肿瘤细胞会因为纠错功能的下降而导致基因突变在细胞中大量累积</w:t>
      </w:r>
      <w:r>
        <w:rPr>
          <w:rFonts w:hint="eastAsia" w:ascii="微软雅黑" w:hAnsi="微软雅黑" w:cs="微软雅黑"/>
          <w:sz w:val="21"/>
          <w:szCs w:val="21"/>
          <w:vertAlign w:val="superscript"/>
        </w:rPr>
        <w:t>[77]</w:t>
      </w:r>
      <w:r>
        <w:rPr>
          <w:rFonts w:hint="eastAsia" w:ascii="微软雅黑" w:hAnsi="微软雅黑" w:cs="微软雅黑"/>
          <w:sz w:val="21"/>
          <w:szCs w:val="21"/>
        </w:rPr>
        <w:t>。</w:t>
      </w:r>
    </w:p>
    <w:p w14:paraId="5A8AC585">
      <w:pPr>
        <w:ind w:firstLine="420" w:firstLineChars="200"/>
        <w:jc w:val="both"/>
        <w:rPr>
          <w:rFonts w:ascii="微软雅黑" w:hAnsi="微软雅黑" w:cs="微软雅黑"/>
          <w:sz w:val="21"/>
          <w:szCs w:val="21"/>
        </w:rPr>
      </w:pPr>
      <w:r>
        <w:rPr>
          <w:rFonts w:hint="eastAsia" w:ascii="微软雅黑" w:hAnsi="微软雅黑" w:cs="微软雅黑"/>
          <w:sz w:val="21"/>
          <w:szCs w:val="21"/>
        </w:rPr>
        <w:t>POLE突变的mCRC与MSI-H相比，POLE基因突变型mCRC可产生更多的新生抗原。初步的临床证据表明，在子宫内膜癌、非小细胞肺癌、结直肠癌患者中，POLE基因突变的肿瘤患者，使用PD-1抗体治疗可能更容易获益</w:t>
      </w:r>
      <w:r>
        <w:rPr>
          <w:rFonts w:hint="eastAsia" w:ascii="微软雅黑" w:hAnsi="微软雅黑" w:cs="微软雅黑"/>
          <w:sz w:val="21"/>
          <w:szCs w:val="21"/>
          <w:vertAlign w:val="superscript"/>
        </w:rPr>
        <w:t>[78-80]</w:t>
      </w:r>
      <w:r>
        <w:rPr>
          <w:rFonts w:hint="eastAsia" w:ascii="微软雅黑" w:hAnsi="微软雅黑" w:cs="微软雅黑"/>
          <w:sz w:val="21"/>
          <w:szCs w:val="21"/>
        </w:rPr>
        <w:t>（图10）。有研究报道CRC患者中对帕博利珠单抗的临床反应，其中一名患者属于MSS表型并携带POLE突变。肿瘤免疫组化结果显示，PD-1 、CD8阳性 T细胞占比较大，PD-L1表达的CD68+肿瘤相关巨噬细胞浸润明显</w:t>
      </w:r>
      <w:r>
        <w:rPr>
          <w:rFonts w:hint="eastAsia" w:ascii="微软雅黑" w:hAnsi="微软雅黑" w:cs="微软雅黑"/>
          <w:sz w:val="21"/>
          <w:szCs w:val="21"/>
          <w:vertAlign w:val="superscript"/>
        </w:rPr>
        <w:t>[81，82]</w:t>
      </w:r>
      <w:r>
        <w:rPr>
          <w:rFonts w:hint="eastAsia" w:ascii="微软雅黑" w:hAnsi="微软雅黑" w:cs="微软雅黑"/>
          <w:sz w:val="21"/>
          <w:szCs w:val="21"/>
        </w:rPr>
        <w:t>。子宫内膜癌病理研究表明，POLE突变也是免疫检查点抑制剂的预测标志物</w:t>
      </w:r>
      <w:r>
        <w:rPr>
          <w:rFonts w:hint="eastAsia" w:ascii="微软雅黑" w:hAnsi="微软雅黑" w:cs="微软雅黑"/>
          <w:sz w:val="21"/>
          <w:szCs w:val="21"/>
          <w:vertAlign w:val="superscript"/>
        </w:rPr>
        <w:t>[83-85]</w:t>
      </w:r>
      <w:r>
        <w:rPr>
          <w:rFonts w:hint="eastAsia" w:ascii="微软雅黑" w:hAnsi="微软雅黑" w:cs="微软雅黑"/>
          <w:sz w:val="21"/>
          <w:szCs w:val="21"/>
        </w:rPr>
        <w:t>。目前，三项抗PD-L1免疫检查点抑制剂在POLE突变的CRC中的临床获益相关临床试验在研（NCT03435107、NCT03150706、NCT03827044）。</w:t>
      </w:r>
    </w:p>
    <w:p w14:paraId="1CA6D3E7">
      <w:pPr>
        <w:jc w:val="center"/>
        <w:rPr>
          <w:rFonts w:ascii="微软雅黑" w:hAnsi="微软雅黑" w:cs="微软雅黑"/>
          <w:sz w:val="21"/>
          <w:szCs w:val="21"/>
        </w:rPr>
      </w:pPr>
      <w:r>
        <w:rPr>
          <w:rFonts w:hint="eastAsia" w:ascii="微软雅黑" w:hAnsi="微软雅黑" w:cs="微软雅黑"/>
          <w:sz w:val="21"/>
          <w:szCs w:val="21"/>
        </w:rPr>
        <w:drawing>
          <wp:inline distT="0" distB="0" distL="114300" distR="114300">
            <wp:extent cx="4732655" cy="4027170"/>
            <wp:effectExtent l="0" t="0" r="10795" b="11430"/>
            <wp:docPr id="10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 name="图片 1"/>
                    <pic:cNvPicPr>
                      <a:picLocks noChangeAspect="1"/>
                    </pic:cNvPicPr>
                  </pic:nvPicPr>
                  <pic:blipFill>
                    <a:blip r:embed="rId38"/>
                    <a:stretch>
                      <a:fillRect/>
                    </a:stretch>
                  </pic:blipFill>
                  <pic:spPr>
                    <a:xfrm>
                      <a:off x="0" y="0"/>
                      <a:ext cx="4732655" cy="4027170"/>
                    </a:xfrm>
                    <a:prstGeom prst="rect">
                      <a:avLst/>
                    </a:prstGeom>
                    <a:noFill/>
                    <a:ln>
                      <a:noFill/>
                    </a:ln>
                  </pic:spPr>
                </pic:pic>
              </a:graphicData>
            </a:graphic>
          </wp:inline>
        </w:drawing>
      </w:r>
    </w:p>
    <w:p w14:paraId="3CB40E48">
      <w:pPr>
        <w:ind w:firstLine="400" w:firstLineChars="200"/>
        <w:jc w:val="center"/>
        <w:rPr>
          <w:rFonts w:ascii="微软雅黑" w:hAnsi="微软雅黑" w:cs="微软雅黑"/>
          <w:sz w:val="20"/>
          <w:szCs w:val="20"/>
        </w:rPr>
      </w:pPr>
      <w:r>
        <w:rPr>
          <w:rFonts w:hint="eastAsia" w:ascii="微软雅黑" w:hAnsi="微软雅黑" w:cs="微软雅黑"/>
          <w:sz w:val="20"/>
          <w:szCs w:val="20"/>
        </w:rPr>
        <w:t>图11 免疫检查点抑制剂在不同类型结直肠癌中疗效预估</w:t>
      </w:r>
      <w:r>
        <w:rPr>
          <w:rFonts w:hint="eastAsia" w:ascii="微软雅黑" w:hAnsi="微软雅黑" w:cs="微软雅黑"/>
          <w:sz w:val="20"/>
          <w:szCs w:val="20"/>
          <w:vertAlign w:val="superscript"/>
        </w:rPr>
        <w:t>[86]</w:t>
      </w:r>
    </w:p>
    <w:p w14:paraId="396F200B">
      <w:pPr>
        <w:jc w:val="both"/>
        <w:rPr>
          <w:b/>
          <w:bCs/>
        </w:rPr>
      </w:pPr>
      <w:r>
        <w:rPr>
          <w:rFonts w:hint="eastAsia"/>
          <w:b/>
          <w:bCs/>
        </w:rPr>
        <w:t>5、结论</w:t>
      </w:r>
    </w:p>
    <w:p w14:paraId="174BB4D0">
      <w:pPr>
        <w:ind w:firstLine="420" w:firstLineChars="200"/>
        <w:jc w:val="both"/>
        <w:rPr>
          <w:rFonts w:ascii="微软雅黑" w:hAnsi="微软雅黑" w:cs="微软雅黑"/>
          <w:sz w:val="21"/>
          <w:szCs w:val="21"/>
        </w:rPr>
      </w:pPr>
      <w:r>
        <w:rPr>
          <w:rFonts w:hint="eastAsia" w:ascii="微软雅黑" w:hAnsi="微软雅黑" w:cs="微软雅黑"/>
          <w:sz w:val="21"/>
          <w:szCs w:val="21"/>
        </w:rPr>
        <w:t>结直肠癌的病因和发病分子机制非常复杂，可能没有任何两个患者背后的分子机制、基因表型是完全相同的。在临床实践中，需要对每一位患者进行个体分子分型，也就是进行治疗靶点的分型，通过检测PD-1、PD-L1蛋白、MMR、KRAS、NRAS、BRAF、PI3K、HER2等基因选择治疗策略。患者存在MSI-H/dMMR、PD-1、PD-L1蛋白上调者，可使用免疫治疗；若存在RAS基因突变，可使用标准化疗方案联合贝伐珠单抗；若患者属RAS、BRAF、PI3K基因全野生型，使用标准化疗联合EGFR单抗获益最大。故分子特征对于患者的人群划分至关重要，我们要根据分子分型予以不同的干预措施，最终实现个体化、精准化的治疗。</w:t>
      </w:r>
    </w:p>
    <w:p w14:paraId="62F2685B">
      <w:pPr>
        <w:autoSpaceDE w:val="0"/>
        <w:autoSpaceDN w:val="0"/>
        <w:spacing w:after="0" w:line="312" w:lineRule="auto"/>
        <w:jc w:val="both"/>
        <w:rPr>
          <w:rFonts w:ascii="微软雅黑" w:hAnsi="微软雅黑" w:cs="微软雅黑"/>
          <w:sz w:val="21"/>
          <w:szCs w:val="21"/>
        </w:rPr>
      </w:pPr>
    </w:p>
    <w:p w14:paraId="3EB251CF">
      <w:pPr>
        <w:ind w:firstLine="440" w:firstLineChars="200"/>
        <w:jc w:val="center"/>
      </w:pPr>
    </w:p>
    <w:p w14:paraId="69149281">
      <w:pPr>
        <w:ind w:firstLine="440" w:firstLineChars="200"/>
        <w:jc w:val="both"/>
      </w:pPr>
    </w:p>
    <w:p w14:paraId="4C589D99">
      <w:pPr>
        <w:jc w:val="both"/>
        <w:rPr>
          <w:rFonts w:ascii="微软雅黑" w:hAnsi="微软雅黑" w:cs="微软雅黑"/>
          <w:b/>
          <w:bCs/>
          <w:sz w:val="21"/>
          <w:szCs w:val="21"/>
        </w:rPr>
      </w:pPr>
      <w:r>
        <w:rPr>
          <w:rFonts w:hint="eastAsia" w:ascii="微软雅黑" w:hAnsi="微软雅黑" w:cs="微软雅黑"/>
          <w:b/>
          <w:bCs/>
          <w:sz w:val="21"/>
          <w:szCs w:val="21"/>
        </w:rPr>
        <w:br w:type="page"/>
      </w:r>
    </w:p>
    <w:p w14:paraId="77C0AB6A">
      <w:pPr>
        <w:jc w:val="both"/>
        <w:rPr>
          <w:rFonts w:hint="eastAsia"/>
          <w:b/>
          <w:bCs/>
        </w:rPr>
      </w:pPr>
      <w:r>
        <w:rPr>
          <w:rFonts w:hint="eastAsia"/>
          <w:b/>
          <w:bCs/>
        </w:rPr>
        <w:t>参考文献：</w:t>
      </w:r>
    </w:p>
    <w:p w14:paraId="4DFBF410">
      <w:pPr>
        <w:numPr>
          <w:ilvl w:val="0"/>
          <w:numId w:val="22"/>
        </w:numPr>
        <w:spacing w:after="0" w:line="360" w:lineRule="auto"/>
        <w:jc w:val="both"/>
        <w:rPr>
          <w:rFonts w:hAnsi="Calibri" w:cs="Calibri" w:asciiTheme="minorHAnsi"/>
          <w:sz w:val="20"/>
          <w:szCs w:val="20"/>
        </w:rPr>
      </w:pPr>
      <w:r>
        <w:rPr>
          <w:rFonts w:hint="eastAsia" w:hAnsi="Calibri" w:cs="Calibri" w:asciiTheme="minorHAnsi"/>
          <w:sz w:val="20"/>
          <w:szCs w:val="20"/>
        </w:rPr>
        <w:t>PMID: 10959075 Wnt/beta-catenin signaling.</w:t>
      </w:r>
    </w:p>
    <w:p w14:paraId="10BB99B6">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int="eastAsia" w:hAnsi="Calibri" w:cs="Calibri" w:asciiTheme="minorAscii"/>
          <w:sz w:val="20"/>
          <w:szCs w:val="20"/>
          <w:highlight w:val="none"/>
        </w:rPr>
        <w:t>GBD 2013 Mortality and Causes of Death Collaborators</w:t>
      </w:r>
      <w:r>
        <w:rPr>
          <w:rFonts w:hint="eastAsia" w:hAnsi="Calibri" w:cs="Calibri" w:asciiTheme="minorAscii"/>
          <w:sz w:val="20"/>
          <w:szCs w:val="20"/>
          <w:highlight w:val="none"/>
          <w:lang w:val="en-US" w:eastAsia="zh-CN"/>
        </w:rPr>
        <w:t>.Global, regional, and national age-sex specific all-cause and cause-specific mortality for 240 causes of death, 1990-2013: a systematic analysis for the Global Burden of Disease Study 2013.Lancet,2015 Jan 10,385(9963):117-71.</w:t>
      </w:r>
    </w:p>
    <w:p w14:paraId="1FE4984E">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Kuipers E J , Grady W M , Lieberman D , et al. Colorectal cancer.[J]. Nature Reviews Disease Primers, 2015, 1:15065.</w:t>
      </w:r>
    </w:p>
    <w:p w14:paraId="2C765060">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Walker D P , Rogier D J . European guidelines for quality assurance in colorectal cancer screening and diagnosis: Overview and introduction to the full Supplement publication[J]. Endoscopy, 2012, 44 Suppl 3(S 03):SE131.</w:t>
      </w:r>
    </w:p>
    <w:p w14:paraId="6E4244CF">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Ervik, M，Soerjomataram, I，Ferlay, J</w:t>
      </w:r>
      <w:r>
        <w:rPr>
          <w:rFonts w:hint="eastAsia" w:hAnsi="Calibri" w:cs="Calibri" w:asciiTheme="minorAscii"/>
          <w:sz w:val="20"/>
          <w:szCs w:val="20"/>
          <w:highlight w:val="none"/>
          <w:lang w:val="en-US" w:eastAsia="zh-CN"/>
        </w:rPr>
        <w:t>.</w:t>
      </w:r>
      <w:r>
        <w:rPr>
          <w:rFonts w:hint="eastAsia" w:hAnsi="Calibri" w:cs="Calibri" w:asciiTheme="minorAscii"/>
          <w:sz w:val="20"/>
          <w:szCs w:val="20"/>
          <w:highlight w:val="none"/>
        </w:rPr>
        <w:t>,</w:t>
      </w:r>
      <w:r>
        <w:rPr>
          <w:rFonts w:hint="eastAsia" w:hAnsi="Calibri" w:cs="Calibri" w:asciiTheme="minorAscii"/>
          <w:sz w:val="20"/>
          <w:szCs w:val="20"/>
          <w:highlight w:val="none"/>
          <w:lang w:val="en-US" w:eastAsia="zh-CN"/>
        </w:rPr>
        <w:t xml:space="preserve"> et al</w:t>
      </w:r>
      <w:r>
        <w:rPr>
          <w:rFonts w:hint="eastAsia" w:hAnsi="Calibri" w:cs="Calibri" w:asciiTheme="minorAscii"/>
          <w:sz w:val="20"/>
          <w:szCs w:val="20"/>
          <w:highlight w:val="none"/>
        </w:rPr>
        <w:t>.GLOBOCAN 2012 Estimated Cancer Incidence, Mortality and Prevalence Worldwide in 2012</w:t>
      </w:r>
      <w:r>
        <w:rPr>
          <w:rFonts w:hint="eastAsia" w:hAnsi="Calibri" w:cs="Calibri" w:asciiTheme="minorAscii"/>
          <w:sz w:val="20"/>
          <w:szCs w:val="20"/>
          <w:highlight w:val="none"/>
          <w:lang w:val="en-US" w:eastAsia="zh-CN"/>
        </w:rPr>
        <w:t>.[online], http://globocan.iarc.fr/Default.aspx (2015).</w:t>
      </w:r>
    </w:p>
    <w:p w14:paraId="6439697B">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Lier M G F V , Leenen C H M , Wagner A , et al. Yield of routine molecular analyses in colorectal cancer patients ≤70 years to detect underlying Lynch syndrome[J]. Journal of Pathology, 2012, 226(5):764-774.</w:t>
      </w:r>
    </w:p>
    <w:p w14:paraId="511265A7">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Jess T , Rungoe C , Peyrin–Biroulet, Laurent. Risk of Colorectal Cancer in Patients With Ulcerative Colitis: A Meta-analysis of Population-Based Cohort Studies[J]. Clinical Gastroenterology &amp; Hepatology, 2012, 10(6):639-645.</w:t>
      </w:r>
    </w:p>
    <w:p w14:paraId="64CEDB12">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Jess T , Simonsen J , J?Rgensen K T , et al. Decreasing risk of colorectal cancer in patients with inflammatory bowel disease over 30 years.[J]. Gastroenterology, 2012, 143(2):375-381.e1.</w:t>
      </w:r>
    </w:p>
    <w:p w14:paraId="2E09188F">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Ansi="Calibri" w:cs="Calibri" w:asciiTheme="minorAscii"/>
          <w:sz w:val="20"/>
          <w:szCs w:val="20"/>
          <w:highlight w:val="none"/>
        </w:rPr>
        <w:t>Haraldsdottir S, Hampel H, Tomsic J, et al. Colon and endometrial cancers with mismatch repair deficiency can arise from somatic, rather than germline, mutations[J]. Gastroenterology, 2014, 147(6):1308-1316.e1.</w:t>
      </w:r>
    </w:p>
    <w:p w14:paraId="10EB5F55">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Perez-Carbonell L , Ruiz-Ponte C , Guarinos C , et al. Comparison between universal molecular screening for Lynch syndrome and revised Bethesda guidelines in a large population-based cohort of patients with colorectal cancer[J]. Gut, 2012, 61(6):865.</w:t>
      </w:r>
    </w:p>
    <w:p w14:paraId="7802D05F">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Casta?O-Milla C , Chaparro M , Gisbert J P . Systematic review with meta-analysis: the declining risk of colorectal cancer in ulcerative colitis.[J]. Aliment Pharmacol Ther, 2014, 39(7):645-659.</w:t>
      </w:r>
    </w:p>
    <w:p w14:paraId="44730922">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Half EE, Bresalier RS. Clinical management of hereditary colorectal cancer syndromes.[J]. Current Opinion in Gastroenterology, 2015, 20(2):88.</w:t>
      </w:r>
    </w:p>
    <w:p w14:paraId="63556555">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Ansi="微软雅黑" w:eastAsia="微软雅黑" w:cs="微软雅黑" w:asciiTheme="minorAscii"/>
          <w:i w:val="0"/>
          <w:caps w:val="0"/>
          <w:color w:val="000000"/>
          <w:spacing w:val="0"/>
          <w:sz w:val="20"/>
          <w:szCs w:val="20"/>
          <w:highlight w:val="none"/>
          <w:shd w:val="clear" w:fill="FFFFFF"/>
        </w:rPr>
        <w:t>Herrinton L J , Liu L , Levin T R , et al. Incidence and Mortality of Colorectal Adenocarcinoma in Persons With Inflammatory Bowel Disease From 1998 to 2010[J]. Gastroenterology, 2012, 143(2):382-389.</w:t>
      </w:r>
    </w:p>
    <w:p w14:paraId="41494EDF">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World Cancer Research Fund/American Institute for Cancer Research. Continuous update project report. Food, nutrition, physical activity, and the prevention of colorectal cancer. Diet and Cancer Report [online]</w:t>
      </w:r>
    </w:p>
    <w:p w14:paraId="29A6589F">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Ansi="微软雅黑" w:eastAsia="微软雅黑" w:cs="微软雅黑" w:asciiTheme="minorAscii"/>
          <w:i w:val="0"/>
          <w:caps w:val="0"/>
          <w:color w:val="000000"/>
          <w:spacing w:val="0"/>
          <w:sz w:val="20"/>
          <w:szCs w:val="20"/>
          <w:highlight w:val="none"/>
          <w:shd w:val="clear" w:fill="FFFFFF"/>
        </w:rPr>
        <w:t>Guraya S Y . Association of type 2 diabetes mellitus and the risk ofcolorectal cancer: A meta-analysis and systematic review[J]. 世界胃肠病学杂志:英文版(电子版), 2015(19):6026-6031.</w:t>
      </w:r>
    </w:p>
    <w:p w14:paraId="4CE46331">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V Fedirko, I Tramacere, V Bagnardi , et al.Alcohol drinking and colorectal cancer risk: an overall and dose-response meta-analysis of published studies</w:t>
      </w:r>
      <w:r>
        <w:rPr>
          <w:rFonts w:hint="eastAsia" w:hAnsi="Calibri" w:cs="Calibri" w:asciiTheme="minorAscii"/>
          <w:sz w:val="20"/>
          <w:szCs w:val="20"/>
          <w:highlight w:val="none"/>
          <w:lang w:val="en-US" w:eastAsia="zh-CN"/>
        </w:rPr>
        <w:t>.Ann Oncol. 2011 Sep;22(9):1958-1972.</w:t>
      </w:r>
    </w:p>
    <w:p w14:paraId="111EE7A5">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Heike U Krämer</w:t>
      </w:r>
      <w:r>
        <w:rPr>
          <w:rFonts w:hint="eastAsia" w:hAnsi="Calibri" w:cs="Calibri" w:asciiTheme="minorAscii"/>
          <w:sz w:val="20"/>
          <w:szCs w:val="20"/>
          <w:highlight w:val="none"/>
          <w:lang w:val="en-US" w:eastAsia="zh-CN"/>
        </w:rPr>
        <w:t>,</w:t>
      </w:r>
      <w:r>
        <w:rPr>
          <w:rFonts w:hint="eastAsia" w:hAnsi="Calibri" w:cs="Calibri" w:asciiTheme="minorAscii"/>
          <w:sz w:val="20"/>
          <w:szCs w:val="20"/>
          <w:highlight w:val="none"/>
        </w:rPr>
        <w:t>, Ben Schöttker, Elke Raum,</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et al.Type 2 diabetes mellitus and colorectal cancer: meta-analysis on sex-specific differences</w:t>
      </w:r>
      <w:r>
        <w:rPr>
          <w:rFonts w:hint="eastAsia" w:hAnsi="Calibri" w:cs="Calibri" w:asciiTheme="minorAscii"/>
          <w:sz w:val="20"/>
          <w:szCs w:val="20"/>
          <w:highlight w:val="none"/>
          <w:lang w:val="en-US" w:eastAsia="zh-CN"/>
        </w:rPr>
        <w:t xml:space="preserve">.Eur J Cancer. 2012 Jun;48(9):1269-82. </w:t>
      </w:r>
    </w:p>
    <w:p w14:paraId="49B84443">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Nakatsu G , Li X , Zhou H , et al. Gut mucosal microbiome across stages of colorectal carcinogenesis[J]. Nature Communications, 2015, 6:8727.</w:t>
      </w:r>
    </w:p>
    <w:p w14:paraId="6C91FC84">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Ansi="Helvetica" w:eastAsia="Helvetica" w:cs="Helvetica" w:asciiTheme="minorAscii"/>
          <w:i w:val="0"/>
          <w:caps w:val="0"/>
          <w:color w:val="000000"/>
          <w:spacing w:val="0"/>
          <w:sz w:val="20"/>
          <w:szCs w:val="20"/>
          <w:highlight w:val="none"/>
          <w:shd w:val="clear" w:fill="FFFFFF"/>
        </w:rPr>
        <w:t>Arem H , Moore S C , Park Y , et al. Physical activity and cancer-specific mortality in the N</w:t>
      </w:r>
      <w:r>
        <w:rPr>
          <w:rFonts w:hint="eastAsia" w:hAnsi="Calibri" w:cs="Calibri" w:asciiTheme="minorAscii"/>
          <w:sz w:val="20"/>
          <w:szCs w:val="20"/>
          <w:highlight w:val="none"/>
        </w:rPr>
        <w:t>IH-AARP Diet and Health Study cohort[J]. International Journal of Cancer, 2014, 135(2):423-431.</w:t>
      </w:r>
    </w:p>
    <w:p w14:paraId="1744ABC2">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fldChar w:fldCharType="begin"/>
      </w:r>
      <w:r>
        <w:rPr>
          <w:rFonts w:hint="eastAsia" w:hAnsi="Calibri" w:cs="Calibri" w:asciiTheme="minorAscii"/>
          <w:sz w:val="20"/>
          <w:szCs w:val="20"/>
          <w:highlight w:val="none"/>
        </w:rPr>
        <w:instrText xml:space="preserve"> HYPERLINK "https://pubmed.ncbi.nlm.nih.gov/?term=Algra+AM&amp;cauthor_id=22440112" </w:instrText>
      </w:r>
      <w:r>
        <w:rPr>
          <w:rFonts w:hint="eastAsia" w:hAnsi="Calibri" w:cs="Calibri" w:asciiTheme="minorAscii"/>
          <w:sz w:val="20"/>
          <w:szCs w:val="20"/>
          <w:highlight w:val="none"/>
        </w:rPr>
        <w:fldChar w:fldCharType="separate"/>
      </w:r>
      <w:r>
        <w:rPr>
          <w:rFonts w:hint="default" w:hAnsi="Calibri" w:cs="Calibri" w:asciiTheme="minorAscii"/>
          <w:sz w:val="20"/>
          <w:szCs w:val="20"/>
          <w:highlight w:val="none"/>
        </w:rPr>
        <w:t>Annemijn M Algra</w:t>
      </w:r>
      <w:r>
        <w:rPr>
          <w:rFonts w:hint="default" w:hAnsi="Calibri" w:cs="Calibri" w:asciiTheme="minorAscii"/>
          <w:sz w:val="20"/>
          <w:szCs w:val="20"/>
          <w:highlight w:val="none"/>
        </w:rPr>
        <w:fldChar w:fldCharType="end"/>
      </w:r>
      <w:r>
        <w:rPr>
          <w:rFonts w:hint="default" w:hAnsi="Calibri" w:cs="Calibri" w:asciiTheme="minorAscii"/>
          <w:sz w:val="20"/>
          <w:szCs w:val="20"/>
          <w:highlight w:val="none"/>
        </w:rPr>
        <w:t> , </w:t>
      </w:r>
      <w:r>
        <w:rPr>
          <w:rFonts w:hint="default" w:hAnsi="Calibri" w:cs="Calibri" w:asciiTheme="minorAscii"/>
          <w:sz w:val="20"/>
          <w:szCs w:val="20"/>
          <w:highlight w:val="none"/>
        </w:rPr>
        <w:fldChar w:fldCharType="begin"/>
      </w:r>
      <w:r>
        <w:rPr>
          <w:rFonts w:hint="default" w:hAnsi="Calibri" w:cs="Calibri" w:asciiTheme="minorAscii"/>
          <w:sz w:val="20"/>
          <w:szCs w:val="20"/>
          <w:highlight w:val="none"/>
        </w:rPr>
        <w:instrText xml:space="preserve"> HYPERLINK "https://pubmed.ncbi.nlm.nih.gov/?term=Rothwell+PM&amp;cauthor_id=22440112" </w:instrText>
      </w:r>
      <w:r>
        <w:rPr>
          <w:rFonts w:hint="default" w:hAnsi="Calibri" w:cs="Calibri" w:asciiTheme="minorAscii"/>
          <w:sz w:val="20"/>
          <w:szCs w:val="20"/>
          <w:highlight w:val="none"/>
        </w:rPr>
        <w:fldChar w:fldCharType="separate"/>
      </w:r>
      <w:r>
        <w:rPr>
          <w:rFonts w:hint="default" w:hAnsi="Calibri" w:cs="Calibri" w:asciiTheme="minorAscii"/>
          <w:sz w:val="20"/>
          <w:szCs w:val="20"/>
          <w:highlight w:val="none"/>
        </w:rPr>
        <w:t>Peter M Rothwell</w:t>
      </w:r>
      <w:r>
        <w:rPr>
          <w:rFonts w:hint="default" w:hAnsi="Calibri" w:cs="Calibri" w:asciiTheme="minorAscii"/>
          <w:sz w:val="20"/>
          <w:szCs w:val="20"/>
          <w:highlight w:val="none"/>
        </w:rPr>
        <w:fldChar w:fldCharType="end"/>
      </w:r>
      <w:r>
        <w:rPr>
          <w:rFonts w:hint="eastAsia" w:hAnsi="Calibri" w:cs="Calibri" w:asciiTheme="minorAscii"/>
          <w:sz w:val="20"/>
          <w:szCs w:val="20"/>
          <w:highlight w:val="none"/>
          <w:lang w:val="en-US" w:eastAsia="zh-CN"/>
        </w:rPr>
        <w:t xml:space="preserve">.Effects of regular aspirin on long-term cancer incidence and metastasis: a systematic comparison of evidence from observational studies versus randomised trials.Lancet Oncol.2012 May;13(5):518-27. </w:t>
      </w:r>
    </w:p>
    <w:p w14:paraId="72D0E7CB">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Mismatch repair deficiency predicts response of solid tumors to PD-1 blockade[J]. ence, 2017, 357(6349):409.</w:t>
      </w:r>
    </w:p>
    <w:p w14:paraId="1F51607E">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Engeland M V , Derks S , Smits K M , et al. Colorectal Cancer Epigenetics: Complex Simplicity[J]. Journal of Clinical Oncology, 2011, 29(10):1382-1391.</w:t>
      </w:r>
    </w:p>
    <w:p w14:paraId="1BCA689F">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Goldstein N S . Serrated Pathway and APC (Conventional)-Type Colorectal PolypsMolecular-Morphologic Correlations, Genetic Pathways, and Implications for Classification[J]. American Journal of Clinical Pathology(1):146-153.</w:t>
      </w:r>
    </w:p>
    <w:p w14:paraId="4232076E">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Loree J M , Pereira A A , Lam M , et al. Classifying colorectal cancer by tumor location rather than sidedness highlights a continuum in mutation profiles and Consensus Molecular Subtypes.[J]. Clinical Cancer Research, 2017:clincanres.2484.2017.</w:t>
      </w:r>
    </w:p>
    <w:p w14:paraId="41D5B138">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Venook A P , Niedzwiecki D , Innocenti F , et al. Impact of primary (1) tumor location on overall survival (OS) and progression-free survival (PFS) in patients (pts) with metastatic colorectal cancer (mCRC): Analysis of CALGB/SWOG 80405 (Alliance).[J]. Journal of Clinical Oncology, 2016, 34(15_suppl):3504-3504.</w:t>
      </w:r>
    </w:p>
    <w:p w14:paraId="7FE20D7B">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Cancer Genome Atlas Network. Comprehensive molecular characterization of human colon and rectal cancer[J]. Nature, 2012,487(7407): 330-337.</w:t>
      </w:r>
    </w:p>
    <w:p w14:paraId="62A59301">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Starr, T. K</w:t>
      </w:r>
      <w:r>
        <w:rPr>
          <w:rFonts w:hint="eastAsia" w:hAnsi="Calibri" w:cs="Calibri" w:asciiTheme="minorAscii"/>
          <w:sz w:val="20"/>
          <w:szCs w:val="20"/>
          <w:highlight w:val="none"/>
          <w:lang w:val="en-US" w:eastAsia="zh-CN"/>
        </w:rPr>
        <w:t xml:space="preserve">, Raha A, Kevin A T S, </w:t>
      </w:r>
      <w:r>
        <w:rPr>
          <w:rFonts w:hint="eastAsia" w:hAnsi="Calibri" w:cs="Calibri" w:asciiTheme="minorAscii"/>
          <w:sz w:val="20"/>
          <w:szCs w:val="20"/>
          <w:highlight w:val="none"/>
        </w:rPr>
        <w:t>et al. A transposon-based genetic screen in mice identifies genes altered in colorectal cancer. Science 323, 1747–1750 (2009).</w:t>
      </w:r>
    </w:p>
    <w:p w14:paraId="3ECBD2D2">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Kim, Y.-H</w:t>
      </w:r>
      <w:r>
        <w:rPr>
          <w:rFonts w:hint="eastAsia" w:hAnsi="Calibri" w:cs="Calibri" w:asciiTheme="minorAscii"/>
          <w:sz w:val="20"/>
          <w:szCs w:val="20"/>
          <w:highlight w:val="none"/>
          <w:lang w:val="en-US" w:eastAsia="zh-CN"/>
        </w:rPr>
        <w:t>, Petko Z, Dzieciatkowski S</w:t>
      </w:r>
      <w:r>
        <w:rPr>
          <w:rFonts w:hint="eastAsia" w:hAnsi="Calibri" w:cs="Calibri" w:asciiTheme="minorAscii"/>
          <w:sz w:val="20"/>
          <w:szCs w:val="20"/>
          <w:highlight w:val="none"/>
        </w:rPr>
        <w:t xml:space="preserve">. et al. CpG island methylation of genes accumulates during the adenoma progression step of the multistep pathogenesis of colorectal cancer.2006 Aug;45(8):781-9. </w:t>
      </w:r>
    </w:p>
    <w:p w14:paraId="513C3D6F">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Worthley D L , Whitehall V L J , Buttenshaw R L , et al. DNA methylation within the normal colorectal mucosa is associated with pathway-specific predisposition to cancer[J]. Oncogene, 2010.</w:t>
      </w:r>
    </w:p>
    <w:p w14:paraId="41E48760">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Yamauchi</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M</w:t>
      </w:r>
      <w:r>
        <w:rPr>
          <w:rFonts w:hint="eastAsia" w:hAnsi="Calibri" w:cs="Calibri" w:asciiTheme="minorAscii"/>
          <w:sz w:val="20"/>
          <w:szCs w:val="20"/>
          <w:highlight w:val="none"/>
          <w:lang w:val="en-US" w:eastAsia="zh-CN"/>
        </w:rPr>
        <w:t>,</w:t>
      </w:r>
      <w:r>
        <w:rPr>
          <w:rFonts w:hint="eastAsia" w:hAnsi="Calibri" w:cs="Calibri" w:asciiTheme="minorAscii"/>
          <w:sz w:val="20"/>
          <w:szCs w:val="20"/>
          <w:highlight w:val="none"/>
        </w:rPr>
        <w:t>Morikawa</w:t>
      </w:r>
      <w:r>
        <w:rPr>
          <w:rFonts w:hint="eastAsia" w:hAnsi="Calibri" w:cs="Calibri" w:asciiTheme="minorAscii"/>
          <w:sz w:val="20"/>
          <w:szCs w:val="20"/>
          <w:highlight w:val="none"/>
          <w:lang w:val="en-US" w:eastAsia="zh-CN"/>
        </w:rPr>
        <w:t xml:space="preserve"> T</w:t>
      </w:r>
      <w:r>
        <w:rPr>
          <w:rFonts w:hint="eastAsia" w:hAnsi="Calibri" w:cs="Calibri" w:asciiTheme="minorAscii"/>
          <w:sz w:val="20"/>
          <w:szCs w:val="20"/>
          <w:highlight w:val="none"/>
        </w:rPr>
        <w:t>, Kuchiba</w:t>
      </w:r>
      <w:r>
        <w:rPr>
          <w:rFonts w:hint="eastAsia" w:hAnsi="Calibri" w:cs="Calibri" w:asciiTheme="minorAscii"/>
          <w:sz w:val="20"/>
          <w:szCs w:val="20"/>
          <w:highlight w:val="none"/>
          <w:lang w:val="en-US" w:eastAsia="zh-CN"/>
        </w:rPr>
        <w:t xml:space="preserve"> A, </w:t>
      </w:r>
      <w:r>
        <w:rPr>
          <w:rFonts w:hint="eastAsia" w:hAnsi="Calibri" w:cs="Calibri" w:asciiTheme="minorAscii"/>
          <w:sz w:val="20"/>
          <w:szCs w:val="20"/>
          <w:highlight w:val="none"/>
        </w:rPr>
        <w:t>et al. Assessment of colorectal cancer molecular features along bowel subsites challenges the conception of distinct dichotomy of proximal versus distal colorectum. Gut 61, 847–854 (2012).</w:t>
      </w:r>
    </w:p>
    <w:p w14:paraId="00796056">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Chittenden T W , Howe E A , Culhane A C , et al. Functional classification analysis of somatically mutated genes in human breast and colorectal cancers[J]. Genomics, 2008, 91(6):508-511.</w:t>
      </w:r>
    </w:p>
    <w:p w14:paraId="3B4078B7">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Spada C , Hassan C , Marmo R , et al. Meta-analysis Shows Colon Capsule Endoscopy Is Effective in Detecting Colorectal Polyps[J]. Clin Gastroenterol Hepatol, 2010, 8(6):516-522.e8.</w:t>
      </w:r>
    </w:p>
    <w:p w14:paraId="67A84B22">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Spada C , Hassan C , Barbaro B , et al. Colon capsule versus CT colonography in patients with incomplete colonoscopy: a prospective, comparative trial[J]. Gut, 2015, 64(2):272-81.</w:t>
      </w:r>
    </w:p>
    <w:p w14:paraId="75CBB52A">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Kenneth, W, Kinzler,</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et al. Lessons from Hereditary Colorectal Cancer[J]. Cell, 1996.</w:t>
      </w:r>
    </w:p>
    <w:p w14:paraId="343D2680">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Ahlquist, D. A</w:t>
      </w:r>
      <w:r>
        <w:rPr>
          <w:rFonts w:hint="eastAsia" w:hAnsi="Calibri" w:cs="Calibri" w:asciiTheme="minorAscii"/>
          <w:sz w:val="20"/>
          <w:szCs w:val="20"/>
          <w:highlight w:val="none"/>
          <w:lang w:val="en-US" w:eastAsia="zh-CN"/>
        </w:rPr>
        <w:t>, Sargent D J , Loprinzi C L,</w:t>
      </w:r>
      <w:r>
        <w:rPr>
          <w:rFonts w:hint="eastAsia" w:hAnsi="Calibri" w:cs="Calibri" w:asciiTheme="minorAscii"/>
          <w:sz w:val="20"/>
          <w:szCs w:val="20"/>
          <w:highlight w:val="none"/>
        </w:rPr>
        <w:t xml:space="preserve"> et al. Stool DNA and occult blood testing for screen detection of colorectal neoplasia. Ann. Intern. Med. 149, 441–450 (2008).</w:t>
      </w:r>
    </w:p>
    <w:p w14:paraId="0CB95F45">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Pages F , Mlecnik B , Marliot F , et al. International validation of the consensus Immunoscore for the classification of colon cancer: a prognostic and accuracy study[J]. Lancet (London, England).</w:t>
      </w:r>
    </w:p>
    <w:p w14:paraId="4BA0A8FC">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Mismatch repair deficiency predicts response of solid tumors to PD-1 blockade[J]. ence, 2017, 357(6349):409.</w:t>
      </w:r>
    </w:p>
    <w:p w14:paraId="62FD7418">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Quirke P , West N P , Nagtegaal I D . EURECCA consensus conference highlights about colorectal cancer clinical management: the pathologists expert review[J]. Virchows Archiv, 2014, 464(2):129-134.</w:t>
      </w:r>
    </w:p>
    <w:p w14:paraId="0081FCB5">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Fiori E , Lamazza A , Schillaci A , et al. Palliative management for patients with subacute obstruction and stage IV unresectable rectosigmoid cancer: colostomy versus endoscopic stenting: final results of a prospective randomized trial[J]. American Journal of Surgery, 2012, 204(3):321-326.</w:t>
      </w:r>
    </w:p>
    <w:p w14:paraId="5F613DC7">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Graaf E J R D , Doornebosch P G , Tollenaar R A E M , et al. Transanal endoscopic microsurgery versus total mesorectal excision of T1 rectal adenocarcinomas with curative intention[J]. European Journal of Surgical Oncology, 2009, 35(12):1280-1285.</w:t>
      </w:r>
    </w:p>
    <w:p w14:paraId="07F35BF0">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Phil Quirke and Robert Steele and John Monson and Robert Grieve and Subhash Khanna and Jean Couture and Chris O'Callaghan and Arthur Sun Myint and Eric Bessell and Lindsay C Thompson and Mahesh Parmar and Richard J Stephens and David Sebag-Montefiore. Effect of the plane of surgery achieved on local recurrence in patients with operable rectal cancer: a prospective study using data from the MRC CR07 and NCIC-CTG CO16 randomised clinical trial[J]. The Lancet, 2009.</w:t>
      </w:r>
    </w:p>
    <w:p w14:paraId="5059E5C5">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Karim, M, Ramji, et al. Comparison of clinical and economic outcomes between robotic, laparoscopic, and open rectal cancer surgery: early experience at a tertiary care center[J]. Surgical Endoscopy, 2016.</w:t>
      </w:r>
    </w:p>
    <w:p w14:paraId="7740F48D">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Habr-Gama A , Perez R O , Juli?O G P S , et al. Nonoperative Approaches to Rectal Cancer: A Critical Evaluation[J]. Seminars in Radiation Oncology, 2011, 21(3):234-239.</w:t>
      </w:r>
    </w:p>
    <w:p w14:paraId="5BD5E389">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Amado R G , Wolf M , Peeters M , et al. Wild-Type KRAS Is Required for Panitumumab Efficacy in Patients With Metastatic Colorectal Cancer[J]. Journal of Clinical Oncology, 2008, 26(10):1626-1634.</w:t>
      </w:r>
    </w:p>
    <w:p w14:paraId="63DC605A">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Willett, C. G</w:t>
      </w:r>
      <w:r>
        <w:rPr>
          <w:rFonts w:hint="eastAsia" w:hAnsi="Calibri" w:cs="Calibri" w:asciiTheme="minorAscii"/>
          <w:sz w:val="20"/>
          <w:szCs w:val="20"/>
          <w:highlight w:val="none"/>
          <w:lang w:eastAsia="zh-CN"/>
        </w:rPr>
        <w:t>，</w:t>
      </w:r>
      <w:r>
        <w:rPr>
          <w:rFonts w:hint="eastAsia" w:hAnsi="Calibri" w:cs="Calibri" w:asciiTheme="minorAscii"/>
          <w:sz w:val="20"/>
          <w:szCs w:val="20"/>
          <w:highlight w:val="none"/>
        </w:rPr>
        <w:t>Boucher</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Y, Tomaso E</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d,</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et al. Direct evidence that the VEGF</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specific antibody bevacizumab has antivascular effects in human rectal cancer. Nat. Med. 10, 145–147 (2004).</w:t>
      </w:r>
    </w:p>
    <w:p w14:paraId="65F88869">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Henricks LM, Lunenburg CATC, de Man FM, et al. DPYD</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genotype-guided dose individualisation of fluoropyrimidine therapy in patients with cancer: a prospective safety analysis. Lancet Oncol</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2018; 19: 1459–67</w:t>
      </w:r>
    </w:p>
    <w:p w14:paraId="24E6357A">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Roth A D , Tejpar S , Delorenzi M , et al. Prognostic Role of KRAS and BRAF in Stage II and III Resected Colon Cancer: Results of the Translational Study on the PETACC-3, EORTC 40993, SAKK 60-00 Trial[J]. Journal of Clinical Oncology Official Journal of the American Society of Clinical Oncology, 2010, 28(3):466-74.</w:t>
      </w:r>
    </w:p>
    <w:p w14:paraId="6DC2B2AF">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Pages F , Mlecnik B , Marliot F , et al. International validation of the consensus Immunoscore for the classification of colon cancer: a prognostic and accuracy study[J]. Lancet. 2018 May 26;391(10135):2128-2139.</w:t>
      </w:r>
    </w:p>
    <w:p w14:paraId="0909BE55">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Giantonio B J , Catalano P J , Meropol N J , et al. Bevacizumab in Combination With Oxaliplatin, Fluorouracil, and Leucovorin (FOLFOX4) for Previously Treated Metastatic Colorectal Cancer: Results From the Eastern Cooperative Oncology Group Study E3200[J]. Journal of Clinical Oncology, 2007, 20(12):1539-1544.</w:t>
      </w:r>
    </w:p>
    <w:p w14:paraId="6BA9CA35">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Grothey A , Sobrero A F , Shields A F , et al. Duration of adjuvant chemotherapy for stage III colon cancer[J]. N Engl J Med, 2018, PP(13):1177-1188.</w:t>
      </w:r>
    </w:p>
    <w:p w14:paraId="19674EE4">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Venook AP, Niedzwiecki D, Innocenti F, at al. Impact of primary (1º) tumor location on overall survival (OS) and progression-free survival (PFS) in patients (pts) with metastatic colorectal cancer (mCRC): analysis of CALGB/SWOG 80405 (Alliance). J Clin Oncol 2016; 34 (suppl 15): 3504 (abstr)</w:t>
      </w:r>
    </w:p>
    <w:p w14:paraId="206DC419">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Arnold D, Lueza B, Douillard JY, et al. Prognostic and predictive value</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of primary tumour side in patients with RAS wild-type metastatic colorectal cancer treated with chemotherapy and EGFR directed antibodies in six randomized trials. Ann Oncol 2017; 28: 1713–29.</w:t>
      </w:r>
    </w:p>
    <w:p w14:paraId="7871C8DB">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Bokemeyer C, Bondarenko I, Makhson A, et al. Fluorouracil,leucovorin, and oxaliplatin with and without cetuximab in the first-line treatment of metastatic colorectal cancer. J Clin Oncol 2009; 27: 663–71.</w:t>
      </w:r>
    </w:p>
    <w:p w14:paraId="0B8C5678">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Pietrantonio F, Petrelli F, Coinu A, et al. Predictive role of BRAF</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mutations in patients with advanced colorectal cancer receiving cetuximab and panitumumab: a meta-analysis. Eur J Cancer 2015; 51: 587–94</w:t>
      </w:r>
    </w:p>
    <w:p w14:paraId="471BDAB3">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Bevacizumab plus chemotherapy continued beyond first progression in patients with metastatic colorectal cancer previously treated with bevacizumab plus chemotherapy: ML18147 study KRAS subgroup findings[J]. Annals of Oncology Official Journal of the European Society for Medical Oncology, 2013, 24(9):2342-2349.</w:t>
      </w:r>
    </w:p>
    <w:p w14:paraId="3D0A7220">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Van Cutsem, E</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fldChar w:fldCharType="begin"/>
      </w:r>
      <w:r>
        <w:rPr>
          <w:rFonts w:hint="eastAsia" w:hAnsi="Calibri" w:cs="Calibri" w:asciiTheme="minorAscii"/>
          <w:sz w:val="20"/>
          <w:szCs w:val="20"/>
          <w:highlight w:val="none"/>
        </w:rPr>
        <w:instrText xml:space="preserve"> HYPERLINK "https://xueshu.baidu.com/s?wd=author:(Tabernero, J.) &amp;tn=SE_baiduxueshu_c1gjeupa&amp;ie=utf-8&amp;sc_f_para=sc_hilight=person" \t "https://xueshu.baidu.com/usercenter/paper/_blank" </w:instrText>
      </w:r>
      <w:r>
        <w:rPr>
          <w:rFonts w:hint="eastAsia" w:hAnsi="Calibri" w:cs="Calibri" w:asciiTheme="minorAscii"/>
          <w:sz w:val="20"/>
          <w:szCs w:val="20"/>
          <w:highlight w:val="none"/>
        </w:rPr>
        <w:fldChar w:fldCharType="separate"/>
      </w:r>
      <w:r>
        <w:rPr>
          <w:rFonts w:hint="eastAsia" w:hAnsi="Calibri" w:cs="Calibri" w:asciiTheme="minorAscii"/>
          <w:sz w:val="20"/>
          <w:szCs w:val="20"/>
          <w:highlight w:val="none"/>
        </w:rPr>
        <w:t>Tabernero, J.</w:t>
      </w:r>
      <w:r>
        <w:rPr>
          <w:rFonts w:hint="eastAsia" w:hAnsi="Calibri" w:cs="Calibri" w:asciiTheme="minorAscii"/>
          <w:sz w:val="20"/>
          <w:szCs w:val="20"/>
          <w:highlight w:val="none"/>
        </w:rPr>
        <w:fldChar w:fldCharType="end"/>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fldChar w:fldCharType="begin"/>
      </w:r>
      <w:r>
        <w:rPr>
          <w:rFonts w:hint="eastAsia" w:hAnsi="Calibri" w:cs="Calibri" w:asciiTheme="minorAscii"/>
          <w:sz w:val="20"/>
          <w:szCs w:val="20"/>
          <w:highlight w:val="none"/>
        </w:rPr>
        <w:instrText xml:space="preserve"> HYPERLINK "https://xueshu.baidu.com/s?wd=author:(Lakomy, R.) &amp;tn=SE_baiduxueshu_c1gjeupa&amp;ie=utf-8&amp;sc_f_para=sc_hilight=person" \t "https://xueshu.baidu.com/usercenter/paper/_blank" </w:instrText>
      </w:r>
      <w:r>
        <w:rPr>
          <w:rFonts w:hint="eastAsia" w:hAnsi="Calibri" w:cs="Calibri" w:asciiTheme="minorAscii"/>
          <w:sz w:val="20"/>
          <w:szCs w:val="20"/>
          <w:highlight w:val="none"/>
        </w:rPr>
        <w:fldChar w:fldCharType="separate"/>
      </w:r>
      <w:r>
        <w:rPr>
          <w:rFonts w:hint="eastAsia" w:hAnsi="Calibri" w:cs="Calibri" w:asciiTheme="minorAscii"/>
          <w:sz w:val="20"/>
          <w:szCs w:val="20"/>
          <w:highlight w:val="none"/>
        </w:rPr>
        <w:t>Lakomy, R.</w:t>
      </w:r>
      <w:r>
        <w:rPr>
          <w:rFonts w:hint="eastAsia" w:hAnsi="Calibri" w:cs="Calibri" w:asciiTheme="minorAscii"/>
          <w:sz w:val="20"/>
          <w:szCs w:val="20"/>
          <w:highlight w:val="none"/>
        </w:rPr>
        <w:fldChar w:fldCharType="end"/>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et al. Addition of aflibercept to fluorouracil, leucovorin, and irinotecan improves survival in a Phase III randomized trial in patients with metastatic colorectal cancer previously treated with an oxaliplatin-based regimen. J. Clin. Oncol. 30, 3499–3506 (2012).</w:t>
      </w:r>
    </w:p>
    <w:p w14:paraId="0CE2E791">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Ansi="Helvetica" w:eastAsia="Helvetica" w:cs="Helvetica" w:asciiTheme="minorAscii"/>
          <w:i w:val="0"/>
          <w:caps w:val="0"/>
          <w:color w:val="000000"/>
          <w:spacing w:val="0"/>
          <w:sz w:val="20"/>
          <w:szCs w:val="20"/>
          <w:highlight w:val="none"/>
          <w:shd w:val="clear" w:fill="FFFFFF"/>
        </w:rPr>
        <w:t>Tomlinson J S , Jarnagin W R , Dematteo R P , et al. Actual 10-year survival after resection of colorectal liver metastases defines cure.[J]. Journal of Clinical Oncology, 2007, 25(29):4575-4580.</w:t>
      </w:r>
    </w:p>
    <w:p w14:paraId="4A9C6F49">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lang w:val="en-US" w:eastAsia="zh-CN"/>
        </w:rPr>
        <w:t>A</w:t>
      </w:r>
      <w:r>
        <w:rPr>
          <w:rFonts w:hint="eastAsia" w:hAnsi="Calibri" w:cs="Calibri" w:asciiTheme="minorAscii"/>
          <w:sz w:val="20"/>
          <w:szCs w:val="20"/>
          <w:highlight w:val="none"/>
        </w:rPr>
        <w:t>yez</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N</w:t>
      </w:r>
      <w:r>
        <w:rPr>
          <w:rFonts w:hint="eastAsia" w:hAnsi="Calibri" w:cs="Calibri" w:asciiTheme="minorAscii"/>
          <w:sz w:val="20"/>
          <w:szCs w:val="20"/>
          <w:highlight w:val="none"/>
          <w:lang w:val="en-US" w:eastAsia="zh-CN"/>
        </w:rPr>
        <w:t xml:space="preserve">,Lalmahomed Z S，Eggermont A M M , </w:t>
      </w:r>
      <w:r>
        <w:rPr>
          <w:rFonts w:hint="eastAsia" w:hAnsi="Calibri" w:cs="Calibri" w:asciiTheme="minorAscii"/>
          <w:sz w:val="20"/>
          <w:szCs w:val="20"/>
          <w:highlight w:val="none"/>
        </w:rPr>
        <w:t>et al. Outcome of microscopic incomplete resection (R1) of colorectal liver metastases in the era of neoadjuvant chemotherapy. Ann. Surg. Oncol. 19, 1618–1627 (2012).</w:t>
      </w:r>
    </w:p>
    <w:p w14:paraId="0243C67E">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Heinemann, V</w:t>
      </w:r>
      <w:r>
        <w:rPr>
          <w:rFonts w:hint="eastAsia" w:hAnsi="Calibri" w:cs="Calibri" w:asciiTheme="minorAscii"/>
          <w:sz w:val="20"/>
          <w:szCs w:val="20"/>
          <w:highlight w:val="none"/>
          <w:lang w:val="en-US" w:eastAsia="zh-CN"/>
        </w:rPr>
        <w:t>,von Weikersthal LF, Decker T,</w:t>
      </w:r>
      <w:r>
        <w:rPr>
          <w:rFonts w:hint="eastAsia" w:hAnsi="Calibri" w:cs="Calibri" w:asciiTheme="minorAscii"/>
          <w:sz w:val="20"/>
          <w:szCs w:val="20"/>
          <w:highlight w:val="none"/>
        </w:rPr>
        <w:t xml:space="preserve"> et al. FOLFIRI plus cetuximab versus FOLFIRI plus bevacizumab as first-line treatment for patients with metastatic colorectal cancer (FIRE-3): a randomised, open-label, phase 3 trial. Lancet Oncol. 15, 1065–1075 (2014).</w:t>
      </w:r>
    </w:p>
    <w:p w14:paraId="5A3FF421">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Amarpreet Bhalla, Muhammad Zulfiqar, Martin H. Bluth. Molecular Diagnostics in Colorectal Carcinoma : Advances and Applications for 2018[J]. Clinics in Laboratory Medicine, 2018, 38(2):311-342.</w:t>
      </w:r>
    </w:p>
    <w:p w14:paraId="40A26922">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Kanthan R, Senger J L, Kanthan S C. Molecular Events in Primary and Metastatic Colorectal Carcinoma: A Review[J]. Pathology Research International,2012,(2012-5-9), 2012, 2012:597497.</w:t>
      </w:r>
    </w:p>
    <w:p w14:paraId="578CAF06">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Tan C, Du X. KRAS mutation testing in metastatic colorectal cancer[J]. World Journal of Gastroenterology, 2012, 18(37):5171-5180.</w:t>
      </w:r>
    </w:p>
    <w:p w14:paraId="5734D334">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Heinemann V, von Weikersthal L F, Decker T, et al. FOLFIRI plus cetuximab versus FOLFIRI plus bevacizumab as first-line treatment for patients with metastatic colorectal cancer (FIRE-3): a randomised, open-label, phase 3 trial[J]. Lancet Oncology, 2014, 15(10):1065-1075.</w:t>
      </w:r>
    </w:p>
    <w:p w14:paraId="46A5FD0F">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Ma B B, Mo F, Tong J H, et al. Elucidating the prognostic significance of KRAS, NRAS, BRAF and PIK3CA mutations in Chinese patients with metastatic colorectal cancer[J]. Asia Pac J Clin Oncol, 2015, 11(2):160-169.</w:t>
      </w:r>
    </w:p>
    <w:p w14:paraId="67CB80F1">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Tsuneo I, Yohko H, Fumihiko K,</w:t>
      </w:r>
      <w:r>
        <w:rPr>
          <w:rFonts w:hAnsi="Calibri" w:cs="Calibri" w:asciiTheme="minorAscii"/>
          <w:sz w:val="20"/>
          <w:szCs w:val="20"/>
          <w:highlight w:val="none"/>
        </w:rPr>
        <w:t xml:space="preserve"> et al.</w:t>
      </w:r>
      <w:r>
        <w:rPr>
          <w:rFonts w:hint="eastAsia" w:hAnsi="Calibri" w:cs="Calibri" w:asciiTheme="minorAscii"/>
          <w:sz w:val="20"/>
          <w:szCs w:val="20"/>
          <w:highlight w:val="none"/>
        </w:rPr>
        <w:t>Different effects of point mutations within the B-Raf glycine-rich loop in colorectal tumors on mitogen-activated protein/extracellular signal-regulated kinase kinase/extracellular signal-regulated kinase and nuclear factor kappaB pathway and cellular transformation</w:t>
      </w:r>
      <w:r>
        <w:rPr>
          <w:rFonts w:hint="eastAsia" w:hAnsi="Calibri" w:cs="Calibri" w:asciiTheme="minorAscii"/>
          <w:sz w:val="20"/>
          <w:szCs w:val="20"/>
          <w:highlight w:val="none"/>
          <w:lang w:val="en-US" w:eastAsia="zh-CN"/>
        </w:rPr>
        <w:t>.Cancer Res. 2004 May 15;64(10):3428-35.</w:t>
      </w:r>
    </w:p>
    <w:p w14:paraId="3F6BC90E">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Siena S, Sartore-Bianchi A, Marsoni S, et al. Targeting the human epidermal growth factor receptor 2 in colorectal cancer. Ann Oncol. 2018;29:1108-1119.</w:t>
      </w:r>
    </w:p>
    <w:p w14:paraId="14B91893">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Sartore-Bianchi A, Trusolino L, Martino C, et al. Dual-targeted therapy with trastuzumab and lapatinib in treatment-refractory, KRAS codon 12/13 wild-type, HER2-positive metastatic colorectal cancer (HERACLES): a proof-of-concept, multicentre, open-label, phase 2 trial. Lancet Oncol. 2016;17:738-746.</w:t>
      </w:r>
    </w:p>
    <w:p w14:paraId="5C8AD937">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Pertuzumab plus trastuzumab for HER2-amplified metastatic colorectal cancer (MyPathway): an updated report from a multicentre, open-label, phase 2a, multiple basket study.[J]. The Lancet. Oncology, 2019.</w:t>
      </w:r>
    </w:p>
    <w:p w14:paraId="0AC850DE">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Peltomäki P. Deficient DNA mismatch repair: a common etiologic factor for colon cancer.[J]. Human Molecular Genetics, 2001, 10(7):735-740.</w:t>
      </w:r>
    </w:p>
    <w:p w14:paraId="3FF10E0C">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Ansi="Calibri" w:cs="Calibri" w:asciiTheme="minorAscii"/>
          <w:sz w:val="20"/>
          <w:szCs w:val="20"/>
          <w:highlight w:val="none"/>
        </w:rPr>
        <w:t>Amarpreet Bhalla, Muhammad Zulfiqar, Martin H. Bluth. Molecular Diagnostics in Colorectal Carcinoma : Advances and Applications for 2018[J]. Clinics in Laboratory Medicine, 2018, 38(2):311-342.</w:t>
      </w:r>
    </w:p>
    <w:p w14:paraId="07F58890">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Palomaki G E, Mcclain M R, Melillo S, et al. EGAPP supplementary evidence review: DNA testing strategies aimed at reducing morbidity and mortality from Lynch syndrome[J]. Genetics in Medicine, 2009, 11(1):42-65.</w:t>
      </w:r>
    </w:p>
    <w:p w14:paraId="0FB7630B">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微软雅黑" w:eastAsia="微软雅黑" w:cs="微软雅黑" w:asciiTheme="minorAscii"/>
          <w:i w:val="0"/>
          <w:caps w:val="0"/>
          <w:color w:val="000000"/>
          <w:spacing w:val="0"/>
          <w:sz w:val="20"/>
          <w:szCs w:val="20"/>
          <w:highlight w:val="none"/>
          <w:shd w:val="clear" w:fill="FFFFFF"/>
        </w:rPr>
        <w:t>Boyiadzis M M , Kirkwood J M , Marshall J L , et al. Significance and implications of FDA approval of pembrolizumab for biomarker-defined disease[J]. Journal for ImmunoTherapy of Cancer, 2018, 6(1):35.</w:t>
      </w:r>
    </w:p>
    <w:p w14:paraId="122246E9">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Aparicio T. PD-1 blockade in tumors with mismatch-repair deficiency[J]. New England Journal of Medicine, 2015, 373(20):2509-2520.</w:t>
      </w:r>
    </w:p>
    <w:p w14:paraId="3ED0D452">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Le D T, Durham J N, Smith K N, et al. Mismatch-repair deficiency predicts response of solid tumors to PD-1 blockade.[J]. Science, 2017, 357(6349):409.</w:t>
      </w:r>
    </w:p>
    <w:p w14:paraId="654737A4">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Overman M J, Mcdermott R, Leach J L, et al. Nivolumab in patients with metastatic DNA mismatch repair-deficient or microsatellite instability-high colorectal cancer (CheckMate 142): an open-label, multicentre, phase 2 study.[J]. Lancet Oncology, 2017, 18(9):1182.</w:t>
      </w:r>
    </w:p>
    <w:p w14:paraId="502A11A8">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Link J T, Overman M J. Immunotherapy Progress in Mismatch Repair-Deficient Colorectal Cancer and Future Therapeutic Challenges[J]. Cancer Journal, 2016, 22(3):190.</w:t>
      </w:r>
    </w:p>
    <w:p w14:paraId="2CBC730C">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Giannakis M, Shukla S, Mu JX, et al. Comprehensive molecular characterization of colorectal cancer reveals genomic predictors of immune cell infiltrates[J]. Bioorgan Med Chem, 2015, 17(2): 569-575.</w:t>
      </w:r>
    </w:p>
    <w:p w14:paraId="1D4E2088">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Mehnert J M, Panda A, Hua Z, et al. Immune activation and response to pembrolizumab in POLE-mutant endometrial cancer[J]. Journal of Clinical Investigation, 2016, 126(6):2334.</w:t>
      </w:r>
    </w:p>
    <w:p w14:paraId="263B79D5">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NA Rizvi, MD Hellmann, A Snyder, et al. Cancer immunology. Mutational landscape determines sensitivity to PD-1 blockade in non-small cell lung cancer.[J]. Science, 2015, 348(6230):124-128.</w:t>
      </w:r>
    </w:p>
    <w:p w14:paraId="12CDE453">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Domingo E, Freeman-Mills L, Rayner E, et al. Somatic POLE, proofreading domain mutation, immune response, and prognosis in colorectal cancer: a retrospective, pooled biomarker study[J]. Lancet Gastroenterology &amp; Hepatology, 2016, 1(3):207-216.</w:t>
      </w:r>
    </w:p>
    <w:p w14:paraId="7D70A910">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int="default" w:hAnsi="Calibri" w:cs="Calibri" w:asciiTheme="minorAscii"/>
          <w:sz w:val="20"/>
          <w:szCs w:val="20"/>
          <w:highlight w:val="none"/>
          <w:lang w:val="en-US" w:eastAsia="zh-CN"/>
        </w:rPr>
        <w:t xml:space="preserve">Jun G, Chongkai W, Peter PL, </w:t>
      </w:r>
      <w:r>
        <w:rPr>
          <w:rFonts w:hAnsi="Calibri" w:cs="Calibri" w:asciiTheme="minorAscii"/>
          <w:sz w:val="20"/>
          <w:szCs w:val="20"/>
          <w:highlight w:val="none"/>
        </w:rPr>
        <w:t>et al.</w:t>
      </w:r>
      <w:r>
        <w:rPr>
          <w:rFonts w:hint="default" w:hAnsi="Calibri" w:cs="Calibri" w:asciiTheme="minorAscii"/>
          <w:sz w:val="20"/>
          <w:szCs w:val="20"/>
          <w:highlight w:val="none"/>
          <w:lang w:val="en-US" w:eastAsia="zh-CN"/>
        </w:rPr>
        <w:t> Response to PD-1 blockade in microsatellite stable metastatic colorectal cancer harboring a POLE mutation.</w:t>
      </w:r>
    </w:p>
    <w:p w14:paraId="6CABFCF3">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int="default" w:hAnsi="Calibri" w:cs="Calibri" w:asciiTheme="minorAscii"/>
          <w:sz w:val="20"/>
          <w:szCs w:val="20"/>
          <w:highlight w:val="none"/>
          <w:lang w:val="en-US" w:eastAsia="zh-CN"/>
        </w:rPr>
        <w:t xml:space="preserve">Wang C, Gong J, Tu TY, </w:t>
      </w:r>
      <w:r>
        <w:rPr>
          <w:rFonts w:hAnsi="Calibri" w:cs="Calibri" w:asciiTheme="minorAscii"/>
          <w:sz w:val="20"/>
          <w:szCs w:val="20"/>
          <w:highlight w:val="none"/>
        </w:rPr>
        <w:t>et al.</w:t>
      </w:r>
      <w:r>
        <w:rPr>
          <w:rFonts w:hint="default" w:hAnsi="Calibri" w:cs="Calibri" w:asciiTheme="minorAscii"/>
          <w:sz w:val="20"/>
          <w:szCs w:val="20"/>
          <w:highlight w:val="none"/>
          <w:lang w:val="en-US" w:eastAsia="zh-CN"/>
        </w:rPr>
        <w:t> Immune profiling of microsatellite instability-high and polymerase ε (POLE)-mutated metastatic colorectal tumors identifies predictors of response to anti-PD-1 therapy. J Gastrointest Oncol. (2018) 9:404–15. 10.21037/jgo.2018.01.09</w:t>
      </w:r>
      <w:r>
        <w:rPr>
          <w:rFonts w:hint="eastAsia" w:hAnsi="Calibri" w:cs="Calibri" w:asciiTheme="minorAscii"/>
          <w:sz w:val="20"/>
          <w:szCs w:val="20"/>
          <w:highlight w:val="none"/>
          <w:lang w:val="en-US" w:eastAsia="zh-CN"/>
        </w:rPr>
        <w:t>.</w:t>
      </w:r>
    </w:p>
    <w:p w14:paraId="3A876EA4">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int="default" w:hAnsi="微软雅黑" w:cs="微软雅黑" w:asciiTheme="minorAscii"/>
          <w:sz w:val="20"/>
          <w:szCs w:val="20"/>
          <w:highlight w:val="none"/>
          <w:lang w:val="en-US" w:eastAsia="zh-CN"/>
        </w:rPr>
        <w:t>M</w:t>
      </w:r>
      <w:r>
        <w:rPr>
          <w:rFonts w:hint="default" w:hAnsi="Calibri" w:cs="Calibri" w:asciiTheme="minorAscii"/>
          <w:sz w:val="20"/>
          <w:szCs w:val="20"/>
          <w:highlight w:val="none"/>
          <w:lang w:val="en-US" w:eastAsia="zh-CN"/>
        </w:rPr>
        <w:t>ehnert JM, Panda A, Zhong H, Hirshfield K, Damare S, Lane K, et al. Immune activation and response to pembrolizumab in POLE-mutant endometrial cancer. J Clin Invest. (2016) 126:2334–40.</w:t>
      </w:r>
      <w:r>
        <w:rPr>
          <w:rFonts w:hint="eastAsia" w:hAnsi="Calibri" w:cs="Calibri" w:asciiTheme="minorAscii"/>
          <w:sz w:val="20"/>
          <w:szCs w:val="20"/>
          <w:highlight w:val="none"/>
          <w:lang w:val="en-US" w:eastAsia="zh-CN"/>
        </w:rPr>
        <w:t xml:space="preserve"> </w:t>
      </w:r>
    </w:p>
    <w:p w14:paraId="3A1029AB">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int="default" w:hAnsi="Calibri" w:cs="Calibri" w:asciiTheme="minorAscii"/>
          <w:sz w:val="20"/>
          <w:szCs w:val="20"/>
          <w:highlight w:val="none"/>
          <w:lang w:val="en-US" w:eastAsia="zh-CN"/>
        </w:rPr>
        <w:t>Santin AD, Bellone S, Buza N, Choi J, Schwartz PE, Schlessinger J, et al. Regression of chemotherapy-resistant polymerase ε (POLE) ultra-mutated and MSH6 hyper-mutated endometrial tumors with nivolumab. Clin Cancer Res. (2016) 22:5682–7. 10.1158/1078-0432.CCR-16-1031</w:t>
      </w:r>
      <w:r>
        <w:rPr>
          <w:rFonts w:hint="eastAsia" w:hAnsi="Calibri" w:cs="Calibri" w:asciiTheme="minorAscii"/>
          <w:sz w:val="20"/>
          <w:szCs w:val="20"/>
          <w:highlight w:val="none"/>
          <w:lang w:val="en-US" w:eastAsia="zh-CN"/>
        </w:rPr>
        <w:t xml:space="preserve"> 100</w:t>
      </w:r>
      <w:r>
        <w:rPr>
          <w:rFonts w:hint="default" w:hAnsi="Calibri" w:cs="Calibri" w:asciiTheme="minorAscii"/>
          <w:sz w:val="20"/>
          <w:szCs w:val="20"/>
          <w:highlight w:val="none"/>
          <w:lang w:val="en-US" w:eastAsia="zh-CN"/>
        </w:rPr>
        <w:t>.</w:t>
      </w:r>
    </w:p>
    <w:p w14:paraId="4DC5DC30">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default" w:hAnsi="Calibri" w:cs="Calibri" w:asciiTheme="minorAscii"/>
          <w:sz w:val="20"/>
          <w:szCs w:val="20"/>
          <w:highlight w:val="none"/>
          <w:lang w:val="en-US" w:eastAsia="zh-CN"/>
        </w:rPr>
      </w:pPr>
      <w:r>
        <w:rPr>
          <w:rFonts w:hint="default" w:hAnsi="Calibri" w:cs="Calibri" w:asciiTheme="minorAscii"/>
          <w:sz w:val="20"/>
          <w:szCs w:val="20"/>
          <w:highlight w:val="none"/>
          <w:lang w:val="en-US" w:eastAsia="zh-CN"/>
        </w:rPr>
        <w:t>Howitt BE, Shukla SA, Sholl LM, Ritterhouse LL, Watkins JC, Rodig S, et al. Association of polymerase e–mutated and microsatellite-instable endometrial cancers with neoantigen load, number of tumor-infiltrating lymphocytes, and expression of PD-1 and PD-L1polymerase e–mutated and microsatellite-instable endometrial cancerpolymerase e–mutated and microsatellite-instable endometrial cancer. JAMA Oncology. (2015) 1:1319–23. 10.1001/jamaoncol.2015.2151</w:t>
      </w:r>
    </w:p>
    <w:p w14:paraId="665A4836">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default" w:hAnsi="Calibri" w:cs="Calibri" w:asciiTheme="minorAscii"/>
          <w:sz w:val="20"/>
          <w:szCs w:val="20"/>
          <w:highlight w:val="none"/>
          <w:lang w:val="en-US" w:eastAsia="zh-CN"/>
        </w:rPr>
      </w:pPr>
      <w:r>
        <w:rPr>
          <w:rFonts w:hint="default" w:hAnsi="Calibri" w:cs="Calibri" w:asciiTheme="minorAscii"/>
          <w:sz w:val="20"/>
          <w:szCs w:val="20"/>
          <w:highlight w:val="none"/>
          <w:lang w:val="en-US" w:eastAsia="zh-CN"/>
        </w:rPr>
        <w:t xml:space="preserve">Picard E , Verschoor C P , Ma G W , et al. Relationships Between Immune Landscapes, Genetic Subtypes and Responses to Immunotherapy in Colorectal Cancer[J]. Frontiers in Immunology, 2020, </w:t>
      </w:r>
    </w:p>
    <w:p w14:paraId="7D9177B3">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lang w:val="en-US" w:eastAsia="zh-CN"/>
        </w:rPr>
      </w:pPr>
      <w:r>
        <w:rPr>
          <w:rFonts w:hint="default" w:hAnsi="Calibri" w:cs="Calibri" w:asciiTheme="minorAscii"/>
          <w:sz w:val="20"/>
          <w:szCs w:val="20"/>
          <w:highlight w:val="none"/>
          <w:lang w:val="en-US" w:eastAsia="zh-CN"/>
        </w:rPr>
        <w:t>Booth R A. Minimally invasive biomarkers for detection and staging of colorectal cancer[J]. Cancer Letters, 2007, 249(1):87-96.</w:t>
      </w:r>
    </w:p>
    <w:p w14:paraId="1543A847">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lang w:val="en-US" w:eastAsia="zh-CN"/>
        </w:rPr>
      </w:pPr>
      <w:r>
        <w:rPr>
          <w:rFonts w:hint="eastAsia" w:hAnsi="Calibri" w:cs="Calibri" w:asciiTheme="minorAscii"/>
          <w:sz w:val="20"/>
          <w:szCs w:val="20"/>
          <w:highlight w:val="none"/>
          <w:lang w:val="en-US" w:eastAsia="zh-CN"/>
        </w:rPr>
        <w:t>Hong D S , Fakih M G , Strickler J H , et al. KRASG12C Inhibition with Sotorasib in Advanced Solid Tumors[J]. New England Journal of Medicine, 2020.</w:t>
      </w:r>
    </w:p>
    <w:p w14:paraId="456CB8BB">
      <w:pPr>
        <w:adjustRightInd/>
        <w:snapToGrid/>
        <w:jc w:val="both"/>
        <w:rPr>
          <w:rFonts w:hAnsi="微软雅黑" w:cs="微软雅黑" w:asciiTheme="minorHAnsi"/>
          <w:color w:val="222222"/>
          <w:sz w:val="18"/>
          <w:szCs w:val="18"/>
          <w:shd w:val="clear" w:color="auto" w:fill="FFFFFF"/>
        </w:rPr>
      </w:pPr>
    </w:p>
    <w:p w14:paraId="0EE948EE">
      <w:pPr>
        <w:spacing w:line="312" w:lineRule="auto"/>
        <w:jc w:val="both"/>
        <w:rPr>
          <w:rFonts w:ascii="微软雅黑" w:hAnsi="微软雅黑"/>
          <w:b/>
          <w:sz w:val="28"/>
          <w:szCs w:val="28"/>
        </w:rPr>
      </w:pPr>
      <w:r>
        <w:rPr>
          <w:rFonts w:hint="eastAsia" w:ascii="微软雅黑" w:hAnsi="微软雅黑"/>
          <w:b/>
          <w:sz w:val="28"/>
          <w:szCs w:val="28"/>
        </w:rPr>
        <w:br w:type="page"/>
      </w:r>
    </w:p>
    <w:p w14:paraId="6D992E7F">
      <w:pPr>
        <w:spacing w:line="312" w:lineRule="auto"/>
        <w:jc w:val="both"/>
        <w:outlineLvl w:val="0"/>
        <w:rPr>
          <w:rFonts w:ascii="微软雅黑" w:hAnsi="微软雅黑"/>
          <w:b/>
          <w:sz w:val="24"/>
          <w:szCs w:val="24"/>
        </w:rPr>
      </w:pPr>
      <w:bookmarkStart w:id="208" w:name="_Toc17460"/>
      <w:bookmarkStart w:id="209" w:name="_Toc12428"/>
      <w:r>
        <w:rPr>
          <w:rFonts w:hint="eastAsia" w:ascii="微软雅黑" w:hAnsi="微软雅黑"/>
          <w:b/>
          <w:sz w:val="24"/>
          <w:szCs w:val="24"/>
        </w:rPr>
        <w:t>3. 癌症相关信号通路</w:t>
      </w:r>
      <w:bookmarkEnd w:id="190"/>
      <w:bookmarkEnd w:id="191"/>
      <w:bookmarkEnd w:id="192"/>
      <w:bookmarkEnd w:id="193"/>
      <w:bookmarkEnd w:id="194"/>
      <w:bookmarkEnd w:id="195"/>
      <w:bookmarkEnd w:id="196"/>
      <w:bookmarkEnd w:id="197"/>
      <w:bookmarkEnd w:id="198"/>
      <w:bookmarkEnd w:id="199"/>
      <w:bookmarkEnd w:id="201"/>
      <w:bookmarkEnd w:id="208"/>
      <w:bookmarkEnd w:id="209"/>
      <w:r>
        <w:commentReference w:id="32"/>
      </w:r>
    </w:p>
    <w:bookmarkEnd w:id="202"/>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08"/>
        <w:gridCol w:w="7214"/>
      </w:tblGrid>
      <w:tr w14:paraId="1226F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8"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4FD16434">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通路名称</w:t>
            </w:r>
          </w:p>
        </w:tc>
        <w:tc>
          <w:tcPr>
            <w:tcW w:w="7214"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368CDD0D">
            <w:pPr>
              <w:keepNext w:val="0"/>
              <w:keepLines w:val="0"/>
              <w:widowControl/>
              <w:suppressLineNumbers w:val="0"/>
              <w:spacing w:before="0" w:beforeAutospacing="0" w:after="0" w:afterAutospacing="0" w:line="220" w:lineRule="atLeast"/>
              <w:ind w:left="0" w:right="0"/>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PI3K-Akt-mTOR signaling pathway</w:t>
            </w:r>
          </w:p>
        </w:tc>
      </w:tr>
      <w:tr w14:paraId="4DE0F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8"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1CF14505">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FFFFF" w:themeColor="background1"/>
                <w:kern w:val="2"/>
                <w:sz w:val="20"/>
                <w:szCs w:val="20"/>
                <w14:textFill>
                  <w14:solidFill>
                    <w14:schemeClr w14:val="bg1"/>
                  </w14:solidFill>
                </w14:textFill>
              </w:rPr>
            </w:pPr>
            <w:r>
              <w:rPr>
                <w:rFonts w:hint="default" w:ascii="微软雅黑" w:hAnsi="微软雅黑" w:cs="Times New Roman"/>
                <w:b/>
                <w:color w:val="FFFFFF" w:themeColor="background1"/>
                <w:kern w:val="2"/>
                <w:sz w:val="20"/>
                <w:szCs w:val="20"/>
                <w14:textFill>
                  <w14:solidFill>
                    <w14:schemeClr w14:val="bg1"/>
                  </w14:solidFill>
                </w14:textFill>
              </w:rPr>
              <w:t>通路解析</w:t>
            </w:r>
          </w:p>
        </w:tc>
        <w:tc>
          <w:tcPr>
            <w:tcW w:w="7214"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1D0B5683">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微软雅黑"/>
                <w:kern w:val="2"/>
                <w:sz w:val="18"/>
                <w:szCs w:val="18"/>
              </w:rPr>
            </w:pPr>
            <w:r>
              <w:rPr>
                <w:rFonts w:hint="eastAsia" w:ascii="微软雅黑" w:hAnsi="微软雅黑" w:cs="微软雅黑"/>
                <w:kern w:val="2"/>
                <w:sz w:val="18"/>
                <w:szCs w:val="18"/>
              </w:rPr>
              <w:t>磷脂酰肌醇3-激酶（PI3K）信号通路调节细胞的增殖和存活</w:t>
            </w:r>
            <w:r>
              <w:rPr>
                <w:rFonts w:hint="default" w:ascii="微软雅黑" w:hAnsi="微软雅黑" w:cs="微软雅黑"/>
                <w:kern w:val="2"/>
                <w:sz w:val="18"/>
                <w:szCs w:val="18"/>
              </w:rPr>
              <w:t>，</w:t>
            </w:r>
            <w:r>
              <w:rPr>
                <w:rFonts w:hint="eastAsia" w:ascii="微软雅黑" w:hAnsi="微软雅黑" w:cs="微软雅黑"/>
                <w:kern w:val="2"/>
                <w:sz w:val="18"/>
                <w:szCs w:val="18"/>
              </w:rPr>
              <w:t>其活性异常不仅能导致细胞恶性转化</w:t>
            </w:r>
            <w:r>
              <w:rPr>
                <w:rFonts w:hint="default" w:ascii="微软雅黑" w:hAnsi="微软雅黑" w:cs="微软雅黑"/>
                <w:kern w:val="2"/>
                <w:sz w:val="18"/>
                <w:szCs w:val="18"/>
              </w:rPr>
              <w:t>，</w:t>
            </w:r>
            <w:r>
              <w:rPr>
                <w:rFonts w:hint="eastAsia" w:ascii="微软雅黑" w:hAnsi="微软雅黑" w:cs="微软雅黑"/>
                <w:kern w:val="2"/>
                <w:sz w:val="18"/>
                <w:szCs w:val="18"/>
              </w:rPr>
              <w:t>而且与肿瘤细胞的迁移、黏附、肿瘤血管生成以及细胞外基质的降解等相关。</w:t>
            </w:r>
          </w:p>
          <w:p w14:paraId="7B528F39">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Times New Roman"/>
                <w:b/>
                <w:color w:val="F9FBFA"/>
                <w:kern w:val="2"/>
                <w:sz w:val="20"/>
                <w:szCs w:val="20"/>
              </w:rPr>
            </w:pPr>
            <w:r>
              <w:rPr>
                <w:rFonts w:hint="eastAsia" w:ascii="微软雅黑" w:hAnsi="微软雅黑" w:cs="微软雅黑"/>
                <w:kern w:val="2"/>
                <w:sz w:val="18"/>
                <w:szCs w:val="18"/>
              </w:rPr>
              <w:t>生长因子</w:t>
            </w:r>
            <w:r>
              <w:rPr>
                <w:rFonts w:hint="default" w:ascii="微软雅黑" w:hAnsi="微软雅黑" w:cs="微软雅黑"/>
                <w:kern w:val="2"/>
                <w:sz w:val="18"/>
                <w:szCs w:val="18"/>
              </w:rPr>
              <w:t>（</w:t>
            </w:r>
            <w:r>
              <w:rPr>
                <w:rFonts w:hint="eastAsia" w:ascii="微软雅黑" w:hAnsi="微软雅黑" w:cs="微软雅黑"/>
                <w:kern w:val="2"/>
                <w:sz w:val="18"/>
                <w:szCs w:val="18"/>
              </w:rPr>
              <w:t>如EGF、HGF</w:t>
            </w:r>
            <w:r>
              <w:rPr>
                <w:rFonts w:hint="default" w:ascii="微软雅黑" w:hAnsi="微软雅黑" w:cs="微软雅黑"/>
                <w:kern w:val="2"/>
                <w:sz w:val="18"/>
                <w:szCs w:val="18"/>
              </w:rPr>
              <w:t>）</w:t>
            </w:r>
            <w:r>
              <w:rPr>
                <w:rFonts w:hint="eastAsia" w:ascii="微软雅黑" w:hAnsi="微软雅黑" w:cs="微软雅黑"/>
                <w:kern w:val="2"/>
                <w:sz w:val="18"/>
                <w:szCs w:val="18"/>
              </w:rPr>
              <w:t>与受体酪氨酸激酶</w:t>
            </w:r>
            <w:r>
              <w:rPr>
                <w:rFonts w:hint="default" w:ascii="微软雅黑" w:hAnsi="微软雅黑" w:cs="微软雅黑"/>
                <w:kern w:val="2"/>
                <w:sz w:val="18"/>
                <w:szCs w:val="18"/>
              </w:rPr>
              <w:t>（</w:t>
            </w:r>
            <w:r>
              <w:rPr>
                <w:rFonts w:hint="eastAsia" w:ascii="微软雅黑" w:hAnsi="微软雅黑" w:cs="微软雅黑"/>
                <w:kern w:val="2"/>
                <w:sz w:val="18"/>
                <w:szCs w:val="18"/>
              </w:rPr>
              <w:t>RTK</w:t>
            </w:r>
            <w:r>
              <w:rPr>
                <w:rFonts w:hint="default" w:ascii="微软雅黑" w:hAnsi="微软雅黑" w:cs="微软雅黑"/>
                <w:kern w:val="2"/>
                <w:sz w:val="18"/>
                <w:szCs w:val="18"/>
              </w:rPr>
              <w:t>）</w:t>
            </w:r>
            <w:r>
              <w:rPr>
                <w:rFonts w:hint="eastAsia" w:ascii="微软雅黑" w:hAnsi="微软雅黑" w:cs="微软雅黑"/>
                <w:kern w:val="2"/>
                <w:sz w:val="18"/>
                <w:szCs w:val="18"/>
              </w:rPr>
              <w:t>的结合激活受体。胰岛素受体底物-1</w:t>
            </w:r>
            <w:r>
              <w:rPr>
                <w:rFonts w:hint="default" w:ascii="微软雅黑" w:hAnsi="微软雅黑" w:cs="微软雅黑"/>
                <w:kern w:val="2"/>
                <w:sz w:val="18"/>
                <w:szCs w:val="18"/>
              </w:rPr>
              <w:t>（</w:t>
            </w:r>
            <w:r>
              <w:rPr>
                <w:rFonts w:hint="eastAsia" w:ascii="微软雅黑" w:hAnsi="微软雅黑" w:cs="微软雅黑"/>
                <w:kern w:val="2"/>
                <w:sz w:val="18"/>
                <w:szCs w:val="18"/>
              </w:rPr>
              <w:t>IRS-1</w:t>
            </w:r>
            <w:r>
              <w:rPr>
                <w:rFonts w:hint="default" w:ascii="微软雅黑" w:hAnsi="微软雅黑" w:cs="微软雅黑"/>
                <w:kern w:val="2"/>
                <w:sz w:val="18"/>
                <w:szCs w:val="18"/>
              </w:rPr>
              <w:t>）</w:t>
            </w:r>
            <w:r>
              <w:rPr>
                <w:rFonts w:hint="eastAsia" w:ascii="微软雅黑" w:hAnsi="微软雅黑" w:cs="微软雅黑"/>
                <w:kern w:val="2"/>
                <w:sz w:val="18"/>
                <w:szCs w:val="18"/>
              </w:rPr>
              <w:t>或类似的适配器蛋白与受体酪氨酸激酶结合。磷酸肌醇3</w:t>
            </w:r>
            <w:r>
              <w:rPr>
                <w:rFonts w:hint="default" w:ascii="微软雅黑" w:hAnsi="微软雅黑" w:cs="微软雅黑"/>
                <w:kern w:val="2"/>
                <w:sz w:val="18"/>
                <w:szCs w:val="18"/>
              </w:rPr>
              <w:t>-</w:t>
            </w:r>
            <w:r>
              <w:rPr>
                <w:rFonts w:hint="eastAsia" w:ascii="微软雅黑" w:hAnsi="微软雅黑" w:cs="微软雅黑"/>
                <w:kern w:val="2"/>
                <w:sz w:val="18"/>
                <w:szCs w:val="18"/>
              </w:rPr>
              <w:t>激酶</w:t>
            </w:r>
            <w:r>
              <w:rPr>
                <w:rFonts w:hint="default" w:ascii="微软雅黑" w:hAnsi="微软雅黑" w:cs="微软雅黑"/>
                <w:kern w:val="2"/>
                <w:sz w:val="18"/>
                <w:szCs w:val="18"/>
              </w:rPr>
              <w:t>（</w:t>
            </w:r>
            <w:r>
              <w:rPr>
                <w:rFonts w:hint="eastAsia" w:ascii="微软雅黑" w:hAnsi="微软雅黑" w:cs="微软雅黑"/>
                <w:kern w:val="2"/>
                <w:sz w:val="18"/>
                <w:szCs w:val="18"/>
              </w:rPr>
              <w:t>PI3K</w:t>
            </w:r>
            <w:r>
              <w:rPr>
                <w:rFonts w:hint="default" w:ascii="微软雅黑" w:hAnsi="微软雅黑" w:cs="微软雅黑"/>
                <w:kern w:val="2"/>
                <w:sz w:val="18"/>
                <w:szCs w:val="18"/>
              </w:rPr>
              <w:t>）</w:t>
            </w:r>
            <w:r>
              <w:rPr>
                <w:rFonts w:hint="eastAsia" w:ascii="微软雅黑" w:hAnsi="微软雅黑" w:cs="微软雅黑"/>
                <w:kern w:val="2"/>
                <w:sz w:val="18"/>
                <w:szCs w:val="18"/>
              </w:rPr>
              <w:t>由p85和p110两个亚基组成。PI3K与IRS-1结合，激活p110亚基的酶活性。活性PI3K与细胞膜上的磷脂酰肌醇4,5-二磷酸</w:t>
            </w:r>
            <w:r>
              <w:rPr>
                <w:rFonts w:hint="default" w:ascii="微软雅黑" w:hAnsi="微软雅黑" w:cs="微软雅黑"/>
                <w:kern w:val="2"/>
                <w:sz w:val="18"/>
                <w:szCs w:val="18"/>
              </w:rPr>
              <w:t>（</w:t>
            </w:r>
            <w:r>
              <w:rPr>
                <w:rFonts w:hint="eastAsia" w:ascii="微软雅黑" w:hAnsi="微软雅黑" w:cs="微软雅黑"/>
                <w:kern w:val="2"/>
                <w:sz w:val="18"/>
                <w:szCs w:val="18"/>
              </w:rPr>
              <w:t>PIP2</w:t>
            </w:r>
            <w:r>
              <w:rPr>
                <w:rFonts w:hint="default" w:ascii="微软雅黑" w:hAnsi="微软雅黑" w:cs="微软雅黑"/>
                <w:kern w:val="2"/>
                <w:sz w:val="18"/>
                <w:szCs w:val="18"/>
              </w:rPr>
              <w:t>）</w:t>
            </w:r>
            <w:r>
              <w:rPr>
                <w:rFonts w:hint="eastAsia" w:ascii="微软雅黑" w:hAnsi="微软雅黑" w:cs="微软雅黑"/>
                <w:kern w:val="2"/>
                <w:sz w:val="18"/>
                <w:szCs w:val="18"/>
              </w:rPr>
              <w:t>结合。PI3K从PIP2启动转磷酸基化生成PIP3。磷酸化的PIP3或PDK1激活AKT1。AKT1的激活触发下游蛋白复合物mTORC1和mTORC2复合物的激活，激活基因转录，促进细胞生长和存活。</w:t>
            </w:r>
          </w:p>
        </w:tc>
      </w:tr>
      <w:tr w14:paraId="3B174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0B7DE70C">
            <w:pPr>
              <w:keepNext w:val="0"/>
              <w:keepLines w:val="0"/>
              <w:widowControl/>
              <w:suppressLineNumbers w:val="0"/>
              <w:spacing w:before="0" w:beforeAutospacing="0" w:after="0" w:afterAutospacing="0" w:line="220" w:lineRule="atLeast"/>
              <w:ind w:left="0" w:right="0" w:firstLine="200" w:firstLineChars="100"/>
              <w:jc w:val="both"/>
              <w:rPr>
                <w:rFonts w:hint="default" w:ascii="微软雅黑" w:hAnsi="微软雅黑" w:cs="Times New Roman"/>
                <w:b/>
                <w:color w:val="F9FBFA"/>
                <w:kern w:val="2"/>
                <w:sz w:val="20"/>
                <w:szCs w:val="20"/>
              </w:rPr>
            </w:pPr>
            <w:r>
              <w:rPr>
                <w:rFonts w:hint="default" w:ascii="微软雅黑" w:hAnsi="微软雅黑" w:cs="Times New Roman"/>
                <w:b/>
                <w:color w:val="FFFFFF" w:themeColor="background1"/>
                <w:kern w:val="2"/>
                <w:sz w:val="20"/>
                <w:szCs w:val="20"/>
                <w14:textFill>
                  <w14:solidFill>
                    <w14:schemeClr w14:val="bg1"/>
                  </w14:solidFill>
                </w14:textFill>
              </w:rPr>
              <w:t>基因列表</w:t>
            </w:r>
          </w:p>
        </w:tc>
      </w:tr>
      <w:tr w14:paraId="379E4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676CADB5">
            <w:pPr>
              <w:keepNext w:val="0"/>
              <w:keepLines w:val="0"/>
              <w:widowControl/>
              <w:suppressLineNumbers w:val="0"/>
              <w:spacing w:before="0" w:beforeAutospacing="0" w:after="0" w:afterAutospacing="0" w:line="220" w:lineRule="atLeast"/>
              <w:ind w:left="0" w:right="0"/>
              <w:jc w:val="both"/>
              <w:rPr>
                <w:rFonts w:hint="default" w:ascii="微软雅黑" w:hAnsi="微软雅黑" w:cs="微软雅黑"/>
                <w:kern w:val="2"/>
                <w:sz w:val="18"/>
                <w:szCs w:val="18"/>
              </w:rPr>
            </w:pPr>
            <w:r>
              <w:rPr>
                <w:rFonts w:hint="eastAsia" w:ascii="微软雅黑" w:hAnsi="微软雅黑" w:cs="微软雅黑"/>
                <w:kern w:val="2"/>
                <w:sz w:val="18"/>
                <w:szCs w:val="18"/>
              </w:rPr>
              <w:t>TP53 FG</w:t>
            </w:r>
            <w:r>
              <w:rPr>
                <w:rFonts w:hint="eastAsia" w:ascii="微软雅黑" w:hAnsi="微软雅黑" w:cs="微软雅黑"/>
                <w:color w:val="000000" w:themeColor="text1"/>
                <w:kern w:val="2"/>
                <w:sz w:val="18"/>
                <w:szCs w:val="18"/>
                <w14:textFill>
                  <w14:solidFill>
                    <w14:schemeClr w14:val="tx1"/>
                  </w14:solidFill>
                </w14:textFill>
              </w:rPr>
              <w:t>FR4 KRAS RET TEK A</w:t>
            </w:r>
            <w:r>
              <w:rPr>
                <w:rFonts w:hint="eastAsia" w:ascii="微软雅黑" w:hAnsi="微软雅黑" w:cs="微软雅黑"/>
                <w:kern w:val="2"/>
                <w:sz w:val="18"/>
                <w:szCs w:val="18"/>
              </w:rPr>
              <w:t>KT1 AKT2 AKT3 ALK BCL2 BCL2L1 BCL2L11 BRAF BRCA1 CCND1 CCND2 CCND3 CCNE1 CDK4 CDK6 CDKN1A CDKN1B CSF1R CSF3R EGFR EIF4E FGF10 FGF14 FGF19 FGF23 FGF3 FGF4 FGF6 FGFR1 FGFR2 FGFR3 FLCN FLT1 FLT4 GSK3B HGF HRAS HSP90AA1 IGF1 IGF1R IL7R INSR IRS1 JAK1 JAK2 JAK3 KDR KIT MAP2K1 MAP2K2 MAPK1 MAPKAP1 MAPK3 MDM2 MET MTOR MYB MYC PDGFRA PDGFRB PDPK1 PIK3CA PIK3CB PIK3CD PIK3CG PIK3R1 PIK3R2 PIK3R3 PPP2R1A PTEN RAC1 RAF1 RHEB RHOA RICTOR ROS1 RPS6KB2 RPTOR RRAGC RXRA SESN2 SOS1 STK11 SYK TSC1 TSC2 VEGFA</w:t>
            </w:r>
          </w:p>
        </w:tc>
      </w:tr>
    </w:tbl>
    <w:p w14:paraId="45C76B37">
      <w:pPr>
        <w:adjustRightInd/>
        <w:snapToGrid/>
        <w:spacing w:after="0" w:line="240" w:lineRule="atLeast"/>
        <w:rPr>
          <w:rFonts w:ascii="微软雅黑" w:hAnsi="微软雅黑"/>
          <w:bCs/>
          <w:sz w:val="21"/>
          <w:szCs w:val="21"/>
        </w:rPr>
      </w:pPr>
    </w:p>
    <w:p w14:paraId="5C988CE8">
      <w:pPr>
        <w:adjustRightInd/>
        <w:snapToGrid/>
        <w:spacing w:line="220" w:lineRule="atLeast"/>
        <w:jc w:val="center"/>
        <w:rPr>
          <w:rFonts w:ascii="微软雅黑" w:hAnsi="微软雅黑"/>
          <w:b/>
          <w:sz w:val="24"/>
          <w:szCs w:val="24"/>
        </w:rPr>
      </w:pPr>
      <w:r>
        <w:rPr>
          <w:rFonts w:ascii="微软雅黑" w:hAnsi="微软雅黑"/>
          <w:b/>
          <w:sz w:val="24"/>
          <w:szCs w:val="24"/>
        </w:rPr>
        <w:drawing>
          <wp:inline distT="0" distB="0" distL="114300" distR="114300">
            <wp:extent cx="2753360" cy="2493645"/>
            <wp:effectExtent l="0" t="0" r="8890" b="1905"/>
            <wp:docPr id="1038" name="图片 32" descr="p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 name="图片 32" descr="pik"/>
                    <pic:cNvPicPr>
                      <a:picLocks noChangeAspect="1"/>
                    </pic:cNvPicPr>
                  </pic:nvPicPr>
                  <pic:blipFill>
                    <a:blip r:embed="rId39" cstate="print"/>
                    <a:stretch>
                      <a:fillRect/>
                    </a:stretch>
                  </pic:blipFill>
                  <pic:spPr>
                    <a:xfrm>
                      <a:off x="0" y="0"/>
                      <a:ext cx="2753360" cy="2493645"/>
                    </a:xfrm>
                    <a:prstGeom prst="rect">
                      <a:avLst/>
                    </a:prstGeom>
                  </pic:spPr>
                </pic:pic>
              </a:graphicData>
            </a:graphic>
          </wp:inline>
        </w:drawing>
      </w:r>
    </w:p>
    <w:p w14:paraId="74334A20">
      <w:pPr>
        <w:adjustRightInd/>
        <w:snapToGrid/>
        <w:spacing w:after="0"/>
        <w:jc w:val="center"/>
        <w:rPr>
          <w:rFonts w:ascii="微软雅黑" w:hAnsi="微软雅黑" w:cs="微软雅黑"/>
          <w:b/>
          <w:bCs/>
          <w:sz w:val="18"/>
          <w:szCs w:val="18"/>
        </w:rPr>
      </w:pPr>
      <w:r>
        <w:rPr>
          <w:rFonts w:hint="eastAsia" w:ascii="微软雅黑" w:hAnsi="微软雅黑" w:cs="微软雅黑"/>
          <w:sz w:val="18"/>
          <w:szCs w:val="18"/>
        </w:rPr>
        <w:t>PI3K/AKT Signaling Pathway</w:t>
      </w:r>
    </w:p>
    <w:p w14:paraId="65478851">
      <w:pPr>
        <w:adjustRightInd/>
        <w:snapToGrid/>
        <w:spacing w:after="0"/>
        <w:jc w:val="both"/>
        <w:rPr>
          <w:rFonts w:ascii="微软雅黑" w:hAnsi="微软雅黑" w:cs="微软雅黑"/>
          <w:b/>
          <w:bCs/>
          <w:sz w:val="18"/>
          <w:szCs w:val="18"/>
        </w:rPr>
      </w:pPr>
      <w:r>
        <w:rPr>
          <w:rFonts w:hint="eastAsia" w:ascii="微软雅黑" w:hAnsi="微软雅黑" w:cs="微软雅黑"/>
          <w:b/>
          <w:bCs/>
          <w:sz w:val="18"/>
          <w:szCs w:val="18"/>
        </w:rPr>
        <w:t>参考文献：</w:t>
      </w:r>
    </w:p>
    <w:p w14:paraId="02E9ABE4">
      <w:pPr>
        <w:adjustRightInd/>
        <w:snapToGrid/>
        <w:spacing w:after="0"/>
        <w:jc w:val="both"/>
        <w:rPr>
          <w:rFonts w:ascii="微软雅黑" w:hAnsi="微软雅黑" w:cs="微软雅黑"/>
          <w:sz w:val="18"/>
          <w:szCs w:val="18"/>
        </w:rPr>
      </w:pPr>
      <w:r>
        <w:rPr>
          <w:rFonts w:ascii="微软雅黑" w:hAnsi="微软雅黑" w:cs="微软雅黑"/>
          <w:sz w:val="18"/>
          <w:szCs w:val="18"/>
        </w:rPr>
        <w:t>Cancer Cell. 2007 Aug;12（2）:104-107.</w:t>
      </w:r>
    </w:p>
    <w:p w14:paraId="050B1547">
      <w:pPr>
        <w:adjustRightInd/>
        <w:snapToGrid/>
        <w:spacing w:after="0"/>
        <w:jc w:val="both"/>
        <w:rPr>
          <w:rFonts w:ascii="微软雅黑" w:hAnsi="微软雅黑" w:cs="微软雅黑"/>
          <w:sz w:val="18"/>
          <w:szCs w:val="18"/>
        </w:rPr>
      </w:pPr>
      <w:r>
        <w:fldChar w:fldCharType="begin"/>
      </w:r>
      <w:r>
        <w:instrText xml:space="preserve"> HYPERLINK "https://www.ncbi.nlm.nih.gov/pubmed/?term=+Targeted+Therapy+for+Advanced+Prostate+Cancer:+Inhibition+of+the+PI3K/Akt/mTOR+Pathway." \o "Current cancer drug targets." </w:instrText>
      </w:r>
      <w:r>
        <w:fldChar w:fldCharType="separate"/>
      </w:r>
      <w:r>
        <w:rPr>
          <w:rFonts w:ascii="微软雅黑" w:hAnsi="微软雅黑" w:cs="微软雅黑"/>
          <w:sz w:val="18"/>
          <w:szCs w:val="18"/>
        </w:rPr>
        <w:t>Curr Cancer Drug Targets.</w:t>
      </w:r>
      <w:r>
        <w:rPr>
          <w:rFonts w:ascii="微软雅黑" w:hAnsi="微软雅黑" w:cs="微软雅黑"/>
          <w:sz w:val="18"/>
          <w:szCs w:val="18"/>
        </w:rPr>
        <w:fldChar w:fldCharType="end"/>
      </w:r>
      <w:r>
        <w:rPr>
          <w:rFonts w:ascii="微软雅黑" w:hAnsi="微软雅黑" w:cs="微软雅黑"/>
          <w:sz w:val="18"/>
          <w:szCs w:val="18"/>
        </w:rPr>
        <w:t xml:space="preserve"> 2009 Mar;9（2）:237-249.</w:t>
      </w:r>
    </w:p>
    <w:p w14:paraId="42EC9651">
      <w:pPr>
        <w:adjustRightInd/>
        <w:snapToGrid/>
        <w:spacing w:after="0"/>
        <w:jc w:val="both"/>
        <w:rPr>
          <w:rFonts w:ascii="微软雅黑" w:hAnsi="微软雅黑" w:cs="微软雅黑"/>
          <w:sz w:val="18"/>
          <w:szCs w:val="18"/>
        </w:rPr>
      </w:pPr>
      <w:r>
        <w:rPr>
          <w:rFonts w:ascii="微软雅黑" w:hAnsi="微软雅黑" w:cs="微软雅黑"/>
          <w:sz w:val="18"/>
          <w:szCs w:val="18"/>
        </w:rPr>
        <w:t xml:space="preserve">Front Oncol. 2014 Sep 23;4:252. </w:t>
      </w:r>
    </w:p>
    <w:p w14:paraId="269723D2">
      <w:pPr>
        <w:adjustRightInd/>
        <w:snapToGrid/>
        <w:spacing w:after="0"/>
        <w:jc w:val="both"/>
        <w:rPr>
          <w:rFonts w:ascii="微软雅黑" w:hAnsi="微软雅黑" w:cs="微软雅黑"/>
          <w:sz w:val="18"/>
          <w:szCs w:val="18"/>
        </w:rPr>
      </w:pPr>
      <w:r>
        <w:rPr>
          <w:rFonts w:ascii="微软雅黑" w:hAnsi="微软雅黑" w:cs="微软雅黑"/>
          <w:sz w:val="18"/>
          <w:szCs w:val="18"/>
        </w:rPr>
        <w:t>Int J Oncol. 2014 Nov;45（5）:1793-801.</w:t>
      </w:r>
    </w:p>
    <w:p w14:paraId="5240F99E">
      <w:pPr>
        <w:adjustRightInd/>
        <w:snapToGrid/>
        <w:spacing w:line="220" w:lineRule="atLeast"/>
        <w:rPr>
          <w:rFonts w:ascii="微软雅黑" w:hAnsi="微软雅黑"/>
          <w:b/>
          <w:sz w:val="24"/>
          <w:szCs w:val="24"/>
        </w:rPr>
      </w:pPr>
      <w:r>
        <w:rPr>
          <w:rFonts w:ascii="微软雅黑" w:hAnsi="微软雅黑"/>
          <w:b/>
          <w:sz w:val="24"/>
          <w:szCs w:val="24"/>
        </w:rPr>
        <w:br w:type="page"/>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14:paraId="1331B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495AA8FE">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38BD15AD">
            <w:pPr>
              <w:keepNext w:val="0"/>
              <w:keepLines w:val="0"/>
              <w:widowControl/>
              <w:suppressLineNumbers w:val="0"/>
              <w:spacing w:before="0" w:beforeAutospacing="0" w:after="0" w:afterAutospacing="0" w:line="220" w:lineRule="atLeast"/>
              <w:ind w:left="0" w:right="0"/>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MAPK/ERK Signaling Pathway</w:t>
            </w:r>
          </w:p>
        </w:tc>
      </w:tr>
      <w:tr w14:paraId="1638B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12A4C7C9">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FFFFF" w:themeColor="background1"/>
                <w:kern w:val="2"/>
                <w:sz w:val="20"/>
                <w:szCs w:val="20"/>
                <w14:textFill>
                  <w14:solidFill>
                    <w14:schemeClr w14:val="bg1"/>
                  </w14:solidFill>
                </w14:textFill>
              </w:rPr>
            </w:pPr>
            <w:r>
              <w:rPr>
                <w:rFonts w:hint="default"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61488FD5">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微软雅黑"/>
                <w:kern w:val="2"/>
                <w:sz w:val="18"/>
                <w:szCs w:val="18"/>
              </w:rPr>
            </w:pPr>
            <w:r>
              <w:rPr>
                <w:rFonts w:hint="eastAsia" w:ascii="微软雅黑" w:hAnsi="微软雅黑" w:cs="微软雅黑"/>
                <w:kern w:val="2"/>
                <w:sz w:val="18"/>
                <w:szCs w:val="18"/>
              </w:rPr>
              <w:t>MAPK级联激活是多种信号通路的中心，在细胞的生长、增殖、分化、转化及凋亡等过程中具有重要的作用。在哺乳动物机体中，已经发现五种不同的MAPK信号转导通路</w:t>
            </w:r>
            <w:r>
              <w:rPr>
                <w:rFonts w:hint="default" w:ascii="微软雅黑" w:hAnsi="微软雅黑" w:cs="微软雅黑"/>
                <w:kern w:val="2"/>
                <w:sz w:val="18"/>
                <w:szCs w:val="18"/>
              </w:rPr>
              <w:t>，其</w:t>
            </w:r>
            <w:r>
              <w:rPr>
                <w:rFonts w:hint="eastAsia" w:ascii="微软雅黑" w:hAnsi="微软雅黑" w:cs="微软雅黑"/>
                <w:kern w:val="2"/>
                <w:sz w:val="18"/>
                <w:szCs w:val="18"/>
              </w:rPr>
              <w:t>与ERK相关的信号通路被认为是经典MAPK信号转导途径。</w:t>
            </w:r>
          </w:p>
          <w:p w14:paraId="3CD5CA32">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Times New Roman"/>
                <w:b/>
                <w:color w:val="F9FBFA"/>
                <w:kern w:val="2"/>
                <w:sz w:val="20"/>
                <w:szCs w:val="20"/>
              </w:rPr>
            </w:pPr>
            <w:r>
              <w:rPr>
                <w:rFonts w:hint="eastAsia" w:ascii="微软雅黑" w:hAnsi="微软雅黑" w:cs="微软雅黑"/>
                <w:kern w:val="2"/>
                <w:sz w:val="18"/>
                <w:szCs w:val="18"/>
              </w:rPr>
              <w:t>生长因子（如EGF、HGF）与受体酪氨酸激酶（RTK）的结合激活受体的活性。SRC在受体的SH2区域与受体结合。受体酪氨酸激酶的激活触发下游磷酸化和激活（H-/K-/N-）RAS、（A-/B-/C-）RAF、MEK1/2（MAP2K1）、ERK1/2 （MAPK1）。最终，ERK（MAPK1）激活激活调节细胞生长和存活的基因转录</w:t>
            </w:r>
            <w:r>
              <w:rPr>
                <w:rFonts w:hint="default" w:ascii="微软雅黑" w:hAnsi="微软雅黑" w:cs="微软雅黑"/>
                <w:kern w:val="2"/>
                <w:sz w:val="18"/>
                <w:szCs w:val="18"/>
              </w:rPr>
              <w:t>。</w:t>
            </w:r>
          </w:p>
        </w:tc>
      </w:tr>
      <w:tr w14:paraId="7BE39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6FB1E716">
            <w:pPr>
              <w:keepNext w:val="0"/>
              <w:keepLines w:val="0"/>
              <w:widowControl/>
              <w:suppressLineNumbers w:val="0"/>
              <w:spacing w:before="0" w:beforeAutospacing="0" w:after="0" w:afterAutospacing="0" w:line="220" w:lineRule="atLeast"/>
              <w:ind w:left="0" w:right="0" w:firstLine="200" w:firstLineChars="100"/>
              <w:jc w:val="both"/>
              <w:rPr>
                <w:rFonts w:hint="default" w:ascii="微软雅黑" w:hAnsi="微软雅黑" w:cs="Times New Roman"/>
                <w:b/>
                <w:color w:val="F9FBFA"/>
                <w:kern w:val="2"/>
                <w:sz w:val="20"/>
                <w:szCs w:val="20"/>
              </w:rPr>
            </w:pPr>
            <w:r>
              <w:rPr>
                <w:rFonts w:hint="default" w:ascii="微软雅黑" w:hAnsi="微软雅黑" w:cs="Times New Roman"/>
                <w:b/>
                <w:color w:val="FFFFFF" w:themeColor="background1"/>
                <w:kern w:val="2"/>
                <w:sz w:val="20"/>
                <w:szCs w:val="20"/>
                <w14:textFill>
                  <w14:solidFill>
                    <w14:schemeClr w14:val="bg1"/>
                  </w14:solidFill>
                </w14:textFill>
              </w:rPr>
              <w:t>基因列表</w:t>
            </w:r>
          </w:p>
        </w:tc>
      </w:tr>
      <w:tr w14:paraId="2D292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691F78FB">
            <w:pPr>
              <w:keepNext w:val="0"/>
              <w:keepLines w:val="0"/>
              <w:widowControl w:val="0"/>
              <w:suppressLineNumbers w:val="0"/>
              <w:spacing w:before="0" w:beforeAutospacing="0" w:after="0" w:afterAutospacing="0"/>
              <w:ind w:left="0" w:right="0"/>
              <w:jc w:val="both"/>
              <w:rPr>
                <w:rFonts w:hint="default" w:ascii="微软雅黑" w:hAnsi="微软雅黑" w:cs="微软雅黑"/>
                <w:kern w:val="2"/>
                <w:sz w:val="18"/>
                <w:szCs w:val="18"/>
              </w:rPr>
            </w:pPr>
            <w:r>
              <w:rPr>
                <w:rFonts w:hint="default" w:ascii="微软雅黑" w:hAnsi="微软雅黑" w:cs="微软雅黑"/>
                <w:kern w:val="2"/>
                <w:sz w:val="18"/>
                <w:szCs w:val="18"/>
              </w:rPr>
              <w:t>TP53</w:t>
            </w:r>
            <w:r>
              <w:rPr>
                <w:rFonts w:hint="eastAsia" w:ascii="微软雅黑" w:hAnsi="微软雅黑" w:cs="微软雅黑"/>
                <w:kern w:val="2"/>
                <w:sz w:val="18"/>
                <w:szCs w:val="18"/>
              </w:rPr>
              <w:t xml:space="preserve"> </w:t>
            </w:r>
            <w:r>
              <w:rPr>
                <w:rFonts w:hint="default" w:ascii="微软雅黑" w:hAnsi="微软雅黑" w:cs="微软雅黑"/>
                <w:kern w:val="2"/>
                <w:sz w:val="18"/>
                <w:szCs w:val="18"/>
              </w:rPr>
              <w:t>FG</w:t>
            </w:r>
            <w:r>
              <w:rPr>
                <w:rFonts w:hint="default" w:ascii="微软雅黑" w:hAnsi="微软雅黑" w:cs="微软雅黑"/>
                <w:color w:val="000000" w:themeColor="text1"/>
                <w:kern w:val="2"/>
                <w:sz w:val="18"/>
                <w:szCs w:val="18"/>
                <w14:textFill>
                  <w14:solidFill>
                    <w14:schemeClr w14:val="tx1"/>
                  </w14:solidFill>
                </w14:textFill>
              </w:rPr>
              <w:t>FR4 KRAS RET A</w:t>
            </w:r>
            <w:r>
              <w:rPr>
                <w:rFonts w:hint="default" w:ascii="微软雅黑" w:hAnsi="微软雅黑" w:cs="微软雅黑"/>
                <w:kern w:val="2"/>
                <w:sz w:val="18"/>
                <w:szCs w:val="18"/>
              </w:rPr>
              <w:t>KT1 AKT2 AKT3 ALK BRAF CDC42 CRKL DUSP4 EGFR FAS FGF10 FGF14 FGF19 FGF23 FGF3 FGF4 FGF6 FGFR1 FGFR2 FGFR3 HRAS JUN MAP2K1 MAP2K2 MAP2K4 MAP3K1 MAP3K13 MAP3K14 MAPK1 MAPK3 MAX MYC NF1 NRAS NTRK1 NTRK2 NTRK3 PAK1 PDGFRA PDGFRB RAC1 RAC2 RAF1 RASA1 ROS1 RPS6KA4 RRAS RRAS2 SOS1 TGFBR1 TGFBR2 TRAF2</w:t>
            </w:r>
          </w:p>
        </w:tc>
      </w:tr>
    </w:tbl>
    <w:p w14:paraId="6DD6B7E3">
      <w:pPr>
        <w:adjustRightInd/>
        <w:snapToGrid/>
        <w:spacing w:after="0"/>
        <w:rPr>
          <w:rFonts w:ascii="微软雅黑" w:hAnsi="微软雅黑"/>
          <w:b/>
          <w:sz w:val="24"/>
          <w:szCs w:val="24"/>
        </w:rPr>
      </w:pPr>
    </w:p>
    <w:p w14:paraId="3906F106">
      <w:pPr>
        <w:adjustRightInd/>
        <w:snapToGrid/>
        <w:spacing w:line="220" w:lineRule="atLeast"/>
        <w:jc w:val="center"/>
        <w:rPr>
          <w:rFonts w:ascii="微软雅黑" w:hAnsi="微软雅黑"/>
          <w:b/>
          <w:sz w:val="24"/>
          <w:szCs w:val="24"/>
        </w:rPr>
      </w:pPr>
      <w:r>
        <w:rPr>
          <w:rFonts w:hint="eastAsia" w:ascii="微软雅黑" w:hAnsi="微软雅黑"/>
          <w:b/>
          <w:sz w:val="24"/>
          <w:szCs w:val="24"/>
        </w:rPr>
        <w:drawing>
          <wp:inline distT="0" distB="0" distL="114300" distR="114300">
            <wp:extent cx="3298825" cy="3857625"/>
            <wp:effectExtent l="0" t="0" r="15875" b="9525"/>
            <wp:docPr id="1039" name="图片 33" descr="map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 name="图片 33" descr="mapk"/>
                    <pic:cNvPicPr>
                      <a:picLocks noChangeAspect="1"/>
                    </pic:cNvPicPr>
                  </pic:nvPicPr>
                  <pic:blipFill>
                    <a:blip r:embed="rId40" cstate="print"/>
                    <a:stretch>
                      <a:fillRect/>
                    </a:stretch>
                  </pic:blipFill>
                  <pic:spPr>
                    <a:xfrm>
                      <a:off x="0" y="0"/>
                      <a:ext cx="3298825" cy="3857625"/>
                    </a:xfrm>
                    <a:prstGeom prst="rect">
                      <a:avLst/>
                    </a:prstGeom>
                  </pic:spPr>
                </pic:pic>
              </a:graphicData>
            </a:graphic>
          </wp:inline>
        </w:drawing>
      </w:r>
    </w:p>
    <w:p w14:paraId="77F245A7">
      <w:pPr>
        <w:adjustRightInd/>
        <w:snapToGrid/>
        <w:spacing w:line="220" w:lineRule="atLeast"/>
        <w:jc w:val="center"/>
        <w:rPr>
          <w:rFonts w:ascii="微软雅黑" w:hAnsi="微软雅黑"/>
          <w:b/>
          <w:sz w:val="24"/>
          <w:szCs w:val="24"/>
        </w:rPr>
      </w:pPr>
      <w:r>
        <w:rPr>
          <w:rFonts w:hint="eastAsia" w:ascii="微软雅黑" w:hAnsi="微软雅黑" w:cs="微软雅黑"/>
          <w:sz w:val="18"/>
          <w:szCs w:val="18"/>
        </w:rPr>
        <w:t>MAPK/ERK Signaling Pathway</w:t>
      </w:r>
    </w:p>
    <w:p w14:paraId="3848758F">
      <w:pPr>
        <w:adjustRightInd/>
        <w:snapToGrid/>
        <w:spacing w:after="40"/>
        <w:jc w:val="both"/>
        <w:rPr>
          <w:rFonts w:ascii="微软雅黑" w:hAnsi="微软雅黑" w:cs="微软雅黑"/>
          <w:b/>
          <w:bCs/>
          <w:sz w:val="18"/>
          <w:szCs w:val="18"/>
        </w:rPr>
      </w:pPr>
      <w:r>
        <w:rPr>
          <w:rFonts w:hint="eastAsia" w:ascii="微软雅黑" w:hAnsi="微软雅黑" w:cs="微软雅黑"/>
          <w:b/>
          <w:bCs/>
          <w:sz w:val="18"/>
          <w:szCs w:val="18"/>
        </w:rPr>
        <w:t>参考文献：</w:t>
      </w:r>
    </w:p>
    <w:p w14:paraId="131E6005">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Expert Opin Pharmacother. 2002 Jun;3</w:t>
      </w:r>
      <w:r>
        <w:rPr>
          <w:rFonts w:ascii="微软雅黑" w:hAnsi="微软雅黑" w:cs="微软雅黑"/>
          <w:sz w:val="18"/>
          <w:szCs w:val="18"/>
        </w:rPr>
        <w:t>（</w:t>
      </w:r>
      <w:r>
        <w:rPr>
          <w:rFonts w:hint="eastAsia" w:ascii="微软雅黑" w:hAnsi="微软雅黑" w:cs="微软雅黑"/>
          <w:sz w:val="18"/>
          <w:szCs w:val="18"/>
        </w:rPr>
        <w:t>6</w:t>
      </w:r>
      <w:r>
        <w:rPr>
          <w:rFonts w:ascii="微软雅黑" w:hAnsi="微软雅黑" w:cs="微软雅黑"/>
          <w:sz w:val="18"/>
          <w:szCs w:val="18"/>
        </w:rPr>
        <w:t>）</w:t>
      </w:r>
      <w:r>
        <w:rPr>
          <w:rFonts w:hint="eastAsia" w:ascii="微软雅黑" w:hAnsi="微软雅黑" w:cs="微软雅黑"/>
          <w:sz w:val="18"/>
          <w:szCs w:val="18"/>
        </w:rPr>
        <w:t>:709-718.</w:t>
      </w:r>
    </w:p>
    <w:p w14:paraId="3AB6515C">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 xml:space="preserve">Nat Rev Cancer 2003 Sep;3 </w:t>
      </w:r>
      <w:r>
        <w:rPr>
          <w:rFonts w:ascii="微软雅黑" w:hAnsi="微软雅黑" w:cs="微软雅黑"/>
          <w:sz w:val="18"/>
          <w:szCs w:val="18"/>
        </w:rPr>
        <w:t>（</w:t>
      </w:r>
      <w:r>
        <w:rPr>
          <w:rFonts w:hint="eastAsia" w:ascii="微软雅黑" w:hAnsi="微软雅黑" w:cs="微软雅黑"/>
          <w:sz w:val="18"/>
          <w:szCs w:val="18"/>
        </w:rPr>
        <w:t>9</w:t>
      </w:r>
      <w:r>
        <w:rPr>
          <w:rFonts w:ascii="微软雅黑" w:hAnsi="微软雅黑" w:cs="微软雅黑"/>
          <w:sz w:val="18"/>
          <w:szCs w:val="18"/>
        </w:rPr>
        <w:t>）</w:t>
      </w:r>
      <w:r>
        <w:rPr>
          <w:rFonts w:hint="eastAsia" w:ascii="微软雅黑" w:hAnsi="微软雅黑" w:cs="微软雅黑"/>
          <w:sz w:val="18"/>
          <w:szCs w:val="18"/>
        </w:rPr>
        <w:t>:650-665</w:t>
      </w:r>
    </w:p>
    <w:p w14:paraId="5DA2D36A">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Clin Cancer Res. 2006 Apr 1;12</w:t>
      </w:r>
      <w:r>
        <w:rPr>
          <w:rFonts w:ascii="微软雅黑" w:hAnsi="微软雅黑" w:cs="微软雅黑"/>
          <w:sz w:val="18"/>
          <w:szCs w:val="18"/>
        </w:rPr>
        <w:t>（</w:t>
      </w:r>
      <w:r>
        <w:rPr>
          <w:rFonts w:hint="eastAsia" w:ascii="微软雅黑" w:hAnsi="微软雅黑" w:cs="微软雅黑"/>
          <w:sz w:val="18"/>
          <w:szCs w:val="18"/>
        </w:rPr>
        <w:t>7 Pt 2</w:t>
      </w:r>
      <w:r>
        <w:rPr>
          <w:rFonts w:ascii="微软雅黑" w:hAnsi="微软雅黑" w:cs="微软雅黑"/>
          <w:sz w:val="18"/>
          <w:szCs w:val="18"/>
        </w:rPr>
        <w:t>）</w:t>
      </w:r>
      <w:r>
        <w:rPr>
          <w:rFonts w:hint="eastAsia" w:ascii="微软雅黑" w:hAnsi="微软雅黑" w:cs="微软雅黑"/>
          <w:sz w:val="18"/>
          <w:szCs w:val="18"/>
        </w:rPr>
        <w:t>:2371s-2375s.</w:t>
      </w:r>
    </w:p>
    <w:p w14:paraId="0E27ABDB">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Nat Rev Mol Cell Biol. 2008 Oct;9</w:t>
      </w:r>
      <w:r>
        <w:rPr>
          <w:rFonts w:ascii="微软雅黑" w:hAnsi="微软雅黑" w:cs="微软雅黑"/>
          <w:sz w:val="18"/>
          <w:szCs w:val="18"/>
        </w:rPr>
        <w:t>（</w:t>
      </w:r>
      <w:r>
        <w:rPr>
          <w:rFonts w:hint="eastAsia" w:ascii="微软雅黑" w:hAnsi="微软雅黑" w:cs="微软雅黑"/>
          <w:sz w:val="18"/>
          <w:szCs w:val="18"/>
        </w:rPr>
        <w:t>10</w:t>
      </w:r>
      <w:r>
        <w:rPr>
          <w:rFonts w:ascii="微软雅黑" w:hAnsi="微软雅黑" w:cs="微软雅黑"/>
          <w:sz w:val="18"/>
          <w:szCs w:val="18"/>
        </w:rPr>
        <w:t>）</w:t>
      </w:r>
      <w:r>
        <w:rPr>
          <w:rFonts w:hint="eastAsia" w:ascii="微软雅黑" w:hAnsi="微软雅黑" w:cs="微软雅黑"/>
          <w:sz w:val="18"/>
          <w:szCs w:val="18"/>
        </w:rPr>
        <w:t>:747-58.</w:t>
      </w:r>
      <w:r>
        <w:rPr>
          <w:rFonts w:hint="eastAsia" w:ascii="微软雅黑" w:hAnsi="微软雅黑" w:cs="微软雅黑"/>
          <w:sz w:val="18"/>
          <w:szCs w:val="18"/>
        </w:rPr>
        <w:br w:type="page"/>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14:paraId="2C92E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129DCB6F">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13D1663E">
            <w:pPr>
              <w:keepNext w:val="0"/>
              <w:keepLines w:val="0"/>
              <w:widowControl/>
              <w:suppressLineNumbers w:val="0"/>
              <w:spacing w:before="0" w:beforeAutospacing="0" w:after="0" w:afterAutospacing="0" w:line="220" w:lineRule="atLeast"/>
              <w:ind w:left="0" w:right="0"/>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Wnt Signaling Pathway</w:t>
            </w:r>
          </w:p>
        </w:tc>
      </w:tr>
      <w:tr w14:paraId="19E5F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4DFA08BD">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FFFFF" w:themeColor="background1"/>
                <w:kern w:val="2"/>
                <w:sz w:val="20"/>
                <w:szCs w:val="20"/>
                <w14:textFill>
                  <w14:solidFill>
                    <w14:schemeClr w14:val="bg1"/>
                  </w14:solidFill>
                </w14:textFill>
              </w:rPr>
            </w:pPr>
            <w:r>
              <w:rPr>
                <w:rFonts w:hint="default"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10D76642">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微软雅黑"/>
                <w:kern w:val="2"/>
                <w:sz w:val="18"/>
                <w:szCs w:val="18"/>
              </w:rPr>
            </w:pPr>
            <w:r>
              <w:rPr>
                <w:rFonts w:hint="eastAsia" w:ascii="微软雅黑" w:hAnsi="微软雅黑" w:cs="微软雅黑"/>
                <w:kern w:val="2"/>
                <w:sz w:val="18"/>
                <w:szCs w:val="18"/>
              </w:rPr>
              <w:t>Wnt信号通路是一个复杂的调控网络，在生长、发育、代谢和干细胞维持等多种生物学过程中发挥重要作用。一般提到Wnt信号通路主要指的是由β-Catenin介导的经典Wnt信号通路。</w:t>
            </w:r>
          </w:p>
          <w:p w14:paraId="5122E888">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Times New Roman"/>
                <w:b/>
                <w:color w:val="F9FBFA"/>
                <w:kern w:val="2"/>
                <w:sz w:val="20"/>
                <w:szCs w:val="20"/>
              </w:rPr>
            </w:pPr>
            <w:r>
              <w:rPr>
                <w:rFonts w:hint="eastAsia" w:ascii="微软雅黑" w:hAnsi="微软雅黑" w:cs="微软雅黑"/>
                <w:kern w:val="2"/>
                <w:sz w:val="18"/>
                <w:szCs w:val="18"/>
              </w:rPr>
              <w:t>Wnt信号通路的主要成分包括分泌蛋白Wnt家族、跨膜受体Frizzled（FZD）家族、CK1、Deshevelled、GSK3、APC、Axin、β-Catenin、以及转录因子TCF/LEF家族。当细胞没有接受Wnt信号刺激时，细胞质内大部分的β-Catenin与细胞膜上Cadherin蛋白结合使之附着于细胞骨架蛋白肌动蛋白上，参与细胞的黏附作用。而少部分的β-Catenin被磷酸化后，与GSK3β等形成降解复合物，最终通过泛素化修饰而降解。Wnt信号的激活是指分泌型的配体蛋白Wnt与膜表面受体蛋白FZD结合后，激活胞内蛋白DVL。DVL通过抑制GSK3β等蛋白，使β-Catenin从其结合蛋白Axin中释放，在胞浆中积累并转入细胞核，结合TCF/LEF转录因子家族，启动下游靶基因（如细胞增殖调控基因c-myc、Cyclin D1等）的转录。</w:t>
            </w:r>
          </w:p>
        </w:tc>
      </w:tr>
      <w:tr w14:paraId="088DC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0836F78C">
            <w:pPr>
              <w:keepNext w:val="0"/>
              <w:keepLines w:val="0"/>
              <w:widowControl/>
              <w:suppressLineNumbers w:val="0"/>
              <w:spacing w:before="0" w:beforeAutospacing="0" w:after="0" w:afterAutospacing="0" w:line="220" w:lineRule="atLeast"/>
              <w:ind w:left="0" w:right="0" w:firstLine="200" w:firstLineChars="100"/>
              <w:jc w:val="both"/>
              <w:rPr>
                <w:rFonts w:hint="default" w:ascii="微软雅黑" w:hAnsi="微软雅黑" w:cs="Times New Roman"/>
                <w:b/>
                <w:color w:val="F9FBFA"/>
                <w:kern w:val="2"/>
                <w:sz w:val="20"/>
                <w:szCs w:val="20"/>
              </w:rPr>
            </w:pPr>
            <w:r>
              <w:rPr>
                <w:rFonts w:hint="default" w:ascii="微软雅黑" w:hAnsi="微软雅黑" w:cs="Times New Roman"/>
                <w:b/>
                <w:color w:val="FFFFFF" w:themeColor="background1"/>
                <w:kern w:val="2"/>
                <w:sz w:val="20"/>
                <w:szCs w:val="20"/>
                <w14:textFill>
                  <w14:solidFill>
                    <w14:schemeClr w14:val="bg1"/>
                  </w14:solidFill>
                </w14:textFill>
              </w:rPr>
              <w:t>基因列表</w:t>
            </w:r>
          </w:p>
        </w:tc>
      </w:tr>
      <w:tr w14:paraId="09B8D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1D159D5B">
            <w:pPr>
              <w:keepNext w:val="0"/>
              <w:keepLines w:val="0"/>
              <w:widowControl/>
              <w:suppressLineNumbers w:val="0"/>
              <w:spacing w:before="0" w:beforeAutospacing="0" w:after="0" w:afterAutospacing="0"/>
              <w:ind w:left="0" w:right="0"/>
              <w:jc w:val="both"/>
              <w:rPr>
                <w:rFonts w:hint="default" w:ascii="微软雅黑" w:hAnsi="微软雅黑" w:cs="微软雅黑"/>
                <w:kern w:val="2"/>
                <w:sz w:val="18"/>
                <w:szCs w:val="18"/>
              </w:rPr>
            </w:pPr>
            <w:r>
              <w:rPr>
                <w:rFonts w:hint="default" w:ascii="微软雅黑" w:hAnsi="微软雅黑" w:cs="微软雅黑"/>
                <w:kern w:val="2"/>
                <w:sz w:val="18"/>
                <w:szCs w:val="18"/>
              </w:rPr>
              <w:t>TP53</w:t>
            </w:r>
            <w:r>
              <w:rPr>
                <w:rFonts w:hint="eastAsia" w:ascii="微软雅黑" w:hAnsi="微软雅黑" w:cs="微软雅黑"/>
                <w:kern w:val="2"/>
                <w:sz w:val="18"/>
                <w:szCs w:val="18"/>
              </w:rPr>
              <w:t xml:space="preserve"> </w:t>
            </w:r>
            <w:r>
              <w:rPr>
                <w:rFonts w:hint="default" w:ascii="微软雅黑" w:hAnsi="微软雅黑" w:cs="微软雅黑"/>
                <w:kern w:val="2"/>
                <w:sz w:val="18"/>
                <w:szCs w:val="18"/>
              </w:rPr>
              <w:t xml:space="preserve">AR AMER1 APC AXIN1 AXIN2 CAMK2G CCND1 CCND2 CCND3 CDC73 CDK8 CREBBP CTNNA1 CTNNB1 CUL3 CYLD EP300 FOXP1 GATA6 GNA11 GNA13 GNAS GSK3B HNF1A JUN KMT2D MED12 MITF MYC PPP2R1A PTCH1 RAC1 RAC2 ROCK1 </w:t>
            </w:r>
            <w:r>
              <w:rPr>
                <w:rFonts w:hint="default" w:ascii="微软雅黑" w:hAnsi="微软雅黑" w:cs="微软雅黑"/>
                <w:color w:val="000000" w:themeColor="text1"/>
                <w:kern w:val="2"/>
                <w:sz w:val="18"/>
                <w:szCs w:val="18"/>
                <w14:textFill>
                  <w14:solidFill>
                    <w14:schemeClr w14:val="tx1"/>
                  </w14:solidFill>
                </w14:textFill>
              </w:rPr>
              <w:t xml:space="preserve">RUNX2 </w:t>
            </w:r>
            <w:r>
              <w:rPr>
                <w:rFonts w:hint="default" w:ascii="微软雅黑" w:hAnsi="微软雅黑" w:cs="微软雅黑"/>
                <w:kern w:val="2"/>
                <w:sz w:val="18"/>
                <w:szCs w:val="18"/>
              </w:rPr>
              <w:t xml:space="preserve">SMAD2 SMAD3 SMAD4 SMARCA4 SOX17 SOX9 SRC TCF7L2 TERT WT1 XPO1 YES1 PHOX2B </w:t>
            </w:r>
          </w:p>
        </w:tc>
      </w:tr>
    </w:tbl>
    <w:p w14:paraId="3BED5E11">
      <w:pPr>
        <w:adjustRightInd/>
        <w:snapToGrid/>
        <w:spacing w:line="220" w:lineRule="atLeast"/>
        <w:jc w:val="center"/>
      </w:pPr>
    </w:p>
    <w:p w14:paraId="00608879">
      <w:pPr>
        <w:adjustRightInd/>
        <w:snapToGrid/>
        <w:spacing w:line="220" w:lineRule="atLeast"/>
        <w:jc w:val="center"/>
        <w:rPr>
          <w:rFonts w:ascii="微软雅黑" w:hAnsi="微软雅黑"/>
          <w:b/>
          <w:sz w:val="24"/>
          <w:szCs w:val="24"/>
        </w:rPr>
      </w:pPr>
      <w:r>
        <w:drawing>
          <wp:inline distT="0" distB="0" distL="114300" distR="114300">
            <wp:extent cx="4990465" cy="2981325"/>
            <wp:effectExtent l="0" t="0" r="635" b="9525"/>
            <wp:docPr id="104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 name="图片 2"/>
                    <pic:cNvPicPr>
                      <a:picLocks noChangeAspect="1"/>
                    </pic:cNvPicPr>
                  </pic:nvPicPr>
                  <pic:blipFill>
                    <a:blip r:embed="rId41" cstate="print"/>
                    <a:stretch>
                      <a:fillRect/>
                    </a:stretch>
                  </pic:blipFill>
                  <pic:spPr>
                    <a:xfrm>
                      <a:off x="0" y="0"/>
                      <a:ext cx="4990465" cy="2981325"/>
                    </a:xfrm>
                    <a:prstGeom prst="rect">
                      <a:avLst/>
                    </a:prstGeom>
                    <a:noFill/>
                    <a:ln>
                      <a:noFill/>
                    </a:ln>
                  </pic:spPr>
                </pic:pic>
              </a:graphicData>
            </a:graphic>
          </wp:inline>
        </w:drawing>
      </w:r>
    </w:p>
    <w:p w14:paraId="05B7313F">
      <w:pPr>
        <w:adjustRightInd/>
        <w:snapToGrid/>
        <w:spacing w:after="0"/>
        <w:jc w:val="center"/>
        <w:rPr>
          <w:rFonts w:ascii="微软雅黑" w:hAnsi="微软雅黑" w:cs="微软雅黑"/>
          <w:b/>
          <w:bCs/>
          <w:sz w:val="18"/>
          <w:szCs w:val="18"/>
        </w:rPr>
      </w:pPr>
      <w:r>
        <w:rPr>
          <w:rFonts w:hint="eastAsia" w:ascii="微软雅黑" w:hAnsi="微软雅黑" w:cs="微软雅黑"/>
          <w:sz w:val="18"/>
          <w:szCs w:val="18"/>
        </w:rPr>
        <w:t>Wnt/β-Catenin Signaling Pathway</w:t>
      </w:r>
    </w:p>
    <w:p w14:paraId="2E23BC32">
      <w:pPr>
        <w:adjustRightInd/>
        <w:snapToGrid/>
        <w:spacing w:after="40"/>
        <w:jc w:val="both"/>
        <w:rPr>
          <w:rFonts w:ascii="微软雅黑" w:hAnsi="微软雅黑" w:cs="微软雅黑"/>
          <w:b/>
          <w:bCs/>
          <w:sz w:val="18"/>
          <w:szCs w:val="18"/>
        </w:rPr>
      </w:pPr>
    </w:p>
    <w:p w14:paraId="4C4A78D2">
      <w:pPr>
        <w:adjustRightInd/>
        <w:snapToGrid/>
        <w:spacing w:after="40"/>
        <w:jc w:val="both"/>
        <w:rPr>
          <w:rFonts w:ascii="微软雅黑" w:hAnsi="微软雅黑" w:cs="微软雅黑"/>
          <w:sz w:val="18"/>
          <w:szCs w:val="18"/>
        </w:rPr>
      </w:pPr>
      <w:r>
        <w:rPr>
          <w:rFonts w:hint="eastAsia" w:ascii="微软雅黑" w:hAnsi="微软雅黑" w:cs="微软雅黑"/>
          <w:b/>
          <w:bCs/>
          <w:sz w:val="18"/>
          <w:szCs w:val="18"/>
        </w:rPr>
        <w:t>参考文献：</w:t>
      </w:r>
    </w:p>
    <w:p w14:paraId="65F8A947">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Nature. 1980 Oct 30;287</w:t>
      </w:r>
      <w:r>
        <w:rPr>
          <w:rFonts w:ascii="微软雅黑" w:hAnsi="微软雅黑" w:cs="微软雅黑"/>
          <w:sz w:val="18"/>
          <w:szCs w:val="18"/>
        </w:rPr>
        <w:t>（</w:t>
      </w:r>
      <w:r>
        <w:rPr>
          <w:rFonts w:hint="eastAsia" w:ascii="微软雅黑" w:hAnsi="微软雅黑" w:cs="微软雅黑"/>
          <w:sz w:val="18"/>
          <w:szCs w:val="18"/>
        </w:rPr>
        <w:t>5785</w:t>
      </w:r>
      <w:r>
        <w:rPr>
          <w:rFonts w:ascii="微软雅黑" w:hAnsi="微软雅黑" w:cs="微软雅黑"/>
          <w:sz w:val="18"/>
          <w:szCs w:val="18"/>
        </w:rPr>
        <w:t>）</w:t>
      </w:r>
      <w:r>
        <w:rPr>
          <w:rFonts w:hint="eastAsia" w:ascii="微软雅黑" w:hAnsi="微软雅黑" w:cs="微软雅黑"/>
          <w:sz w:val="18"/>
          <w:szCs w:val="18"/>
        </w:rPr>
        <w:t>:795-801.</w:t>
      </w:r>
    </w:p>
    <w:p w14:paraId="7AD6E841">
      <w:pPr>
        <w:adjustRightInd/>
        <w:snapToGrid/>
        <w:spacing w:after="40"/>
        <w:jc w:val="both"/>
        <w:rPr>
          <w:rFonts w:ascii="微软雅黑" w:hAnsi="微软雅黑" w:cs="微软雅黑"/>
          <w:sz w:val="18"/>
          <w:szCs w:val="18"/>
        </w:rPr>
      </w:pPr>
      <w:r>
        <w:fldChar w:fldCharType="begin"/>
      </w:r>
      <w:r>
        <w:instrText xml:space="preserve"> HYPERLINK "https://www.ncbi.nlm.nih.gov/pubmed/?term=Wnt+signalling+regulates+adult+hippocampal+neurogenesis" \o "Nature." </w:instrText>
      </w:r>
      <w:r>
        <w:fldChar w:fldCharType="separate"/>
      </w:r>
      <w:r>
        <w:rPr>
          <w:rFonts w:hint="eastAsia" w:ascii="微软雅黑" w:hAnsi="微软雅黑" w:cs="微软雅黑"/>
          <w:sz w:val="18"/>
          <w:szCs w:val="18"/>
        </w:rPr>
        <w:t>Nature.</w:t>
      </w:r>
      <w:r>
        <w:rPr>
          <w:rFonts w:hint="eastAsia" w:ascii="微软雅黑" w:hAnsi="微软雅黑" w:cs="微软雅黑"/>
          <w:sz w:val="18"/>
          <w:szCs w:val="18"/>
        </w:rPr>
        <w:fldChar w:fldCharType="end"/>
      </w:r>
      <w:r>
        <w:rPr>
          <w:rFonts w:hint="eastAsia" w:ascii="微软雅黑" w:hAnsi="微软雅黑" w:cs="微软雅黑"/>
          <w:sz w:val="18"/>
          <w:szCs w:val="18"/>
        </w:rPr>
        <w:t> 2005 Oct 27;437</w:t>
      </w:r>
      <w:r>
        <w:rPr>
          <w:rFonts w:ascii="微软雅黑" w:hAnsi="微软雅黑" w:cs="微软雅黑"/>
          <w:sz w:val="18"/>
          <w:szCs w:val="18"/>
        </w:rPr>
        <w:t>（</w:t>
      </w:r>
      <w:r>
        <w:rPr>
          <w:rFonts w:hint="eastAsia" w:ascii="微软雅黑" w:hAnsi="微软雅黑" w:cs="微软雅黑"/>
          <w:sz w:val="18"/>
          <w:szCs w:val="18"/>
        </w:rPr>
        <w:t>7063</w:t>
      </w:r>
      <w:r>
        <w:rPr>
          <w:rFonts w:ascii="微软雅黑" w:hAnsi="微软雅黑" w:cs="微软雅黑"/>
          <w:sz w:val="18"/>
          <w:szCs w:val="18"/>
        </w:rPr>
        <w:t>）</w:t>
      </w:r>
      <w:r>
        <w:rPr>
          <w:rFonts w:hint="eastAsia" w:ascii="微软雅黑" w:hAnsi="微软雅黑" w:cs="微软雅黑"/>
          <w:sz w:val="18"/>
          <w:szCs w:val="18"/>
        </w:rPr>
        <w:t>:1370-1375.</w:t>
      </w:r>
    </w:p>
    <w:p w14:paraId="6D75BF09">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Nat Rev Cancer. 2008 May;8</w:t>
      </w:r>
      <w:r>
        <w:rPr>
          <w:rFonts w:ascii="微软雅黑" w:hAnsi="微软雅黑" w:cs="微软雅黑"/>
          <w:sz w:val="18"/>
          <w:szCs w:val="18"/>
        </w:rPr>
        <w:t>（</w:t>
      </w:r>
      <w:r>
        <w:rPr>
          <w:rFonts w:hint="eastAsia" w:ascii="微软雅黑" w:hAnsi="微软雅黑" w:cs="微软雅黑"/>
          <w:sz w:val="18"/>
          <w:szCs w:val="18"/>
        </w:rPr>
        <w:t>5</w:t>
      </w:r>
      <w:r>
        <w:rPr>
          <w:rFonts w:ascii="微软雅黑" w:hAnsi="微软雅黑" w:cs="微软雅黑"/>
          <w:sz w:val="18"/>
          <w:szCs w:val="18"/>
        </w:rPr>
        <w:t>）</w:t>
      </w:r>
      <w:r>
        <w:rPr>
          <w:rFonts w:hint="eastAsia" w:ascii="微软雅黑" w:hAnsi="微软雅黑" w:cs="微软雅黑"/>
          <w:sz w:val="18"/>
          <w:szCs w:val="18"/>
        </w:rPr>
        <w:t>:387-398.</w:t>
      </w:r>
    </w:p>
    <w:p w14:paraId="2BC669F7">
      <w:pPr>
        <w:adjustRightInd/>
        <w:snapToGrid/>
        <w:spacing w:after="40"/>
        <w:jc w:val="both"/>
        <w:rPr>
          <w:rFonts w:ascii="微软雅黑" w:hAnsi="微软雅黑"/>
          <w:b/>
          <w:sz w:val="24"/>
          <w:szCs w:val="24"/>
        </w:rPr>
      </w:pPr>
      <w:r>
        <w:rPr>
          <w:rFonts w:hint="eastAsia" w:ascii="微软雅黑" w:hAnsi="微软雅黑" w:cs="微软雅黑"/>
          <w:sz w:val="18"/>
          <w:szCs w:val="18"/>
        </w:rPr>
        <w:t xml:space="preserve">Cancer Treat Rev.2018 January ; 62: 50–60. </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14:paraId="34F63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25D271C0">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2085A88E">
            <w:pPr>
              <w:keepNext w:val="0"/>
              <w:keepLines w:val="0"/>
              <w:widowControl/>
              <w:suppressLineNumbers w:val="0"/>
              <w:spacing w:before="0" w:beforeAutospacing="0" w:after="0" w:afterAutospacing="0" w:line="220" w:lineRule="atLeast"/>
              <w:ind w:left="0" w:right="0"/>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JAK/STAT Signaling Pathway</w:t>
            </w:r>
          </w:p>
        </w:tc>
      </w:tr>
      <w:tr w14:paraId="6BDD5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2A216613">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FFFFF" w:themeColor="background1"/>
                <w:kern w:val="2"/>
                <w:sz w:val="20"/>
                <w:szCs w:val="20"/>
                <w14:textFill>
                  <w14:solidFill>
                    <w14:schemeClr w14:val="bg1"/>
                  </w14:solidFill>
                </w14:textFill>
              </w:rPr>
            </w:pPr>
            <w:r>
              <w:rPr>
                <w:rFonts w:hint="default"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4CE097EA">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微软雅黑"/>
                <w:kern w:val="2"/>
                <w:sz w:val="18"/>
                <w:szCs w:val="18"/>
              </w:rPr>
            </w:pPr>
            <w:r>
              <w:rPr>
                <w:rFonts w:hint="eastAsia" w:ascii="微软雅黑" w:hAnsi="微软雅黑" w:cs="微软雅黑"/>
                <w:kern w:val="2"/>
                <w:sz w:val="18"/>
                <w:szCs w:val="18"/>
              </w:rPr>
              <w:t>JAK/STAT信号通路是一条由细胞因子刺激的信号转导通路，参与细胞的增殖、分化、凋亡以及免疫调节等许多重要的生物学过程。在许多人类肿瘤中都发现STAT信号通路的持续激活。</w:t>
            </w:r>
          </w:p>
          <w:p w14:paraId="157CAF2E">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Times New Roman"/>
                <w:b/>
                <w:color w:val="F9FBFA"/>
                <w:kern w:val="2"/>
                <w:sz w:val="20"/>
                <w:szCs w:val="20"/>
              </w:rPr>
            </w:pPr>
            <w:r>
              <w:rPr>
                <w:rFonts w:hint="eastAsia" w:ascii="微软雅黑" w:hAnsi="微软雅黑" w:cs="微软雅黑"/>
                <w:kern w:val="2"/>
                <w:sz w:val="18"/>
                <w:szCs w:val="18"/>
              </w:rPr>
              <w:t>JAK属于非受体酪氨酸激酶家族，由JAK1、JAK2、JAK3和Tyk2组成。许多细胞因子和生长因子通过JAK-STAT通路传导信号，包括白介素2-7（IL-2-7）、生长激素（GH）、表皮生长因子（EGF）以及血小板衍生因子（PDGF）等。激活后JAK催化结合在受体上的STAT蛋白发生磷酸化修饰，活化的STAT蛋白以二聚体的形式进入细胞核内与靶基因结合，调控基因的转录。酪氨酸磷酸酶（PTPs）、SOCS蛋白、PIAS蛋白可对JAK-STAT信号通路进行负调控。大量证据显示该信号通路的持续激活与疾病之间有着密切的关系。目前，已经有许多JAK抑制剂和STAT抑制剂被研发用于癌症的治疗。</w:t>
            </w:r>
          </w:p>
        </w:tc>
      </w:tr>
      <w:tr w14:paraId="73ECA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5EC2F079">
            <w:pPr>
              <w:keepNext w:val="0"/>
              <w:keepLines w:val="0"/>
              <w:widowControl/>
              <w:suppressLineNumbers w:val="0"/>
              <w:spacing w:before="0" w:beforeAutospacing="0" w:after="0" w:afterAutospacing="0" w:line="220" w:lineRule="atLeast"/>
              <w:ind w:left="0" w:right="0" w:firstLine="200" w:firstLineChars="100"/>
              <w:jc w:val="both"/>
              <w:rPr>
                <w:rFonts w:hint="default" w:ascii="微软雅黑" w:hAnsi="微软雅黑" w:cs="Times New Roman"/>
                <w:b/>
                <w:color w:val="F9FBFA"/>
                <w:kern w:val="2"/>
                <w:sz w:val="20"/>
                <w:szCs w:val="20"/>
              </w:rPr>
            </w:pPr>
            <w:r>
              <w:rPr>
                <w:rFonts w:hint="default" w:ascii="微软雅黑" w:hAnsi="微软雅黑" w:cs="Times New Roman"/>
                <w:b/>
                <w:color w:val="FFFFFF" w:themeColor="background1"/>
                <w:kern w:val="2"/>
                <w:sz w:val="20"/>
                <w:szCs w:val="20"/>
                <w14:textFill>
                  <w14:solidFill>
                    <w14:schemeClr w14:val="bg1"/>
                  </w14:solidFill>
                </w14:textFill>
              </w:rPr>
              <w:t>基因列表</w:t>
            </w:r>
          </w:p>
        </w:tc>
      </w:tr>
      <w:tr w14:paraId="3BA81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1EE5224C">
            <w:pPr>
              <w:keepNext w:val="0"/>
              <w:keepLines w:val="0"/>
              <w:widowControl/>
              <w:suppressLineNumbers w:val="0"/>
              <w:spacing w:before="0" w:beforeAutospacing="0" w:after="0" w:afterAutospacing="0"/>
              <w:ind w:left="0" w:right="0"/>
              <w:jc w:val="both"/>
              <w:rPr>
                <w:rFonts w:hint="default" w:ascii="微软雅黑" w:hAnsi="微软雅黑" w:cs="微软雅黑"/>
                <w:kern w:val="2"/>
                <w:sz w:val="18"/>
                <w:szCs w:val="18"/>
              </w:rPr>
            </w:pPr>
            <w:r>
              <w:rPr>
                <w:rFonts w:hint="default" w:ascii="微软雅黑" w:hAnsi="微软雅黑" w:cs="微软雅黑"/>
                <w:kern w:val="2"/>
                <w:sz w:val="18"/>
                <w:szCs w:val="18"/>
              </w:rPr>
              <w:t>AKT1 AKT2 AKT3 AXL BCL2 BCL2L1 CBL CCND1 CCND2 CCND3 CREBBP CRLF2 CXCR4 EGFR EP300 EPHA7 ETV5 HOXB13</w:t>
            </w:r>
            <w:r>
              <w:rPr>
                <w:rFonts w:hint="eastAsia" w:ascii="微软雅黑" w:hAnsi="微软雅黑" w:cs="微软雅黑"/>
                <w:kern w:val="2"/>
                <w:sz w:val="18"/>
                <w:szCs w:val="18"/>
              </w:rPr>
              <w:t xml:space="preserve"> </w:t>
            </w:r>
            <w:r>
              <w:rPr>
                <w:rFonts w:hint="default" w:ascii="微软雅黑" w:hAnsi="微软雅黑" w:cs="微软雅黑"/>
                <w:kern w:val="2"/>
                <w:sz w:val="18"/>
                <w:szCs w:val="18"/>
              </w:rPr>
              <w:t xml:space="preserve">IL7R JAK1 JAK2 JAK3 MPL MTOR MYC PIK3CA PIK3CB PIK3CG PIK3R1 PIK3R2 PTPN11 SOCS1 SRC STAT3 STAT4 </w:t>
            </w:r>
          </w:p>
        </w:tc>
      </w:tr>
    </w:tbl>
    <w:p w14:paraId="33789CCF">
      <w:pPr>
        <w:adjustRightInd/>
        <w:snapToGrid/>
        <w:spacing w:line="220" w:lineRule="atLeast"/>
        <w:rPr>
          <w:rFonts w:ascii="微软雅黑" w:hAnsi="微软雅黑"/>
          <w:b/>
          <w:sz w:val="24"/>
          <w:szCs w:val="24"/>
        </w:rPr>
      </w:pPr>
    </w:p>
    <w:p w14:paraId="0F956405">
      <w:pPr>
        <w:jc w:val="center"/>
      </w:pPr>
      <w:r>
        <w:rPr>
          <w:rFonts w:ascii="宋体" w:hAnsi="宋体" w:eastAsia="宋体" w:cs="宋体"/>
          <w:sz w:val="24"/>
          <w:szCs w:val="24"/>
        </w:rPr>
        <w:drawing>
          <wp:inline distT="0" distB="0" distL="114300" distR="114300">
            <wp:extent cx="3504565" cy="3209925"/>
            <wp:effectExtent l="0" t="0" r="635" b="9525"/>
            <wp:docPr id="104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 name="图片 1" descr="IMG_256"/>
                    <pic:cNvPicPr>
                      <a:picLocks noChangeAspect="1"/>
                    </pic:cNvPicPr>
                  </pic:nvPicPr>
                  <pic:blipFill>
                    <a:blip r:embed="rId42" cstate="print"/>
                    <a:stretch>
                      <a:fillRect/>
                    </a:stretch>
                  </pic:blipFill>
                  <pic:spPr>
                    <a:xfrm>
                      <a:off x="0" y="0"/>
                      <a:ext cx="3504565" cy="3209925"/>
                    </a:xfrm>
                    <a:prstGeom prst="rect">
                      <a:avLst/>
                    </a:prstGeom>
                    <a:noFill/>
                    <a:ln w="9525">
                      <a:noFill/>
                    </a:ln>
                  </pic:spPr>
                </pic:pic>
              </a:graphicData>
            </a:graphic>
          </wp:inline>
        </w:drawing>
      </w:r>
    </w:p>
    <w:p w14:paraId="7288B829">
      <w:pPr>
        <w:adjustRightInd/>
        <w:snapToGrid/>
        <w:spacing w:line="220" w:lineRule="atLeast"/>
        <w:jc w:val="center"/>
        <w:rPr>
          <w:rFonts w:ascii="微软雅黑" w:hAnsi="微软雅黑"/>
          <w:b/>
          <w:sz w:val="24"/>
          <w:szCs w:val="24"/>
        </w:rPr>
      </w:pPr>
      <w:r>
        <w:rPr>
          <w:rFonts w:hint="eastAsia" w:ascii="微软雅黑" w:hAnsi="微软雅黑" w:cs="微软雅黑"/>
          <w:kern w:val="2"/>
          <w:sz w:val="18"/>
          <w:szCs w:val="18"/>
        </w:rPr>
        <w:t>JAK/STAT Signaling Pathway</w:t>
      </w:r>
    </w:p>
    <w:p w14:paraId="32E4627F">
      <w:pPr>
        <w:adjustRightInd/>
        <w:snapToGrid/>
        <w:spacing w:after="40"/>
        <w:jc w:val="both"/>
        <w:rPr>
          <w:rFonts w:ascii="微软雅黑" w:hAnsi="微软雅黑" w:cs="微软雅黑"/>
          <w:b/>
          <w:bCs/>
          <w:sz w:val="18"/>
          <w:szCs w:val="18"/>
        </w:rPr>
      </w:pPr>
    </w:p>
    <w:p w14:paraId="07F55CDE">
      <w:pPr>
        <w:adjustRightInd/>
        <w:snapToGrid/>
        <w:spacing w:after="40"/>
        <w:jc w:val="both"/>
        <w:rPr>
          <w:rFonts w:ascii="微软雅黑" w:hAnsi="微软雅黑" w:cs="微软雅黑"/>
          <w:b/>
          <w:bCs/>
          <w:sz w:val="18"/>
          <w:szCs w:val="18"/>
        </w:rPr>
      </w:pPr>
      <w:r>
        <w:rPr>
          <w:rFonts w:hint="eastAsia" w:ascii="微软雅黑" w:hAnsi="微软雅黑" w:cs="微软雅黑"/>
          <w:b/>
          <w:bCs/>
          <w:sz w:val="18"/>
          <w:szCs w:val="18"/>
        </w:rPr>
        <w:t>参考文献：</w:t>
      </w:r>
    </w:p>
    <w:p w14:paraId="4C5BC6BC">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Nat Rev Immunol 2003; 3: 900-911.</w:t>
      </w:r>
    </w:p>
    <w:p w14:paraId="21DC0A86">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J Cell Sci. 2004 Mar 15;117</w:t>
      </w:r>
      <w:r>
        <w:rPr>
          <w:rFonts w:ascii="微软雅黑" w:hAnsi="微软雅黑" w:cs="微软雅黑"/>
          <w:sz w:val="18"/>
          <w:szCs w:val="18"/>
        </w:rPr>
        <w:t>（</w:t>
      </w:r>
      <w:r>
        <w:rPr>
          <w:rFonts w:hint="eastAsia" w:ascii="微软雅黑" w:hAnsi="微软雅黑" w:cs="微软雅黑"/>
          <w:sz w:val="18"/>
          <w:szCs w:val="18"/>
        </w:rPr>
        <w:t>Pt 8</w:t>
      </w:r>
      <w:r>
        <w:rPr>
          <w:rFonts w:ascii="微软雅黑" w:hAnsi="微软雅黑" w:cs="微软雅黑"/>
          <w:sz w:val="18"/>
          <w:szCs w:val="18"/>
        </w:rPr>
        <w:t>）</w:t>
      </w:r>
      <w:r>
        <w:rPr>
          <w:rFonts w:hint="eastAsia" w:ascii="微软雅黑" w:hAnsi="微软雅黑" w:cs="微软雅黑"/>
          <w:sz w:val="18"/>
          <w:szCs w:val="18"/>
        </w:rPr>
        <w:t>:1281-1283.</w:t>
      </w:r>
    </w:p>
    <w:p w14:paraId="0A45CAFA">
      <w:pPr>
        <w:adjustRightInd/>
        <w:snapToGrid/>
        <w:spacing w:after="40"/>
        <w:jc w:val="both"/>
        <w:rPr>
          <w:rFonts w:ascii="微软雅黑" w:hAnsi="微软雅黑" w:cs="微软雅黑"/>
          <w:sz w:val="18"/>
          <w:szCs w:val="18"/>
        </w:rPr>
      </w:pPr>
      <w:r>
        <w:fldChar w:fldCharType="begin"/>
      </w:r>
      <w:r>
        <w:instrText xml:space="preserve"> HYPERLINK "https://www.ncbi.nlm.nih.gov/pubmed/?term=Ananthakrishnan+R,Hallam+K,et+al.(2005)JAK-STAT+pathway+in+cardiac+ischemic+stress.Vascul+Pharmacol." \o "Vascular pharmacology." </w:instrText>
      </w:r>
      <w:r>
        <w:fldChar w:fldCharType="separate"/>
      </w:r>
      <w:r>
        <w:rPr>
          <w:rFonts w:hint="eastAsia" w:ascii="微软雅黑" w:hAnsi="微软雅黑" w:cs="微软雅黑"/>
          <w:sz w:val="18"/>
          <w:szCs w:val="18"/>
        </w:rPr>
        <w:t>Vascul Pharmacol.</w:t>
      </w:r>
      <w:r>
        <w:rPr>
          <w:rFonts w:hint="eastAsia" w:ascii="微软雅黑" w:hAnsi="微软雅黑" w:cs="微软雅黑"/>
          <w:sz w:val="18"/>
          <w:szCs w:val="18"/>
        </w:rPr>
        <w:fldChar w:fldCharType="end"/>
      </w:r>
      <w:r>
        <w:rPr>
          <w:rFonts w:hint="eastAsia" w:ascii="微软雅黑" w:hAnsi="微软雅黑" w:cs="微软雅黑"/>
          <w:sz w:val="18"/>
          <w:szCs w:val="18"/>
        </w:rPr>
        <w:t> 2005 Nov;43</w:t>
      </w:r>
      <w:r>
        <w:rPr>
          <w:rFonts w:ascii="微软雅黑" w:hAnsi="微软雅黑" w:cs="微软雅黑"/>
          <w:sz w:val="18"/>
          <w:szCs w:val="18"/>
        </w:rPr>
        <w:t>（</w:t>
      </w:r>
      <w:r>
        <w:rPr>
          <w:rFonts w:hint="eastAsia" w:ascii="微软雅黑" w:hAnsi="微软雅黑" w:cs="微软雅黑"/>
          <w:sz w:val="18"/>
          <w:szCs w:val="18"/>
        </w:rPr>
        <w:t>5</w:t>
      </w:r>
      <w:r>
        <w:rPr>
          <w:rFonts w:ascii="微软雅黑" w:hAnsi="微软雅黑" w:cs="微软雅黑"/>
          <w:sz w:val="18"/>
          <w:szCs w:val="18"/>
        </w:rPr>
        <w:t>）</w:t>
      </w:r>
      <w:r>
        <w:rPr>
          <w:rFonts w:hint="eastAsia" w:ascii="微软雅黑" w:hAnsi="微软雅黑" w:cs="微软雅黑"/>
          <w:sz w:val="18"/>
          <w:szCs w:val="18"/>
        </w:rPr>
        <w:t>:353-356. </w:t>
      </w:r>
    </w:p>
    <w:p w14:paraId="6A925151">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J Rheumatol. 2005 Sep;32</w:t>
      </w:r>
      <w:r>
        <w:rPr>
          <w:rFonts w:ascii="微软雅黑" w:hAnsi="微软雅黑" w:cs="微软雅黑"/>
          <w:sz w:val="18"/>
          <w:szCs w:val="18"/>
        </w:rPr>
        <w:t>（</w:t>
      </w:r>
      <w:r>
        <w:rPr>
          <w:rFonts w:hint="eastAsia" w:ascii="微软雅黑" w:hAnsi="微软雅黑" w:cs="微软雅黑"/>
          <w:sz w:val="18"/>
          <w:szCs w:val="18"/>
        </w:rPr>
        <w:t>9</w:t>
      </w:r>
      <w:r>
        <w:rPr>
          <w:rFonts w:ascii="微软雅黑" w:hAnsi="微软雅黑" w:cs="微软雅黑"/>
          <w:sz w:val="18"/>
          <w:szCs w:val="18"/>
        </w:rPr>
        <w:t>）</w:t>
      </w:r>
      <w:r>
        <w:rPr>
          <w:rFonts w:hint="eastAsia" w:ascii="微软雅黑" w:hAnsi="微软雅黑" w:cs="微软雅黑"/>
          <w:sz w:val="18"/>
          <w:szCs w:val="18"/>
        </w:rPr>
        <w:t>:1650-1653.</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14:paraId="0DE90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68492304">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9FBFA"/>
                <w:kern w:val="2"/>
                <w:sz w:val="20"/>
                <w:szCs w:val="20"/>
              </w:rPr>
            </w:pPr>
            <w:r>
              <w:rPr>
                <w:rFonts w:hint="eastAsia" w:ascii="微软雅黑" w:hAnsi="微软雅黑"/>
                <w:b/>
                <w:kern w:val="2"/>
                <w:sz w:val="24"/>
                <w:szCs w:val="24"/>
              </w:rPr>
              <w:br w:type="page"/>
            </w:r>
            <w:r>
              <w:rPr>
                <w:rFonts w:hint="default"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5C35AC13">
            <w:pPr>
              <w:keepNext w:val="0"/>
              <w:keepLines w:val="0"/>
              <w:widowControl/>
              <w:suppressLineNumbers w:val="0"/>
              <w:spacing w:before="0" w:beforeAutospacing="0" w:after="0" w:afterAutospacing="0" w:line="220" w:lineRule="atLeast"/>
              <w:ind w:left="0" w:right="0"/>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Notch Signaling Pathway</w:t>
            </w:r>
          </w:p>
        </w:tc>
      </w:tr>
      <w:tr w14:paraId="04FEA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571CC7CF">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FFFFF" w:themeColor="background1"/>
                <w:kern w:val="2"/>
                <w:sz w:val="20"/>
                <w:szCs w:val="20"/>
                <w14:textFill>
                  <w14:solidFill>
                    <w14:schemeClr w14:val="bg1"/>
                  </w14:solidFill>
                </w14:textFill>
              </w:rPr>
            </w:pPr>
            <w:r>
              <w:rPr>
                <w:rFonts w:hint="default"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5A15F977">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微软雅黑"/>
                <w:kern w:val="2"/>
                <w:sz w:val="18"/>
                <w:szCs w:val="18"/>
              </w:rPr>
            </w:pPr>
            <w:r>
              <w:rPr>
                <w:rFonts w:hint="eastAsia" w:ascii="微软雅黑" w:hAnsi="微软雅黑" w:cs="微软雅黑"/>
                <w:kern w:val="2"/>
                <w:sz w:val="18"/>
                <w:szCs w:val="18"/>
              </w:rPr>
              <w:t>Notch信号通路是一条影响细胞命运的、保守而重要的细胞间接触依赖的通讯方式，几乎涉及所有细胞的增殖和分化活动，对调节细胞分化、增殖和凋亡具有重要作用，并与肿瘤形成以及某些神经系统疾病有密切关系。</w:t>
            </w:r>
          </w:p>
          <w:p w14:paraId="0FE4E3BF">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Times New Roman"/>
                <w:b/>
                <w:color w:val="F9FBFA"/>
                <w:kern w:val="2"/>
                <w:sz w:val="20"/>
                <w:szCs w:val="20"/>
              </w:rPr>
            </w:pPr>
            <w:r>
              <w:rPr>
                <w:rFonts w:hint="eastAsia" w:ascii="微软雅黑" w:hAnsi="微软雅黑" w:cs="微软雅黑"/>
                <w:kern w:val="2"/>
                <w:sz w:val="18"/>
                <w:szCs w:val="18"/>
              </w:rPr>
              <w:t>完整的Notch信号通路由Notch受体（Notch1-4）、Notch配体、细胞内效应分子CSL DNA结合蛋白以及Notch的调节分子等组成。Notch配体包括Jagged家族（JAG1、JAG2）和Deltal-like（DLL1、DLL3、DLL4）蛋白。Notch信号的产生是通过Notch配体与相邻细胞上的Notch受体相互作用，Notch蛋白经过三步酶切过程，第三步经由γ-分泌酶复合体（γ-Secretase）酶切释放出Notch受体的活化形式NICD。NICD进入细胞核，与转录因子CSL以及MAML结合从而激活HES、HEY、HERP等碱性-螺旋-环-螺旋（bHLH）转录抑制因子家族的靶基因，发挥生物学作用。Notch信号传导除了通过与CSL结合发挥作用外，还可通过非CSL依赖途径，调节相关基因的表达。近年的研究发现，Notch信号改变与肿瘤、遗传性疾病、自身免疫性疾病等多种疾病的发生发展密切相关。目前已有多种Notch信号通路抑制剂用于包括癌症在内的许多疾病的研究。</w:t>
            </w:r>
          </w:p>
        </w:tc>
      </w:tr>
      <w:tr w14:paraId="3A542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6E37C482">
            <w:pPr>
              <w:keepNext w:val="0"/>
              <w:keepLines w:val="0"/>
              <w:widowControl/>
              <w:suppressLineNumbers w:val="0"/>
              <w:spacing w:before="0" w:beforeAutospacing="0" w:after="0" w:afterAutospacing="0" w:line="220" w:lineRule="atLeast"/>
              <w:ind w:left="0" w:right="0" w:firstLine="200" w:firstLineChars="100"/>
              <w:jc w:val="both"/>
              <w:rPr>
                <w:rFonts w:hint="default" w:ascii="微软雅黑" w:hAnsi="微软雅黑" w:cs="Times New Roman"/>
                <w:b/>
                <w:color w:val="F9FBFA"/>
                <w:kern w:val="2"/>
                <w:sz w:val="20"/>
                <w:szCs w:val="20"/>
              </w:rPr>
            </w:pPr>
            <w:r>
              <w:rPr>
                <w:rFonts w:hint="default" w:ascii="微软雅黑" w:hAnsi="微软雅黑" w:cs="Times New Roman"/>
                <w:b/>
                <w:color w:val="FFFFFF" w:themeColor="background1"/>
                <w:kern w:val="2"/>
                <w:sz w:val="20"/>
                <w:szCs w:val="20"/>
                <w14:textFill>
                  <w14:solidFill>
                    <w14:schemeClr w14:val="bg1"/>
                  </w14:solidFill>
                </w14:textFill>
              </w:rPr>
              <w:t>基因列表</w:t>
            </w:r>
          </w:p>
        </w:tc>
      </w:tr>
      <w:tr w14:paraId="17D9B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73EFEB21">
            <w:pPr>
              <w:keepNext w:val="0"/>
              <w:keepLines w:val="0"/>
              <w:widowControl/>
              <w:suppressLineNumbers w:val="0"/>
              <w:spacing w:before="0" w:beforeAutospacing="0" w:after="0" w:afterAutospacing="0"/>
              <w:ind w:left="0" w:right="0"/>
              <w:jc w:val="both"/>
              <w:rPr>
                <w:rFonts w:hint="default" w:ascii="微软雅黑" w:hAnsi="微软雅黑" w:cs="微软雅黑"/>
                <w:kern w:val="2"/>
                <w:sz w:val="18"/>
                <w:szCs w:val="18"/>
              </w:rPr>
            </w:pPr>
            <w:r>
              <w:rPr>
                <w:rFonts w:hint="default" w:ascii="微软雅黑" w:hAnsi="微软雅黑" w:cs="微软雅黑"/>
                <w:kern w:val="2"/>
                <w:sz w:val="18"/>
                <w:szCs w:val="18"/>
              </w:rPr>
              <w:t>AR AMER1 BCL6 CBL CDC73 CDK8 CREBBP  EP300 FBXW7 FOXP1 GATA1 GATA3</w:t>
            </w:r>
            <w:r>
              <w:rPr>
                <w:rFonts w:hint="eastAsia" w:ascii="微软雅黑" w:hAnsi="微软雅黑" w:cs="微软雅黑"/>
                <w:kern w:val="2"/>
                <w:sz w:val="18"/>
                <w:szCs w:val="18"/>
              </w:rPr>
              <w:t xml:space="preserve"> </w:t>
            </w:r>
            <w:r>
              <w:rPr>
                <w:rFonts w:hint="default" w:ascii="微软雅黑" w:hAnsi="微软雅黑" w:cs="微软雅黑"/>
                <w:kern w:val="2"/>
                <w:sz w:val="18"/>
                <w:szCs w:val="18"/>
              </w:rPr>
              <w:t>GATA4 GATA6 H3F3A HDAC1 HDAC2 HDAC3 HDAC6</w:t>
            </w:r>
            <w:r>
              <w:rPr>
                <w:rFonts w:hint="eastAsia" w:ascii="微软雅黑" w:hAnsi="微软雅黑" w:cs="微软雅黑"/>
                <w:kern w:val="2"/>
                <w:sz w:val="18"/>
                <w:szCs w:val="18"/>
              </w:rPr>
              <w:t xml:space="preserve"> </w:t>
            </w:r>
            <w:r>
              <w:rPr>
                <w:rFonts w:hint="default" w:ascii="微软雅黑" w:hAnsi="微软雅黑" w:cs="微软雅黑"/>
                <w:kern w:val="2"/>
                <w:sz w:val="18"/>
                <w:szCs w:val="18"/>
              </w:rPr>
              <w:t>HDAC8 HNF1A MYCN NOTCH1 NOTCH2 NOTCH3 NOTCH4 PARP1 PHOX2B</w:t>
            </w:r>
            <w:r>
              <w:rPr>
                <w:rFonts w:hint="eastAsia" w:ascii="微软雅黑" w:hAnsi="微软雅黑" w:cs="微软雅黑"/>
                <w:kern w:val="2"/>
                <w:sz w:val="18"/>
                <w:szCs w:val="18"/>
              </w:rPr>
              <w:t xml:space="preserve"> </w:t>
            </w:r>
            <w:r>
              <w:rPr>
                <w:rFonts w:hint="default" w:ascii="微软雅黑" w:hAnsi="微软雅黑" w:cs="微软雅黑"/>
                <w:kern w:val="2"/>
                <w:sz w:val="18"/>
                <w:szCs w:val="18"/>
              </w:rPr>
              <w:t xml:space="preserve">PTCH1 REL </w:t>
            </w:r>
            <w:r>
              <w:rPr>
                <w:rFonts w:hint="default" w:ascii="微软雅黑" w:hAnsi="微软雅黑" w:cs="微软雅黑"/>
                <w:color w:val="000000" w:themeColor="text1"/>
                <w:kern w:val="2"/>
                <w:sz w:val="18"/>
                <w:szCs w:val="18"/>
                <w14:textFill>
                  <w14:solidFill>
                    <w14:schemeClr w14:val="tx1"/>
                  </w14:solidFill>
                </w14:textFill>
              </w:rPr>
              <w:t xml:space="preserve">RUNX21 </w:t>
            </w:r>
            <w:r>
              <w:rPr>
                <w:rFonts w:hint="default" w:ascii="微软雅黑" w:hAnsi="微软雅黑" w:cs="微软雅黑"/>
                <w:kern w:val="2"/>
                <w:sz w:val="18"/>
                <w:szCs w:val="18"/>
              </w:rPr>
              <w:t xml:space="preserve">SPEN </w:t>
            </w:r>
          </w:p>
        </w:tc>
      </w:tr>
    </w:tbl>
    <w:p w14:paraId="213CAD96">
      <w:pPr>
        <w:adjustRightInd/>
        <w:snapToGrid/>
        <w:spacing w:after="0" w:line="220" w:lineRule="atLeast"/>
        <w:jc w:val="center"/>
      </w:pPr>
    </w:p>
    <w:p w14:paraId="17CF55AF">
      <w:pPr>
        <w:adjustRightInd/>
        <w:snapToGrid/>
        <w:spacing w:line="220" w:lineRule="atLeast"/>
        <w:jc w:val="center"/>
        <w:rPr>
          <w:rFonts w:ascii="微软雅黑" w:hAnsi="微软雅黑"/>
          <w:b/>
          <w:sz w:val="24"/>
          <w:szCs w:val="24"/>
        </w:rPr>
      </w:pPr>
      <w:r>
        <w:drawing>
          <wp:inline distT="0" distB="0" distL="114300" distR="114300">
            <wp:extent cx="2727325" cy="3348355"/>
            <wp:effectExtent l="0" t="0" r="15875" b="4445"/>
            <wp:docPr id="1042"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 name="图片 37"/>
                    <pic:cNvPicPr>
                      <a:picLocks noChangeAspect="1"/>
                    </pic:cNvPicPr>
                  </pic:nvPicPr>
                  <pic:blipFill>
                    <a:blip r:embed="rId43" cstate="print"/>
                    <a:stretch>
                      <a:fillRect/>
                    </a:stretch>
                  </pic:blipFill>
                  <pic:spPr>
                    <a:xfrm>
                      <a:off x="0" y="0"/>
                      <a:ext cx="2727325" cy="3348355"/>
                    </a:xfrm>
                    <a:prstGeom prst="rect">
                      <a:avLst/>
                    </a:prstGeom>
                    <a:noFill/>
                    <a:ln>
                      <a:noFill/>
                    </a:ln>
                  </pic:spPr>
                </pic:pic>
              </a:graphicData>
            </a:graphic>
          </wp:inline>
        </w:drawing>
      </w:r>
    </w:p>
    <w:p w14:paraId="1AE23C62">
      <w:pPr>
        <w:adjustRightInd/>
        <w:snapToGrid/>
        <w:spacing w:after="40"/>
        <w:jc w:val="center"/>
        <w:rPr>
          <w:rFonts w:ascii="微软雅黑" w:hAnsi="微软雅黑" w:cs="微软雅黑"/>
          <w:b/>
          <w:bCs/>
          <w:sz w:val="18"/>
          <w:szCs w:val="18"/>
        </w:rPr>
      </w:pPr>
      <w:r>
        <w:rPr>
          <w:rFonts w:hint="eastAsia" w:ascii="微软雅黑" w:hAnsi="微软雅黑" w:cs="微软雅黑"/>
          <w:sz w:val="18"/>
          <w:szCs w:val="18"/>
        </w:rPr>
        <w:t>Notch Signaling Pathway</w:t>
      </w:r>
    </w:p>
    <w:p w14:paraId="71438260">
      <w:pPr>
        <w:adjustRightInd/>
        <w:snapToGrid/>
        <w:spacing w:after="40"/>
        <w:jc w:val="both"/>
        <w:rPr>
          <w:rFonts w:ascii="微软雅黑" w:hAnsi="微软雅黑" w:cs="微软雅黑"/>
          <w:b/>
          <w:bCs/>
          <w:sz w:val="18"/>
          <w:szCs w:val="18"/>
        </w:rPr>
      </w:pPr>
      <w:r>
        <w:rPr>
          <w:rFonts w:hint="eastAsia" w:ascii="微软雅黑" w:hAnsi="微软雅黑" w:cs="微软雅黑"/>
          <w:b/>
          <w:bCs/>
          <w:sz w:val="18"/>
          <w:szCs w:val="18"/>
        </w:rPr>
        <w:t>参考文献：</w:t>
      </w:r>
    </w:p>
    <w:p w14:paraId="3B35B836">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Nature. 2003 Mar 27;422</w:t>
      </w:r>
      <w:r>
        <w:rPr>
          <w:rFonts w:ascii="微软雅黑" w:hAnsi="微软雅黑" w:cs="微软雅黑"/>
          <w:sz w:val="18"/>
          <w:szCs w:val="18"/>
        </w:rPr>
        <w:t>（</w:t>
      </w:r>
      <w:r>
        <w:rPr>
          <w:rFonts w:hint="eastAsia" w:ascii="微软雅黑" w:hAnsi="微软雅黑" w:cs="微软雅黑"/>
          <w:sz w:val="18"/>
          <w:szCs w:val="18"/>
        </w:rPr>
        <w:t>6930</w:t>
      </w:r>
      <w:r>
        <w:rPr>
          <w:rFonts w:ascii="微软雅黑" w:hAnsi="微软雅黑" w:cs="微软雅黑"/>
          <w:sz w:val="18"/>
          <w:szCs w:val="18"/>
        </w:rPr>
        <w:t>）</w:t>
      </w:r>
      <w:r>
        <w:rPr>
          <w:rFonts w:hint="eastAsia" w:ascii="微软雅黑" w:hAnsi="微软雅黑" w:cs="微软雅黑"/>
          <w:sz w:val="18"/>
          <w:szCs w:val="18"/>
        </w:rPr>
        <w:t xml:space="preserve">:438-41. </w:t>
      </w:r>
    </w:p>
    <w:p w14:paraId="7BA4BB1D">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Development. 2007 Aug;134</w:t>
      </w:r>
      <w:r>
        <w:rPr>
          <w:rFonts w:ascii="微软雅黑" w:hAnsi="微软雅黑" w:cs="微软雅黑"/>
          <w:sz w:val="18"/>
          <w:szCs w:val="18"/>
        </w:rPr>
        <w:t>（</w:t>
      </w:r>
      <w:r>
        <w:rPr>
          <w:rFonts w:hint="eastAsia" w:ascii="微软雅黑" w:hAnsi="微软雅黑" w:cs="微软雅黑"/>
          <w:sz w:val="18"/>
          <w:szCs w:val="18"/>
        </w:rPr>
        <w:t>15</w:t>
      </w:r>
      <w:r>
        <w:rPr>
          <w:rFonts w:ascii="微软雅黑" w:hAnsi="微软雅黑" w:cs="微软雅黑"/>
          <w:sz w:val="18"/>
          <w:szCs w:val="18"/>
        </w:rPr>
        <w:t>）</w:t>
      </w:r>
      <w:r>
        <w:rPr>
          <w:rFonts w:hint="eastAsia" w:ascii="微软雅黑" w:hAnsi="微软雅黑" w:cs="微软雅黑"/>
          <w:sz w:val="18"/>
          <w:szCs w:val="18"/>
        </w:rPr>
        <w:t xml:space="preserve">:2709-2718. </w:t>
      </w:r>
    </w:p>
    <w:p w14:paraId="13BA5253">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Nat Rev Drug Discov. 2014 May;13</w:t>
      </w:r>
      <w:r>
        <w:rPr>
          <w:rFonts w:ascii="微软雅黑" w:hAnsi="微软雅黑" w:cs="微软雅黑"/>
          <w:sz w:val="18"/>
          <w:szCs w:val="18"/>
        </w:rPr>
        <w:t>（</w:t>
      </w:r>
      <w:r>
        <w:rPr>
          <w:rFonts w:hint="eastAsia" w:ascii="微软雅黑" w:hAnsi="微软雅黑" w:cs="微软雅黑"/>
          <w:sz w:val="18"/>
          <w:szCs w:val="18"/>
        </w:rPr>
        <w:t>5</w:t>
      </w:r>
      <w:r>
        <w:rPr>
          <w:rFonts w:ascii="微软雅黑" w:hAnsi="微软雅黑" w:cs="微软雅黑"/>
          <w:sz w:val="18"/>
          <w:szCs w:val="18"/>
        </w:rPr>
        <w:t>）</w:t>
      </w:r>
      <w:r>
        <w:rPr>
          <w:rFonts w:hint="eastAsia" w:ascii="微软雅黑" w:hAnsi="微软雅黑" w:cs="微软雅黑"/>
          <w:sz w:val="18"/>
          <w:szCs w:val="18"/>
        </w:rPr>
        <w:t xml:space="preserve">:357-378. </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14:paraId="21DA2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5F212F49">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9FBFA"/>
                <w:kern w:val="2"/>
                <w:sz w:val="20"/>
                <w:szCs w:val="20"/>
              </w:rPr>
            </w:pPr>
            <w:r>
              <w:rPr>
                <w:rFonts w:hint="eastAsia" w:ascii="微软雅黑" w:hAnsi="微软雅黑"/>
                <w:b/>
                <w:kern w:val="2"/>
                <w:sz w:val="24"/>
                <w:szCs w:val="24"/>
              </w:rPr>
              <w:br w:type="page"/>
            </w:r>
            <w:r>
              <w:rPr>
                <w:rFonts w:hint="default"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22BBBE43">
            <w:pPr>
              <w:keepNext w:val="0"/>
              <w:keepLines w:val="0"/>
              <w:widowControl/>
              <w:suppressLineNumbers w:val="0"/>
              <w:spacing w:before="0" w:beforeAutospacing="0" w:after="0" w:afterAutospacing="0" w:line="220" w:lineRule="atLeast"/>
              <w:ind w:left="0" w:right="0"/>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Hedgehog Signaling Pathway</w:t>
            </w:r>
          </w:p>
        </w:tc>
      </w:tr>
      <w:tr w14:paraId="5842C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0B8B462C">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FFFFF" w:themeColor="background1"/>
                <w:kern w:val="2"/>
                <w:sz w:val="20"/>
                <w:szCs w:val="20"/>
                <w14:textFill>
                  <w14:solidFill>
                    <w14:schemeClr w14:val="bg1"/>
                  </w14:solidFill>
                </w14:textFill>
              </w:rPr>
            </w:pPr>
            <w:r>
              <w:rPr>
                <w:rFonts w:hint="default"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69DFD2A9">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微软雅黑"/>
                <w:kern w:val="2"/>
                <w:sz w:val="18"/>
                <w:szCs w:val="18"/>
              </w:rPr>
            </w:pPr>
            <w:r>
              <w:rPr>
                <w:rFonts w:hint="eastAsia" w:ascii="微软雅黑" w:hAnsi="微软雅黑" w:cs="微软雅黑"/>
                <w:kern w:val="2"/>
                <w:sz w:val="18"/>
                <w:szCs w:val="18"/>
              </w:rPr>
              <w:t>Hedgehog（HH）信号通路调控着胚胎发育期组织细胞的生长分化。当胚胎发育成熟后，该通路就进入失活状态。HH信号通路失调与出生缺陷和多种肿瘤发生密切相关，在成髓细胞瘤、基底细胞癌、小细胞肺癌、乳腺癌和膀胱癌等多种癌症中都存在HH信号的活化。</w:t>
            </w:r>
          </w:p>
          <w:p w14:paraId="2BF3E5CD">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Times New Roman"/>
                <w:b/>
                <w:color w:val="F9FBFA"/>
                <w:kern w:val="2"/>
                <w:sz w:val="20"/>
                <w:szCs w:val="20"/>
              </w:rPr>
            </w:pPr>
            <w:r>
              <w:rPr>
                <w:rFonts w:hint="eastAsia" w:ascii="微软雅黑" w:hAnsi="微软雅黑" w:cs="微软雅黑"/>
                <w:kern w:val="2"/>
                <w:sz w:val="18"/>
                <w:szCs w:val="18"/>
              </w:rPr>
              <w:t>HH信号通路由分泌型蛋白配体Hedgehog（Shh、Ihh、Dhh）、跨膜蛋白受体Patched1/2（Ptch1/2）和跨膜蛋白Smothened（Smo）、核转录因子以及下游靶基因组成。目前，发现的核内因子有Gli1/2/3蛋白、丝氨酸/苏氨酸蛋白激酶Fused（Fu）、Fu抑制剂（SuFu）、蛋白激酶A（PKA）等。在受体细胞没有被HH配体刺激时（关闭状态），Ptch与G蛋白偶联跨膜蛋白Smo结合，从而抑制下游通路，这时下游的Gli蛋白在蛋白酶体（Proteasome）内被截断，并以羧基端被截断的形式进入细胞核内，抑制下游靶基因的转录。当HH与Ptch结合后，会解除对Smo的抑制作用，激活STK36丝氨酸-苏氨酸激酶，促使Gli蛋白与PKA、微管蛋白等形成大分子复合物，使得全长Gli（1-3）蛋白进入细胞核内发挥转录激活作用，将HH信号转入核内，激活下游靶基因（如Wnt、Ptc、BMP、c-myc、VEGF等）。Ptch的激活型突变与Gorlin综合征相关并增加患者患基底细胞癌、髓母细胞瘤和横纹肌肉瘤的风险。因此，将这条信号通路作为靶点用于治疗已引发广泛的关注。</w:t>
            </w:r>
          </w:p>
        </w:tc>
      </w:tr>
      <w:tr w14:paraId="2FD41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032BCA25">
            <w:pPr>
              <w:keepNext w:val="0"/>
              <w:keepLines w:val="0"/>
              <w:widowControl/>
              <w:suppressLineNumbers w:val="0"/>
              <w:spacing w:before="0" w:beforeAutospacing="0" w:after="0" w:afterAutospacing="0" w:line="220" w:lineRule="atLeast"/>
              <w:ind w:left="0" w:right="0" w:firstLine="200" w:firstLineChars="100"/>
              <w:jc w:val="both"/>
              <w:rPr>
                <w:rFonts w:hint="default" w:ascii="微软雅黑" w:hAnsi="微软雅黑" w:cs="Times New Roman"/>
                <w:b/>
                <w:color w:val="F9FBFA"/>
                <w:kern w:val="2"/>
                <w:sz w:val="20"/>
                <w:szCs w:val="20"/>
              </w:rPr>
            </w:pPr>
            <w:r>
              <w:rPr>
                <w:rFonts w:hint="default" w:ascii="微软雅黑" w:hAnsi="微软雅黑" w:cs="Times New Roman"/>
                <w:b/>
                <w:color w:val="FFFFFF" w:themeColor="background1"/>
                <w:kern w:val="2"/>
                <w:sz w:val="20"/>
                <w:szCs w:val="20"/>
                <w14:textFill>
                  <w14:solidFill>
                    <w14:schemeClr w14:val="bg1"/>
                  </w14:solidFill>
                </w14:textFill>
              </w:rPr>
              <w:t>基因列表</w:t>
            </w:r>
          </w:p>
        </w:tc>
      </w:tr>
      <w:tr w14:paraId="400AF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21C61A4D">
            <w:pPr>
              <w:keepNext w:val="0"/>
              <w:keepLines w:val="0"/>
              <w:widowControl/>
              <w:suppressLineNumbers w:val="0"/>
              <w:spacing w:before="0" w:beforeAutospacing="0" w:after="0" w:afterAutospacing="0"/>
              <w:ind w:left="0" w:right="0"/>
              <w:jc w:val="both"/>
              <w:rPr>
                <w:rFonts w:hint="default" w:ascii="微软雅黑" w:hAnsi="微软雅黑" w:cs="微软雅黑"/>
                <w:kern w:val="2"/>
                <w:sz w:val="18"/>
                <w:szCs w:val="18"/>
              </w:rPr>
            </w:pPr>
            <w:r>
              <w:rPr>
                <w:rFonts w:hint="default" w:ascii="微软雅黑" w:hAnsi="微软雅黑" w:cs="微软雅黑"/>
                <w:kern w:val="2"/>
                <w:sz w:val="18"/>
                <w:szCs w:val="18"/>
              </w:rPr>
              <w:t>AMER1 CDC73 FOXP1 GATA6 GLI1</w:t>
            </w:r>
            <w:r>
              <w:rPr>
                <w:rFonts w:hint="eastAsia" w:ascii="微软雅黑" w:hAnsi="微软雅黑" w:cs="微软雅黑"/>
                <w:kern w:val="2"/>
                <w:sz w:val="18"/>
                <w:szCs w:val="18"/>
              </w:rPr>
              <w:t xml:space="preserve"> </w:t>
            </w:r>
            <w:r>
              <w:rPr>
                <w:rFonts w:hint="default" w:ascii="微软雅黑" w:hAnsi="微软雅黑" w:cs="微软雅黑"/>
                <w:kern w:val="2"/>
                <w:sz w:val="18"/>
                <w:szCs w:val="18"/>
              </w:rPr>
              <w:t xml:space="preserve">GNA11 GNA13 GNAQ GNAS GSK3B PTCH1 PTCH2 </w:t>
            </w:r>
            <w:r>
              <w:rPr>
                <w:rFonts w:hint="default" w:ascii="微软雅黑" w:hAnsi="微软雅黑" w:cs="微软雅黑"/>
                <w:color w:val="000000" w:themeColor="text1"/>
                <w:kern w:val="2"/>
                <w:sz w:val="18"/>
                <w:szCs w:val="18"/>
                <w14:textFill>
                  <w14:solidFill>
                    <w14:schemeClr w14:val="tx1"/>
                  </w14:solidFill>
                </w14:textFill>
              </w:rPr>
              <w:t>RUNX2</w:t>
            </w:r>
            <w:r>
              <w:rPr>
                <w:rFonts w:hint="default" w:ascii="微软雅黑" w:hAnsi="微软雅黑" w:cs="微软雅黑"/>
                <w:kern w:val="2"/>
                <w:sz w:val="18"/>
                <w:szCs w:val="18"/>
              </w:rPr>
              <w:t xml:space="preserve"> SHH SMO SPOP SUFU XPO1</w:t>
            </w:r>
          </w:p>
        </w:tc>
      </w:tr>
    </w:tbl>
    <w:p w14:paraId="023EA5AA">
      <w:pPr>
        <w:adjustRightInd/>
        <w:snapToGrid/>
        <w:spacing w:line="220" w:lineRule="atLeast"/>
        <w:jc w:val="center"/>
      </w:pPr>
    </w:p>
    <w:p w14:paraId="15A8497D">
      <w:pPr>
        <w:adjustRightInd/>
        <w:snapToGrid/>
        <w:spacing w:line="220" w:lineRule="atLeast"/>
        <w:jc w:val="center"/>
        <w:rPr>
          <w:rFonts w:ascii="微软雅黑" w:hAnsi="微软雅黑"/>
          <w:b/>
          <w:sz w:val="24"/>
          <w:szCs w:val="24"/>
        </w:rPr>
      </w:pPr>
      <w:r>
        <w:drawing>
          <wp:inline distT="0" distB="0" distL="114300" distR="114300">
            <wp:extent cx="5267325" cy="2696845"/>
            <wp:effectExtent l="0" t="0" r="9525" b="8255"/>
            <wp:docPr id="10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 name="图片 1"/>
                    <pic:cNvPicPr>
                      <a:picLocks noChangeAspect="1"/>
                    </pic:cNvPicPr>
                  </pic:nvPicPr>
                  <pic:blipFill>
                    <a:blip r:embed="rId44" cstate="print"/>
                    <a:stretch>
                      <a:fillRect/>
                    </a:stretch>
                  </pic:blipFill>
                  <pic:spPr>
                    <a:xfrm>
                      <a:off x="0" y="0"/>
                      <a:ext cx="5267325" cy="2696845"/>
                    </a:xfrm>
                    <a:prstGeom prst="rect">
                      <a:avLst/>
                    </a:prstGeom>
                    <a:noFill/>
                    <a:ln>
                      <a:noFill/>
                    </a:ln>
                  </pic:spPr>
                </pic:pic>
              </a:graphicData>
            </a:graphic>
          </wp:inline>
        </w:drawing>
      </w:r>
    </w:p>
    <w:p w14:paraId="3AC07856">
      <w:pPr>
        <w:adjustRightInd/>
        <w:snapToGrid/>
        <w:spacing w:line="220" w:lineRule="atLeast"/>
        <w:jc w:val="center"/>
        <w:rPr>
          <w:rFonts w:ascii="微软雅黑" w:hAnsi="微软雅黑" w:cs="微软雅黑"/>
          <w:sz w:val="18"/>
          <w:szCs w:val="18"/>
        </w:rPr>
      </w:pPr>
      <w:r>
        <w:rPr>
          <w:rFonts w:hint="eastAsia" w:ascii="微软雅黑" w:hAnsi="微软雅黑" w:cs="微软雅黑"/>
          <w:sz w:val="18"/>
          <w:szCs w:val="18"/>
        </w:rPr>
        <w:t>Hedgehog Signaling Pathway</w:t>
      </w:r>
    </w:p>
    <w:p w14:paraId="5F474F62">
      <w:pPr>
        <w:adjustRightInd/>
        <w:snapToGrid/>
        <w:spacing w:before="40" w:after="40"/>
        <w:jc w:val="both"/>
        <w:rPr>
          <w:rFonts w:ascii="微软雅黑" w:hAnsi="微软雅黑" w:cs="微软雅黑"/>
          <w:b/>
          <w:bCs/>
          <w:sz w:val="18"/>
          <w:szCs w:val="18"/>
        </w:rPr>
      </w:pPr>
      <w:r>
        <w:rPr>
          <w:rFonts w:hint="eastAsia" w:ascii="微软雅黑" w:hAnsi="微软雅黑" w:cs="微软雅黑"/>
          <w:b/>
          <w:bCs/>
          <w:sz w:val="18"/>
          <w:szCs w:val="18"/>
        </w:rPr>
        <w:t>参考文献：</w:t>
      </w:r>
    </w:p>
    <w:p w14:paraId="35D49D55">
      <w:pPr>
        <w:adjustRightInd/>
        <w:snapToGrid/>
        <w:spacing w:before="40" w:after="40"/>
        <w:rPr>
          <w:rFonts w:ascii="微软雅黑" w:hAnsi="微软雅黑" w:cs="微软雅黑"/>
          <w:sz w:val="18"/>
          <w:szCs w:val="18"/>
        </w:rPr>
      </w:pPr>
      <w:r>
        <w:rPr>
          <w:rFonts w:hint="eastAsia" w:ascii="微软雅黑" w:hAnsi="微软雅黑" w:cs="微软雅黑"/>
          <w:sz w:val="18"/>
          <w:szCs w:val="18"/>
        </w:rPr>
        <w:t>Cell. 2000 Jan 21;100</w:t>
      </w:r>
      <w:r>
        <w:rPr>
          <w:rFonts w:ascii="微软雅黑" w:hAnsi="微软雅黑" w:cs="微软雅黑"/>
          <w:sz w:val="18"/>
          <w:szCs w:val="18"/>
        </w:rPr>
        <w:t>（</w:t>
      </w:r>
      <w:r>
        <w:rPr>
          <w:rFonts w:hint="eastAsia" w:ascii="微软雅黑" w:hAnsi="微软雅黑" w:cs="微软雅黑"/>
          <w:sz w:val="18"/>
          <w:szCs w:val="18"/>
        </w:rPr>
        <w:t>2</w:t>
      </w:r>
      <w:r>
        <w:rPr>
          <w:rFonts w:ascii="微软雅黑" w:hAnsi="微软雅黑" w:cs="微软雅黑"/>
          <w:sz w:val="18"/>
          <w:szCs w:val="18"/>
        </w:rPr>
        <w:t>）</w:t>
      </w:r>
      <w:r>
        <w:rPr>
          <w:rFonts w:hint="eastAsia" w:ascii="微软雅黑" w:hAnsi="微软雅黑" w:cs="微软雅黑"/>
          <w:sz w:val="18"/>
          <w:szCs w:val="18"/>
        </w:rPr>
        <w:t>:185-188.</w:t>
      </w:r>
    </w:p>
    <w:p w14:paraId="37CDE1EE">
      <w:pPr>
        <w:adjustRightInd/>
        <w:snapToGrid/>
        <w:spacing w:before="40" w:after="40"/>
        <w:rPr>
          <w:rFonts w:ascii="微软雅黑" w:hAnsi="微软雅黑" w:cs="微软雅黑"/>
          <w:sz w:val="18"/>
          <w:szCs w:val="18"/>
        </w:rPr>
      </w:pPr>
      <w:r>
        <w:rPr>
          <w:rFonts w:hint="eastAsia" w:ascii="微软雅黑" w:hAnsi="微软雅黑" w:cs="微软雅黑"/>
          <w:sz w:val="18"/>
          <w:szCs w:val="18"/>
        </w:rPr>
        <w:t>BMC Dev Biol. 2002 Mar 19;2:4.</w:t>
      </w:r>
    </w:p>
    <w:p w14:paraId="2DA6926C">
      <w:pPr>
        <w:adjustRightInd/>
        <w:snapToGrid/>
        <w:spacing w:before="40" w:after="40"/>
        <w:rPr>
          <w:rFonts w:ascii="微软雅黑" w:hAnsi="微软雅黑" w:cs="微软雅黑"/>
          <w:sz w:val="18"/>
          <w:szCs w:val="18"/>
        </w:rPr>
      </w:pPr>
      <w:r>
        <w:rPr>
          <w:rFonts w:hint="eastAsia" w:ascii="微软雅黑" w:hAnsi="微软雅黑" w:cs="微软雅黑"/>
          <w:sz w:val="18"/>
          <w:szCs w:val="18"/>
        </w:rPr>
        <w:t>Nat Rev Genet. 2011 Jun;12</w:t>
      </w:r>
      <w:r>
        <w:rPr>
          <w:rFonts w:ascii="微软雅黑" w:hAnsi="微软雅黑" w:cs="微软雅黑"/>
          <w:sz w:val="18"/>
          <w:szCs w:val="18"/>
        </w:rPr>
        <w:t>（</w:t>
      </w:r>
      <w:r>
        <w:rPr>
          <w:rFonts w:hint="eastAsia" w:ascii="微软雅黑" w:hAnsi="微软雅黑" w:cs="微软雅黑"/>
          <w:sz w:val="18"/>
          <w:szCs w:val="18"/>
        </w:rPr>
        <w:t>6</w:t>
      </w:r>
      <w:r>
        <w:rPr>
          <w:rFonts w:ascii="微软雅黑" w:hAnsi="微软雅黑" w:cs="微软雅黑"/>
          <w:sz w:val="18"/>
          <w:szCs w:val="18"/>
        </w:rPr>
        <w:t>）</w:t>
      </w:r>
      <w:r>
        <w:rPr>
          <w:rFonts w:hint="eastAsia" w:ascii="微软雅黑" w:hAnsi="微软雅黑" w:cs="微软雅黑"/>
          <w:sz w:val="18"/>
          <w:szCs w:val="18"/>
        </w:rPr>
        <w:t>:393-406.</w:t>
      </w:r>
    </w:p>
    <w:p w14:paraId="4D2D0DB1">
      <w:pPr>
        <w:adjustRightInd/>
        <w:snapToGrid/>
        <w:spacing w:before="40" w:after="40"/>
        <w:rPr>
          <w:rFonts w:ascii="微软雅黑" w:hAnsi="微软雅黑" w:cs="微软雅黑"/>
          <w:sz w:val="18"/>
          <w:szCs w:val="18"/>
        </w:rPr>
      </w:pPr>
      <w:r>
        <w:rPr>
          <w:rFonts w:hint="eastAsia" w:ascii="微软雅黑" w:hAnsi="微软雅黑" w:cs="微软雅黑"/>
          <w:sz w:val="18"/>
          <w:szCs w:val="18"/>
        </w:rPr>
        <w:t>Pharmacological Research. 2019 Mar 141:466–480.</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14:paraId="3C21A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3042898E">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223ED6A8">
            <w:pPr>
              <w:keepNext w:val="0"/>
              <w:keepLines w:val="0"/>
              <w:widowControl/>
              <w:suppressLineNumbers w:val="0"/>
              <w:spacing w:before="0" w:beforeAutospacing="0" w:after="0" w:afterAutospacing="0" w:line="220" w:lineRule="atLeast"/>
              <w:ind w:left="0" w:right="0"/>
              <w:rPr>
                <w:rFonts w:hint="default" w:ascii="微软雅黑" w:hAnsi="微软雅黑" w:cs="Times New Roman"/>
                <w:b/>
                <w:color w:val="F9FBFA"/>
                <w:kern w:val="2"/>
                <w:sz w:val="20"/>
                <w:szCs w:val="20"/>
              </w:rPr>
            </w:pPr>
            <w:bookmarkStart w:id="210" w:name="OLE_LINK33"/>
            <w:r>
              <w:rPr>
                <w:rFonts w:hint="default" w:ascii="微软雅黑" w:hAnsi="微软雅黑" w:cs="Times New Roman"/>
                <w:b/>
                <w:color w:val="F9FBFA"/>
                <w:kern w:val="2"/>
                <w:sz w:val="20"/>
                <w:szCs w:val="20"/>
              </w:rPr>
              <w:t>Cell cycle signaling pathway</w:t>
            </w:r>
            <w:bookmarkEnd w:id="210"/>
          </w:p>
        </w:tc>
      </w:tr>
      <w:tr w14:paraId="27E6D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58711F19">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FFFFF" w:themeColor="background1"/>
                <w:kern w:val="2"/>
                <w:sz w:val="20"/>
                <w:szCs w:val="20"/>
                <w14:textFill>
                  <w14:solidFill>
                    <w14:schemeClr w14:val="bg1"/>
                  </w14:solidFill>
                </w14:textFill>
              </w:rPr>
            </w:pPr>
            <w:r>
              <w:rPr>
                <w:rFonts w:hint="default"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0BCCB25F">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Times New Roman"/>
                <w:b/>
                <w:color w:val="F9FBFA"/>
                <w:kern w:val="2"/>
                <w:sz w:val="20"/>
                <w:szCs w:val="20"/>
              </w:rPr>
            </w:pPr>
            <w:r>
              <w:rPr>
                <w:rFonts w:hint="default" w:ascii="微软雅黑" w:hAnsi="微软雅黑" w:cs="微软雅黑"/>
                <w:kern w:val="2"/>
                <w:sz w:val="18"/>
                <w:szCs w:val="18"/>
              </w:rPr>
              <w:t>细胞周期包括调控细胞</w:t>
            </w:r>
            <w:r>
              <w:rPr>
                <w:rFonts w:hint="eastAsia" w:ascii="微软雅黑" w:hAnsi="微软雅黑" w:cs="微软雅黑"/>
                <w:kern w:val="2"/>
                <w:sz w:val="18"/>
                <w:szCs w:val="18"/>
              </w:rPr>
              <w:t>的</w:t>
            </w:r>
            <w:r>
              <w:rPr>
                <w:rFonts w:hint="default" w:ascii="微软雅黑" w:hAnsi="微软雅黑" w:cs="微软雅黑"/>
                <w:kern w:val="2"/>
                <w:sz w:val="18"/>
                <w:szCs w:val="18"/>
              </w:rPr>
              <w:t>生长、复制和分裂。细胞周期包括四个不同的阶段:G1期、S期、G2期和M期。细胞周期调控(激活和抑制)依赖于特定的细胞周期检查点，防止异常的细胞周期激活和持续。例如，G2/M检查点确保含有受损DNA的细胞不会进入有丝分裂。这些细胞周期检查点由CDK+cyclin结合对协同作用控制，包括CDK4/6+cyclin D</w:t>
            </w:r>
            <w:r>
              <w:rPr>
                <w:rFonts w:hint="eastAsia" w:ascii="微软雅黑" w:hAnsi="微软雅黑" w:cs="微软雅黑"/>
                <w:kern w:val="2"/>
                <w:sz w:val="18"/>
                <w:szCs w:val="18"/>
              </w:rPr>
              <w:t>、</w:t>
            </w:r>
            <w:r>
              <w:rPr>
                <w:rFonts w:hint="default" w:ascii="微软雅黑" w:hAnsi="微软雅黑" w:cs="微软雅黑"/>
                <w:kern w:val="2"/>
                <w:sz w:val="18"/>
                <w:szCs w:val="18"/>
              </w:rPr>
              <w:t xml:space="preserve"> RB1/E2F</w:t>
            </w:r>
            <w:r>
              <w:rPr>
                <w:rFonts w:hint="eastAsia" w:ascii="微软雅黑" w:hAnsi="微软雅黑" w:cs="微软雅黑"/>
                <w:kern w:val="2"/>
                <w:sz w:val="18"/>
                <w:szCs w:val="18"/>
              </w:rPr>
              <w:t>、</w:t>
            </w:r>
            <w:r>
              <w:rPr>
                <w:rFonts w:hint="default" w:ascii="微软雅黑" w:hAnsi="微软雅黑" w:cs="微软雅黑"/>
                <w:kern w:val="2"/>
                <w:sz w:val="18"/>
                <w:szCs w:val="18"/>
              </w:rPr>
              <w:t>CDK2+cyclin E</w:t>
            </w:r>
            <w:r>
              <w:rPr>
                <w:rFonts w:hint="eastAsia" w:ascii="微软雅黑" w:hAnsi="微软雅黑" w:cs="微软雅黑"/>
                <w:kern w:val="2"/>
                <w:sz w:val="18"/>
                <w:szCs w:val="18"/>
              </w:rPr>
              <w:t>、</w:t>
            </w:r>
            <w:r>
              <w:rPr>
                <w:rFonts w:hint="default" w:ascii="微软雅黑" w:hAnsi="微软雅黑" w:cs="微软雅黑"/>
                <w:kern w:val="2"/>
                <w:sz w:val="18"/>
                <w:szCs w:val="18"/>
              </w:rPr>
              <w:t xml:space="preserve"> CDK2+cyclin A</w:t>
            </w:r>
            <w:r>
              <w:rPr>
                <w:rFonts w:hint="eastAsia" w:ascii="微软雅黑" w:hAnsi="微软雅黑" w:cs="微软雅黑"/>
                <w:kern w:val="2"/>
                <w:sz w:val="18"/>
                <w:szCs w:val="18"/>
              </w:rPr>
              <w:t>、</w:t>
            </w:r>
            <w:r>
              <w:rPr>
                <w:rFonts w:hint="default" w:ascii="微软雅黑" w:hAnsi="微软雅黑" w:cs="微软雅黑"/>
                <w:kern w:val="2"/>
                <w:sz w:val="18"/>
                <w:szCs w:val="18"/>
              </w:rPr>
              <w:t>CDK1+cyclin A</w:t>
            </w:r>
            <w:r>
              <w:rPr>
                <w:rFonts w:hint="eastAsia" w:ascii="微软雅黑" w:hAnsi="微软雅黑" w:cs="微软雅黑"/>
                <w:kern w:val="2"/>
                <w:sz w:val="18"/>
                <w:szCs w:val="18"/>
              </w:rPr>
              <w:t xml:space="preserve">、  </w:t>
            </w:r>
            <w:r>
              <w:rPr>
                <w:rFonts w:hint="default" w:ascii="微软雅黑" w:hAnsi="微软雅黑" w:cs="微软雅黑"/>
                <w:kern w:val="2"/>
                <w:sz w:val="18"/>
                <w:szCs w:val="18"/>
              </w:rPr>
              <w:t>CDK1+cyclin B</w:t>
            </w:r>
            <w:r>
              <w:rPr>
                <w:rFonts w:hint="eastAsia" w:ascii="微软雅黑" w:hAnsi="微软雅黑" w:cs="微软雅黑"/>
                <w:kern w:val="2"/>
                <w:sz w:val="18"/>
                <w:szCs w:val="18"/>
              </w:rPr>
              <w:t>。</w:t>
            </w:r>
          </w:p>
        </w:tc>
      </w:tr>
      <w:tr w14:paraId="1A779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00E59A27">
            <w:pPr>
              <w:keepNext w:val="0"/>
              <w:keepLines w:val="0"/>
              <w:widowControl/>
              <w:suppressLineNumbers w:val="0"/>
              <w:spacing w:before="0" w:beforeAutospacing="0" w:after="0" w:afterAutospacing="0" w:line="220" w:lineRule="atLeast"/>
              <w:ind w:left="0" w:right="0" w:firstLine="200" w:firstLineChars="100"/>
              <w:jc w:val="both"/>
              <w:rPr>
                <w:rFonts w:hint="default" w:ascii="微软雅黑" w:hAnsi="微软雅黑" w:cs="Times New Roman"/>
                <w:b/>
                <w:color w:val="F9FBFA"/>
                <w:kern w:val="2"/>
                <w:sz w:val="20"/>
                <w:szCs w:val="20"/>
              </w:rPr>
            </w:pPr>
            <w:r>
              <w:rPr>
                <w:rFonts w:hint="default" w:ascii="微软雅黑" w:hAnsi="微软雅黑" w:cs="Times New Roman"/>
                <w:b/>
                <w:color w:val="FFFFFF" w:themeColor="background1"/>
                <w:kern w:val="2"/>
                <w:sz w:val="20"/>
                <w:szCs w:val="20"/>
                <w14:textFill>
                  <w14:solidFill>
                    <w14:schemeClr w14:val="bg1"/>
                  </w14:solidFill>
                </w14:textFill>
              </w:rPr>
              <w:t>基因列表</w:t>
            </w:r>
          </w:p>
        </w:tc>
      </w:tr>
      <w:tr w14:paraId="450C1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59DEA443">
            <w:pPr>
              <w:keepNext w:val="0"/>
              <w:keepLines w:val="0"/>
              <w:widowControl/>
              <w:suppressLineNumbers w:val="0"/>
              <w:spacing w:before="0" w:beforeAutospacing="0" w:after="0" w:afterAutospacing="0"/>
              <w:ind w:left="0" w:right="0"/>
              <w:jc w:val="both"/>
              <w:rPr>
                <w:rFonts w:hint="default" w:ascii="微软雅黑" w:hAnsi="微软雅黑" w:cs="微软雅黑"/>
                <w:kern w:val="2"/>
                <w:sz w:val="18"/>
                <w:szCs w:val="18"/>
              </w:rPr>
            </w:pPr>
            <w:r>
              <w:rPr>
                <w:rFonts w:hint="eastAsia" w:ascii="微软雅黑" w:hAnsi="微软雅黑" w:cs="微软雅黑"/>
                <w:kern w:val="2"/>
                <w:sz w:val="18"/>
                <w:szCs w:val="18"/>
              </w:rPr>
              <w:t>TP53 A</w:t>
            </w:r>
            <w:r>
              <w:rPr>
                <w:rFonts w:hint="eastAsia" w:ascii="微软雅黑" w:hAnsi="微软雅黑" w:cs="微软雅黑"/>
                <w:color w:val="000000" w:themeColor="text1"/>
                <w:kern w:val="2"/>
                <w:sz w:val="18"/>
                <w:szCs w:val="18"/>
                <w14:textFill>
                  <w14:solidFill>
                    <w14:schemeClr w14:val="tx1"/>
                  </w14:solidFill>
                </w14:textFill>
              </w:rPr>
              <w:t>TM A</w:t>
            </w:r>
            <w:r>
              <w:rPr>
                <w:rFonts w:hint="eastAsia" w:ascii="微软雅黑" w:hAnsi="微软雅黑" w:cs="微软雅黑"/>
                <w:kern w:val="2"/>
                <w:sz w:val="18"/>
                <w:szCs w:val="18"/>
              </w:rPr>
              <w:t xml:space="preserve">BL1 ATR CCND1 CCND2 CCND3 CCNE1 CDK4 CDK6 CDKN1A CDKN1B CDKN2A CDKN2B CDKN2C CHEK1 CHEK2 CREBBP E2F3 EP300 GSK3B MDM2 MYC PRKDC RAD21 RB1 SMAD2 SMAD3 SMAD4 STAG2 </w:t>
            </w:r>
          </w:p>
        </w:tc>
      </w:tr>
    </w:tbl>
    <w:p w14:paraId="1E44E220">
      <w:pPr>
        <w:adjustRightInd/>
        <w:snapToGrid/>
        <w:spacing w:after="0"/>
        <w:rPr>
          <w:rFonts w:ascii="微软雅黑" w:hAnsi="微软雅黑"/>
          <w:b/>
          <w:sz w:val="24"/>
          <w:szCs w:val="24"/>
        </w:rPr>
      </w:pPr>
    </w:p>
    <w:p w14:paraId="40ED48F1">
      <w:pPr>
        <w:adjustRightInd/>
        <w:snapToGrid/>
        <w:spacing w:after="0"/>
        <w:jc w:val="center"/>
        <w:rPr>
          <w:rFonts w:ascii="微软雅黑" w:hAnsi="微软雅黑"/>
          <w:b/>
          <w:sz w:val="24"/>
          <w:szCs w:val="24"/>
        </w:rPr>
      </w:pPr>
      <w:r>
        <w:rPr>
          <w:rFonts w:ascii="微软雅黑" w:hAnsi="微软雅黑"/>
          <w:b/>
          <w:sz w:val="24"/>
          <w:szCs w:val="24"/>
        </w:rPr>
        <w:drawing>
          <wp:inline distT="0" distB="0" distL="114300" distR="114300">
            <wp:extent cx="4167505" cy="3260725"/>
            <wp:effectExtent l="0" t="0" r="4445" b="15875"/>
            <wp:docPr id="1044" name="图片 39"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 name="图片 39" descr="图片2"/>
                    <pic:cNvPicPr>
                      <a:picLocks noChangeAspect="1"/>
                    </pic:cNvPicPr>
                  </pic:nvPicPr>
                  <pic:blipFill>
                    <a:blip r:embed="rId45" cstate="print"/>
                    <a:stretch>
                      <a:fillRect/>
                    </a:stretch>
                  </pic:blipFill>
                  <pic:spPr>
                    <a:xfrm>
                      <a:off x="0" y="0"/>
                      <a:ext cx="4167505" cy="3260725"/>
                    </a:xfrm>
                    <a:prstGeom prst="rect">
                      <a:avLst/>
                    </a:prstGeom>
                  </pic:spPr>
                </pic:pic>
              </a:graphicData>
            </a:graphic>
          </wp:inline>
        </w:drawing>
      </w:r>
    </w:p>
    <w:p w14:paraId="3AE7C45A">
      <w:pPr>
        <w:adjustRightInd/>
        <w:snapToGrid/>
        <w:spacing w:line="220" w:lineRule="atLeast"/>
        <w:jc w:val="center"/>
        <w:rPr>
          <w:rFonts w:ascii="微软雅黑" w:hAnsi="微软雅黑"/>
          <w:b/>
          <w:sz w:val="24"/>
          <w:szCs w:val="24"/>
        </w:rPr>
      </w:pPr>
    </w:p>
    <w:p w14:paraId="1A079BAD">
      <w:pPr>
        <w:adjustRightInd/>
        <w:snapToGrid/>
        <w:spacing w:after="40"/>
        <w:ind w:firstLine="2880" w:firstLineChars="1600"/>
        <w:jc w:val="both"/>
        <w:rPr>
          <w:rFonts w:ascii="微软雅黑" w:hAnsi="微软雅黑" w:cs="微软雅黑"/>
          <w:b/>
          <w:bCs/>
          <w:sz w:val="18"/>
          <w:szCs w:val="18"/>
        </w:rPr>
      </w:pPr>
      <w:r>
        <w:rPr>
          <w:rFonts w:ascii="微软雅黑" w:hAnsi="微软雅黑" w:cs="微软雅黑"/>
          <w:sz w:val="18"/>
          <w:szCs w:val="18"/>
        </w:rPr>
        <w:t>Cell cycle</w:t>
      </w:r>
      <w:r>
        <w:rPr>
          <w:rFonts w:hint="eastAsia" w:ascii="微软雅黑" w:hAnsi="微软雅黑" w:cs="微软雅黑"/>
          <w:sz w:val="18"/>
          <w:szCs w:val="18"/>
        </w:rPr>
        <w:t xml:space="preserve"> signaling pathway</w:t>
      </w:r>
    </w:p>
    <w:p w14:paraId="1D0AF934">
      <w:pPr>
        <w:adjustRightInd/>
        <w:snapToGrid/>
        <w:spacing w:after="40"/>
        <w:jc w:val="both"/>
        <w:rPr>
          <w:rFonts w:ascii="微软雅黑" w:hAnsi="微软雅黑" w:cs="微软雅黑"/>
          <w:b/>
          <w:bCs/>
          <w:sz w:val="18"/>
          <w:szCs w:val="18"/>
        </w:rPr>
      </w:pPr>
    </w:p>
    <w:p w14:paraId="3F452A14">
      <w:pPr>
        <w:adjustRightInd/>
        <w:snapToGrid/>
        <w:spacing w:after="40"/>
        <w:jc w:val="both"/>
        <w:rPr>
          <w:rFonts w:ascii="微软雅黑" w:hAnsi="微软雅黑" w:cs="微软雅黑"/>
          <w:b/>
          <w:bCs/>
          <w:sz w:val="18"/>
          <w:szCs w:val="18"/>
        </w:rPr>
      </w:pPr>
    </w:p>
    <w:p w14:paraId="6E6743EB">
      <w:pPr>
        <w:adjustRightInd/>
        <w:snapToGrid/>
        <w:spacing w:after="40"/>
        <w:jc w:val="both"/>
        <w:rPr>
          <w:rFonts w:ascii="微软雅黑" w:hAnsi="微软雅黑" w:cs="微软雅黑"/>
          <w:b/>
          <w:bCs/>
          <w:sz w:val="18"/>
          <w:szCs w:val="18"/>
        </w:rPr>
      </w:pPr>
    </w:p>
    <w:p w14:paraId="41051307">
      <w:pPr>
        <w:adjustRightInd/>
        <w:snapToGrid/>
        <w:spacing w:after="40"/>
        <w:jc w:val="both"/>
        <w:rPr>
          <w:rFonts w:ascii="微软雅黑" w:hAnsi="微软雅黑" w:cs="微软雅黑"/>
          <w:b/>
          <w:bCs/>
          <w:sz w:val="18"/>
          <w:szCs w:val="18"/>
        </w:rPr>
      </w:pPr>
      <w:r>
        <w:rPr>
          <w:rFonts w:hint="eastAsia" w:ascii="微软雅黑" w:hAnsi="微软雅黑" w:cs="微软雅黑"/>
          <w:b/>
          <w:bCs/>
          <w:sz w:val="18"/>
          <w:szCs w:val="18"/>
        </w:rPr>
        <w:t>参考文献：</w:t>
      </w:r>
    </w:p>
    <w:p w14:paraId="71A725FC">
      <w:pPr>
        <w:adjustRightInd/>
        <w:snapToGrid/>
        <w:spacing w:after="40" w:line="220" w:lineRule="atLeast"/>
        <w:rPr>
          <w:rFonts w:ascii="微软雅黑" w:hAnsi="微软雅黑" w:cs="微软雅黑"/>
          <w:sz w:val="18"/>
          <w:szCs w:val="18"/>
        </w:rPr>
      </w:pPr>
      <w:r>
        <w:fldChar w:fldCharType="begin"/>
      </w:r>
      <w:r>
        <w:instrText xml:space="preserve"> HYPERLINK "https://www.mycancergenome.org/" </w:instrText>
      </w:r>
      <w:r>
        <w:fldChar w:fldCharType="separate"/>
      </w:r>
      <w:r>
        <w:rPr>
          <w:rStyle w:val="23"/>
          <w:rFonts w:hint="eastAsia" w:ascii="微软雅黑" w:hAnsi="微软雅黑" w:cs="微软雅黑"/>
          <w:color w:val="auto"/>
          <w:sz w:val="18"/>
          <w:szCs w:val="18"/>
          <w:u w:val="none"/>
        </w:rPr>
        <w:t>https://www.mycancergenome.org/</w:t>
      </w:r>
      <w:r>
        <w:rPr>
          <w:rStyle w:val="23"/>
          <w:rFonts w:hint="eastAsia" w:ascii="微软雅黑" w:hAnsi="微软雅黑" w:cs="微软雅黑"/>
          <w:color w:val="auto"/>
          <w:sz w:val="18"/>
          <w:szCs w:val="18"/>
          <w:u w:val="none"/>
        </w:rPr>
        <w:fldChar w:fldCharType="end"/>
      </w:r>
    </w:p>
    <w:p w14:paraId="5DE33F59">
      <w:pPr>
        <w:adjustRightInd/>
        <w:snapToGrid/>
        <w:spacing w:after="40" w:line="220" w:lineRule="atLeast"/>
        <w:rPr>
          <w:rFonts w:ascii="微软雅黑" w:hAnsi="微软雅黑" w:cs="微软雅黑"/>
          <w:sz w:val="18"/>
          <w:szCs w:val="18"/>
        </w:rPr>
      </w:pPr>
    </w:p>
    <w:p w14:paraId="686C8F6C">
      <w:pPr>
        <w:adjustRightInd/>
        <w:snapToGrid/>
        <w:spacing w:after="40" w:line="220" w:lineRule="atLeast"/>
        <w:rPr>
          <w:rFonts w:ascii="微软雅黑" w:hAnsi="微软雅黑" w:cs="微软雅黑"/>
          <w:sz w:val="18"/>
          <w:szCs w:val="18"/>
        </w:rPr>
      </w:pPr>
    </w:p>
    <w:p w14:paraId="6353D28B">
      <w:pPr>
        <w:adjustRightInd/>
        <w:snapToGrid/>
        <w:spacing w:after="40" w:line="220" w:lineRule="atLeast"/>
        <w:rPr>
          <w:rFonts w:ascii="微软雅黑" w:hAnsi="微软雅黑" w:cs="微软雅黑"/>
          <w:sz w:val="18"/>
          <w:szCs w:val="18"/>
        </w:rPr>
      </w:pPr>
    </w:p>
    <w:p w14:paraId="62D33B3D">
      <w:pPr>
        <w:adjustRightInd/>
        <w:snapToGrid/>
        <w:spacing w:after="40" w:line="220" w:lineRule="atLeast"/>
        <w:rPr>
          <w:rFonts w:ascii="微软雅黑" w:hAnsi="微软雅黑" w:cs="微软雅黑"/>
          <w:sz w:val="18"/>
          <w:szCs w:val="18"/>
        </w:rPr>
      </w:pPr>
    </w:p>
    <w:p w14:paraId="6F103729">
      <w:pPr>
        <w:adjustRightInd/>
        <w:snapToGrid/>
        <w:spacing w:after="40" w:line="220" w:lineRule="atLeast"/>
        <w:rPr>
          <w:rFonts w:ascii="微软雅黑" w:hAnsi="微软雅黑" w:cs="微软雅黑"/>
          <w:sz w:val="18"/>
          <w:szCs w:val="18"/>
        </w:rPr>
      </w:pP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14:paraId="2606C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52ADE7B4">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4B55E23B">
            <w:pPr>
              <w:keepNext w:val="0"/>
              <w:keepLines w:val="0"/>
              <w:widowControl/>
              <w:suppressLineNumbers w:val="0"/>
              <w:spacing w:before="0" w:beforeAutospacing="0" w:after="0" w:afterAutospacing="0" w:line="220" w:lineRule="atLeast"/>
              <w:ind w:left="0" w:right="0"/>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Apoptosis signaling pathway</w:t>
            </w:r>
          </w:p>
        </w:tc>
      </w:tr>
      <w:tr w14:paraId="3C84D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090B923C">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FFFFF" w:themeColor="background1"/>
                <w:kern w:val="2"/>
                <w:sz w:val="20"/>
                <w:szCs w:val="20"/>
                <w14:textFill>
                  <w14:solidFill>
                    <w14:schemeClr w14:val="bg1"/>
                  </w14:solidFill>
                </w14:textFill>
              </w:rPr>
            </w:pPr>
            <w:r>
              <w:rPr>
                <w:rFonts w:hint="default"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70695391">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Times New Roman"/>
                <w:b/>
                <w:color w:val="F9FBFA"/>
                <w:kern w:val="2"/>
                <w:sz w:val="20"/>
                <w:szCs w:val="20"/>
              </w:rPr>
            </w:pPr>
            <w:r>
              <w:rPr>
                <w:rFonts w:hint="default" w:ascii="微软雅黑" w:hAnsi="微软雅黑" w:cs="微软雅黑"/>
                <w:kern w:val="2"/>
                <w:sz w:val="18"/>
                <w:szCs w:val="18"/>
              </w:rPr>
              <w:t>细胞凋亡是细胞程序性死亡。细胞凋亡包括促进细胞死亡的</w:t>
            </w:r>
            <w:r>
              <w:rPr>
                <w:rFonts w:hint="eastAsia" w:ascii="微软雅黑" w:hAnsi="微软雅黑" w:cs="微软雅黑"/>
                <w:kern w:val="2"/>
                <w:sz w:val="18"/>
                <w:szCs w:val="18"/>
              </w:rPr>
              <w:t>外源性</w:t>
            </w:r>
            <w:r>
              <w:rPr>
                <w:rFonts w:hint="default" w:ascii="微软雅黑" w:hAnsi="微软雅黑" w:cs="微软雅黑"/>
                <w:kern w:val="2"/>
                <w:sz w:val="18"/>
                <w:szCs w:val="18"/>
              </w:rPr>
              <w:t>和</w:t>
            </w:r>
            <w:r>
              <w:rPr>
                <w:rFonts w:hint="eastAsia" w:ascii="微软雅黑" w:hAnsi="微软雅黑" w:cs="微软雅黑"/>
                <w:kern w:val="2"/>
                <w:sz w:val="18"/>
                <w:szCs w:val="18"/>
              </w:rPr>
              <w:t>内源性通路</w:t>
            </w:r>
            <w:r>
              <w:rPr>
                <w:rFonts w:hint="default" w:ascii="微软雅黑" w:hAnsi="微软雅黑" w:cs="微软雅黑"/>
                <w:kern w:val="2"/>
                <w:sz w:val="18"/>
                <w:szCs w:val="18"/>
              </w:rPr>
              <w:t>。</w:t>
            </w:r>
            <w:r>
              <w:rPr>
                <w:rFonts w:hint="eastAsia" w:ascii="微软雅黑" w:hAnsi="微软雅黑" w:cs="微软雅黑"/>
                <w:kern w:val="2"/>
                <w:sz w:val="18"/>
                <w:szCs w:val="18"/>
              </w:rPr>
              <w:t>外源性</w:t>
            </w:r>
            <w:r>
              <w:rPr>
                <w:rFonts w:hint="default" w:ascii="微软雅黑" w:hAnsi="微软雅黑" w:cs="微软雅黑"/>
                <w:kern w:val="2"/>
                <w:sz w:val="18"/>
                <w:szCs w:val="18"/>
              </w:rPr>
              <w:t>通路是由细胞外发生的事件触发的FAS配体/FAS受体介导的通路</w:t>
            </w:r>
            <w:r>
              <w:rPr>
                <w:rFonts w:hint="eastAsia" w:ascii="微软雅黑" w:hAnsi="微软雅黑" w:cs="微软雅黑"/>
                <w:kern w:val="2"/>
                <w:sz w:val="18"/>
                <w:szCs w:val="18"/>
              </w:rPr>
              <w:t>，</w:t>
            </w:r>
            <w:r>
              <w:rPr>
                <w:rFonts w:hint="default" w:ascii="微软雅黑" w:hAnsi="微软雅黑" w:cs="微软雅黑"/>
                <w:kern w:val="2"/>
                <w:sz w:val="18"/>
                <w:szCs w:val="18"/>
              </w:rPr>
              <w:t>这种结合通过caspase级联诱导细胞凋亡。。</w:t>
            </w:r>
            <w:r>
              <w:rPr>
                <w:rFonts w:hint="eastAsia" w:ascii="微软雅黑" w:hAnsi="微软雅黑" w:cs="微软雅黑"/>
                <w:kern w:val="2"/>
                <w:sz w:val="18"/>
                <w:szCs w:val="18"/>
              </w:rPr>
              <w:t>内源性</w:t>
            </w:r>
            <w:r>
              <w:rPr>
                <w:rFonts w:hint="default" w:ascii="微软雅黑" w:hAnsi="微软雅黑" w:cs="微软雅黑"/>
                <w:kern w:val="2"/>
                <w:sz w:val="18"/>
                <w:szCs w:val="18"/>
              </w:rPr>
              <w:t>通路由细胞内事件触发，该通路的激活是由线粒体中的BCL-2家族蛋白启动的。线粒体活化将促凋亡蛋白释放到细胞醇中，导致caspase级联诱导细胞</w:t>
            </w:r>
            <w:r>
              <w:rPr>
                <w:rFonts w:hint="eastAsia" w:ascii="微软雅黑" w:hAnsi="微软雅黑" w:cs="微软雅黑"/>
                <w:kern w:val="2"/>
                <w:sz w:val="18"/>
                <w:szCs w:val="18"/>
              </w:rPr>
              <w:t>死亡</w:t>
            </w:r>
            <w:r>
              <w:rPr>
                <w:rFonts w:hint="default" w:ascii="微软雅黑" w:hAnsi="微软雅黑" w:cs="微软雅黑"/>
                <w:kern w:val="2"/>
                <w:sz w:val="18"/>
                <w:szCs w:val="18"/>
              </w:rPr>
              <w:t>。</w:t>
            </w:r>
            <w:r>
              <w:rPr>
                <w:rFonts w:hint="eastAsia" w:ascii="微软雅黑" w:hAnsi="微软雅黑" w:cs="微软雅黑"/>
                <w:kern w:val="2"/>
                <w:sz w:val="18"/>
                <w:szCs w:val="18"/>
              </w:rPr>
              <w:t>细胞内事件包括</w:t>
            </w:r>
            <w:r>
              <w:rPr>
                <w:rFonts w:hint="default" w:ascii="微软雅黑" w:hAnsi="微软雅黑" w:cs="微软雅黑"/>
                <w:kern w:val="2"/>
                <w:sz w:val="18"/>
                <w:szCs w:val="18"/>
              </w:rPr>
              <w:t>细胞内毒素、病毒感染、自由基、辐射或DNA损伤引起的细胞内应激。</w:t>
            </w:r>
          </w:p>
        </w:tc>
      </w:tr>
      <w:tr w14:paraId="16BB4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5FC0EB9B">
            <w:pPr>
              <w:keepNext w:val="0"/>
              <w:keepLines w:val="0"/>
              <w:widowControl/>
              <w:suppressLineNumbers w:val="0"/>
              <w:spacing w:before="0" w:beforeAutospacing="0" w:after="0" w:afterAutospacing="0" w:line="220" w:lineRule="atLeast"/>
              <w:ind w:left="0" w:right="0" w:firstLine="200" w:firstLineChars="100"/>
              <w:jc w:val="both"/>
              <w:rPr>
                <w:rFonts w:hint="default" w:ascii="微软雅黑" w:hAnsi="微软雅黑" w:cs="Times New Roman"/>
                <w:b/>
                <w:color w:val="F9FBFA"/>
                <w:kern w:val="2"/>
                <w:sz w:val="20"/>
                <w:szCs w:val="20"/>
              </w:rPr>
            </w:pPr>
            <w:r>
              <w:rPr>
                <w:rFonts w:hint="default" w:ascii="微软雅黑" w:hAnsi="微软雅黑" w:cs="Times New Roman"/>
                <w:b/>
                <w:color w:val="FFFFFF" w:themeColor="background1"/>
                <w:kern w:val="2"/>
                <w:sz w:val="20"/>
                <w:szCs w:val="20"/>
                <w14:textFill>
                  <w14:solidFill>
                    <w14:schemeClr w14:val="bg1"/>
                  </w14:solidFill>
                </w14:textFill>
              </w:rPr>
              <w:t>基因列表</w:t>
            </w:r>
          </w:p>
        </w:tc>
      </w:tr>
      <w:tr w14:paraId="56DC2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14C345F5">
            <w:pPr>
              <w:keepNext w:val="0"/>
              <w:keepLines w:val="0"/>
              <w:widowControl/>
              <w:suppressLineNumbers w:val="0"/>
              <w:spacing w:before="0" w:beforeAutospacing="0" w:after="0" w:afterAutospacing="0"/>
              <w:ind w:left="0" w:right="0"/>
              <w:rPr>
                <w:rFonts w:hint="default" w:ascii="微软雅黑" w:hAnsi="微软雅黑" w:cs="微软雅黑"/>
                <w:color w:val="000000" w:themeColor="text1"/>
                <w:kern w:val="2"/>
                <w:sz w:val="18"/>
                <w:szCs w:val="18"/>
                <w14:textFill>
                  <w14:solidFill>
                    <w14:schemeClr w14:val="tx1"/>
                  </w14:solidFill>
                </w14:textFill>
              </w:rPr>
            </w:pPr>
            <w:r>
              <w:rPr>
                <w:rFonts w:hint="eastAsia" w:ascii="微软雅黑" w:hAnsi="微软雅黑" w:cs="微软雅黑"/>
                <w:color w:val="000000" w:themeColor="text1"/>
                <w:kern w:val="2"/>
                <w:sz w:val="18"/>
                <w:szCs w:val="18"/>
                <w14:textFill>
                  <w14:solidFill>
                    <w14:schemeClr w14:val="tx1"/>
                  </w14:solidFill>
                </w14:textFill>
              </w:rPr>
              <w:t>TP53</w:t>
            </w:r>
            <w:r>
              <w:rPr>
                <w:rFonts w:hint="default" w:ascii="微软雅黑" w:hAnsi="微软雅黑" w:cs="微软雅黑"/>
                <w:color w:val="000000" w:themeColor="text1"/>
                <w:kern w:val="2"/>
                <w:sz w:val="18"/>
                <w:szCs w:val="18"/>
                <w14:textFill>
                  <w14:solidFill>
                    <w14:schemeClr w14:val="tx1"/>
                  </w14:solidFill>
                </w14:textFill>
              </w:rPr>
              <w:t xml:space="preserve"> </w:t>
            </w:r>
            <w:r>
              <w:rPr>
                <w:rFonts w:hint="eastAsia" w:ascii="微软雅黑" w:hAnsi="微软雅黑" w:cs="微软雅黑"/>
                <w:color w:val="000000" w:themeColor="text1"/>
                <w:kern w:val="2"/>
                <w:sz w:val="18"/>
                <w:szCs w:val="18"/>
                <w14:textFill>
                  <w14:solidFill>
                    <w14:schemeClr w14:val="tx1"/>
                  </w14:solidFill>
                </w14:textFill>
              </w:rPr>
              <w:t>ATM KRAS AKT1 AKT2 AKT3 BBC3 BCL2 BCL2L1 BCL2L11 BIRC3 CASP8 FAS HRAS JUN</w:t>
            </w:r>
            <w:r>
              <w:rPr>
                <w:rFonts w:hint="default" w:ascii="微软雅黑" w:hAnsi="微软雅黑" w:cs="微软雅黑"/>
                <w:color w:val="000000" w:themeColor="text1"/>
                <w:kern w:val="2"/>
                <w:sz w:val="18"/>
                <w:szCs w:val="18"/>
                <w14:textFill>
                  <w14:solidFill>
                    <w14:schemeClr w14:val="tx1"/>
                  </w14:solidFill>
                </w14:textFill>
              </w:rPr>
              <w:t xml:space="preserve"> </w:t>
            </w:r>
            <w:r>
              <w:rPr>
                <w:rFonts w:hint="eastAsia" w:ascii="微软雅黑" w:hAnsi="微软雅黑" w:cs="微软雅黑"/>
                <w:color w:val="000000" w:themeColor="text1"/>
                <w:kern w:val="2"/>
                <w:sz w:val="18"/>
                <w:szCs w:val="18"/>
                <w14:textFill>
                  <w14:solidFill>
                    <w14:schemeClr w14:val="tx1"/>
                  </w14:solidFill>
                </w14:textFill>
              </w:rPr>
              <w:t>MAP2K1 MAP2K2 MAP3K14 MAPK1 MAPK3 NRAS NTRK1 PARP1</w:t>
            </w:r>
            <w:r>
              <w:rPr>
                <w:rFonts w:hint="default" w:ascii="微软雅黑" w:hAnsi="微软雅黑" w:cs="微软雅黑"/>
                <w:color w:val="000000" w:themeColor="text1"/>
                <w:kern w:val="2"/>
                <w:sz w:val="18"/>
                <w:szCs w:val="18"/>
                <w14:textFill>
                  <w14:solidFill>
                    <w14:schemeClr w14:val="tx1"/>
                  </w14:solidFill>
                </w14:textFill>
              </w:rPr>
              <w:t xml:space="preserve"> </w:t>
            </w:r>
            <w:r>
              <w:rPr>
                <w:rFonts w:hint="eastAsia" w:ascii="微软雅黑" w:hAnsi="微软雅黑" w:cs="微软雅黑"/>
                <w:color w:val="000000" w:themeColor="text1"/>
                <w:kern w:val="2"/>
                <w:sz w:val="18"/>
                <w:szCs w:val="18"/>
                <w14:textFill>
                  <w14:solidFill>
                    <w14:schemeClr w14:val="tx1"/>
                  </w14:solidFill>
                </w14:textFill>
              </w:rPr>
              <w:t>PDPK1 PIK3CA PIK3CB PIK3CD PIK3CG PIK3R1 PIK3R2 PIK3R3 PMAIP1 RAF1 SPTA1 TRAF2 XIAP</w:t>
            </w:r>
          </w:p>
        </w:tc>
      </w:tr>
    </w:tbl>
    <w:p w14:paraId="513B7A87">
      <w:pPr>
        <w:adjustRightInd/>
        <w:snapToGrid/>
        <w:spacing w:after="0"/>
        <w:rPr>
          <w:rFonts w:ascii="微软雅黑" w:hAnsi="微软雅黑"/>
          <w:b/>
          <w:sz w:val="24"/>
          <w:szCs w:val="24"/>
        </w:rPr>
      </w:pPr>
    </w:p>
    <w:p w14:paraId="282A55EE">
      <w:pPr>
        <w:adjustRightInd/>
        <w:snapToGrid/>
        <w:spacing w:after="0"/>
        <w:jc w:val="center"/>
        <w:rPr>
          <w:rFonts w:ascii="微软雅黑" w:hAnsi="微软雅黑"/>
          <w:b/>
          <w:sz w:val="24"/>
          <w:szCs w:val="24"/>
        </w:rPr>
      </w:pPr>
      <w:r>
        <w:rPr>
          <w:rFonts w:ascii="微软雅黑" w:hAnsi="微软雅黑"/>
          <w:b/>
          <w:sz w:val="24"/>
          <w:szCs w:val="24"/>
        </w:rPr>
        <w:drawing>
          <wp:inline distT="0" distB="0" distL="114300" distR="114300">
            <wp:extent cx="4766310" cy="3221355"/>
            <wp:effectExtent l="0" t="0" r="15240" b="17145"/>
            <wp:docPr id="1045" name="图片 40"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 name="图片 40" descr="图片1"/>
                    <pic:cNvPicPr>
                      <a:picLocks noChangeAspect="1"/>
                    </pic:cNvPicPr>
                  </pic:nvPicPr>
                  <pic:blipFill>
                    <a:blip r:embed="rId46" cstate="print"/>
                    <a:stretch>
                      <a:fillRect/>
                    </a:stretch>
                  </pic:blipFill>
                  <pic:spPr>
                    <a:xfrm>
                      <a:off x="0" y="0"/>
                      <a:ext cx="4766310" cy="3221355"/>
                    </a:xfrm>
                    <a:prstGeom prst="rect">
                      <a:avLst/>
                    </a:prstGeom>
                  </pic:spPr>
                </pic:pic>
              </a:graphicData>
            </a:graphic>
          </wp:inline>
        </w:drawing>
      </w:r>
    </w:p>
    <w:p w14:paraId="5532A1BE">
      <w:pPr>
        <w:adjustRightInd/>
        <w:snapToGrid/>
        <w:spacing w:after="40"/>
        <w:jc w:val="center"/>
        <w:rPr>
          <w:rFonts w:ascii="微软雅黑" w:hAnsi="微软雅黑" w:cs="微软雅黑"/>
          <w:b/>
          <w:bCs/>
          <w:sz w:val="18"/>
          <w:szCs w:val="18"/>
        </w:rPr>
      </w:pPr>
      <w:r>
        <w:rPr>
          <w:rFonts w:hint="eastAsia" w:ascii="微软雅黑" w:hAnsi="微软雅黑" w:cs="微软雅黑"/>
          <w:sz w:val="18"/>
          <w:szCs w:val="18"/>
        </w:rPr>
        <w:t>Apoptosis signaling pathway</w:t>
      </w:r>
    </w:p>
    <w:p w14:paraId="694BFA3D">
      <w:pPr>
        <w:adjustRightInd/>
        <w:snapToGrid/>
        <w:spacing w:after="40"/>
        <w:jc w:val="both"/>
        <w:rPr>
          <w:rFonts w:ascii="微软雅黑" w:hAnsi="微软雅黑" w:cs="微软雅黑"/>
          <w:b/>
          <w:bCs/>
          <w:sz w:val="18"/>
          <w:szCs w:val="18"/>
        </w:rPr>
      </w:pPr>
    </w:p>
    <w:p w14:paraId="0675EFDF">
      <w:pPr>
        <w:adjustRightInd/>
        <w:snapToGrid/>
        <w:spacing w:after="40"/>
        <w:jc w:val="both"/>
        <w:rPr>
          <w:rFonts w:ascii="微软雅黑" w:hAnsi="微软雅黑" w:cs="微软雅黑"/>
          <w:b/>
          <w:bCs/>
          <w:sz w:val="18"/>
          <w:szCs w:val="18"/>
        </w:rPr>
      </w:pPr>
    </w:p>
    <w:p w14:paraId="3C09A6A2">
      <w:pPr>
        <w:adjustRightInd/>
        <w:snapToGrid/>
        <w:spacing w:after="40"/>
        <w:jc w:val="both"/>
        <w:rPr>
          <w:rFonts w:ascii="微软雅黑" w:hAnsi="微软雅黑" w:cs="微软雅黑"/>
          <w:b/>
          <w:bCs/>
          <w:sz w:val="18"/>
          <w:szCs w:val="18"/>
        </w:rPr>
      </w:pPr>
    </w:p>
    <w:p w14:paraId="1A170EA8">
      <w:pPr>
        <w:adjustRightInd/>
        <w:snapToGrid/>
        <w:spacing w:after="40"/>
        <w:jc w:val="both"/>
        <w:rPr>
          <w:rFonts w:ascii="微软雅黑" w:hAnsi="微软雅黑" w:cs="微软雅黑"/>
          <w:b/>
          <w:bCs/>
          <w:sz w:val="18"/>
          <w:szCs w:val="18"/>
        </w:rPr>
      </w:pPr>
    </w:p>
    <w:p w14:paraId="0E7D17C6">
      <w:pPr>
        <w:adjustRightInd/>
        <w:snapToGrid/>
        <w:spacing w:after="40"/>
        <w:jc w:val="both"/>
        <w:rPr>
          <w:rFonts w:ascii="微软雅黑" w:hAnsi="微软雅黑" w:cs="微软雅黑"/>
          <w:b/>
          <w:bCs/>
          <w:sz w:val="18"/>
          <w:szCs w:val="18"/>
        </w:rPr>
      </w:pPr>
    </w:p>
    <w:p w14:paraId="3960C7C3">
      <w:pPr>
        <w:adjustRightInd/>
        <w:snapToGrid/>
        <w:spacing w:after="40"/>
        <w:jc w:val="both"/>
        <w:rPr>
          <w:rFonts w:ascii="微软雅黑" w:hAnsi="微软雅黑" w:cs="微软雅黑"/>
          <w:b/>
          <w:bCs/>
          <w:sz w:val="18"/>
          <w:szCs w:val="18"/>
        </w:rPr>
      </w:pPr>
    </w:p>
    <w:p w14:paraId="24FEEBDB">
      <w:pPr>
        <w:adjustRightInd/>
        <w:snapToGrid/>
        <w:spacing w:after="40"/>
        <w:jc w:val="both"/>
        <w:rPr>
          <w:rFonts w:ascii="微软雅黑" w:hAnsi="微软雅黑" w:cs="微软雅黑"/>
          <w:b/>
          <w:bCs/>
          <w:sz w:val="18"/>
          <w:szCs w:val="18"/>
        </w:rPr>
      </w:pPr>
      <w:r>
        <w:rPr>
          <w:rFonts w:hint="eastAsia" w:ascii="微软雅黑" w:hAnsi="微软雅黑" w:cs="微软雅黑"/>
          <w:b/>
          <w:bCs/>
          <w:sz w:val="18"/>
          <w:szCs w:val="18"/>
        </w:rPr>
        <w:t>参考文献：</w:t>
      </w:r>
    </w:p>
    <w:p w14:paraId="1F242241">
      <w:pPr>
        <w:spacing w:line="200" w:lineRule="exact"/>
        <w:rPr>
          <w:rFonts w:ascii="微软雅黑" w:hAnsi="微软雅黑" w:cs="微软雅黑"/>
          <w:sz w:val="18"/>
          <w:szCs w:val="18"/>
        </w:rPr>
      </w:pPr>
      <w:r>
        <w:rPr>
          <w:rFonts w:hint="eastAsia" w:ascii="微软雅黑" w:hAnsi="微软雅黑" w:cs="微软雅黑"/>
          <w:sz w:val="18"/>
          <w:szCs w:val="18"/>
        </w:rPr>
        <w:t>Frontiers in Pharmacology.2019 July 12;10:758.</w:t>
      </w:r>
    </w:p>
    <w:p w14:paraId="79DACB08">
      <w:pPr>
        <w:spacing w:line="200" w:lineRule="exact"/>
        <w:rPr>
          <w:rFonts w:ascii="微软雅黑" w:hAnsi="微软雅黑" w:cs="微软雅黑"/>
          <w:sz w:val="18"/>
          <w:szCs w:val="18"/>
        </w:rPr>
      </w:pPr>
      <w:r>
        <w:fldChar w:fldCharType="begin"/>
      </w:r>
      <w:r>
        <w:instrText xml:space="preserve"> HYPERLINK "https://www.mycancergenome.org/" </w:instrText>
      </w:r>
      <w:r>
        <w:fldChar w:fldCharType="separate"/>
      </w:r>
      <w:r>
        <w:rPr>
          <w:rStyle w:val="23"/>
          <w:rFonts w:hint="eastAsia" w:ascii="微软雅黑" w:hAnsi="微软雅黑" w:cs="微软雅黑"/>
          <w:color w:val="auto"/>
          <w:sz w:val="18"/>
          <w:szCs w:val="18"/>
          <w:u w:val="none"/>
        </w:rPr>
        <w:t>https://www.mycancergenome.org/</w:t>
      </w:r>
      <w:r>
        <w:rPr>
          <w:rStyle w:val="23"/>
          <w:rFonts w:hint="eastAsia" w:ascii="微软雅黑" w:hAnsi="微软雅黑" w:cs="微软雅黑"/>
          <w:color w:val="auto"/>
          <w:sz w:val="18"/>
          <w:szCs w:val="18"/>
          <w:u w:val="none"/>
        </w:rPr>
        <w:fldChar w:fldCharType="end"/>
      </w:r>
    </w:p>
    <w:p w14:paraId="7EEE8683">
      <w:pPr>
        <w:adjustRightInd/>
        <w:snapToGrid/>
        <w:rPr>
          <w:rFonts w:ascii="微软雅黑" w:hAnsi="微软雅黑"/>
          <w:b/>
          <w:sz w:val="24"/>
          <w:szCs w:val="24"/>
        </w:rPr>
      </w:pPr>
      <w:r>
        <w:rPr>
          <w:rFonts w:ascii="微软雅黑" w:hAnsi="微软雅黑"/>
          <w:b/>
          <w:sz w:val="24"/>
          <w:szCs w:val="24"/>
        </w:rPr>
        <w:br w:type="page"/>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14:paraId="491AB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246DD37A">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9FBFA"/>
                <w:kern w:val="2"/>
                <w:sz w:val="20"/>
                <w:szCs w:val="20"/>
              </w:rPr>
            </w:pPr>
            <w:bookmarkStart w:id="211" w:name="OLE_LINK49" w:colFirst="0" w:colLast="0"/>
            <w:r>
              <w:rPr>
                <w:rFonts w:hint="default"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18CAA736">
            <w:pPr>
              <w:keepNext w:val="0"/>
              <w:keepLines w:val="0"/>
              <w:widowControl/>
              <w:suppressLineNumbers w:val="0"/>
              <w:spacing w:before="0" w:beforeAutospacing="0" w:after="0" w:afterAutospacing="0" w:line="220" w:lineRule="atLeast"/>
              <w:ind w:left="0" w:right="0"/>
              <w:rPr>
                <w:rFonts w:hint="default" w:ascii="微软雅黑" w:hAnsi="微软雅黑" w:cs="Times New Roman"/>
                <w:b/>
                <w:color w:val="F9FBFA"/>
                <w:kern w:val="2"/>
                <w:sz w:val="20"/>
                <w:szCs w:val="20"/>
              </w:rPr>
            </w:pPr>
            <w:bookmarkStart w:id="212" w:name="OLE_LINK48"/>
            <w:r>
              <w:rPr>
                <w:rFonts w:hint="default" w:ascii="微软雅黑" w:hAnsi="微软雅黑" w:cs="Times New Roman"/>
                <w:b/>
                <w:color w:val="F9FBFA"/>
                <w:kern w:val="2"/>
                <w:sz w:val="20"/>
                <w:szCs w:val="20"/>
              </w:rPr>
              <w:t>DNA damage/repair signaling pathway</w:t>
            </w:r>
            <w:bookmarkEnd w:id="212"/>
          </w:p>
        </w:tc>
      </w:tr>
      <w:tr w14:paraId="7444C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08296337">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FFFFF" w:themeColor="background1"/>
                <w:kern w:val="2"/>
                <w:sz w:val="20"/>
                <w:szCs w:val="20"/>
                <w14:textFill>
                  <w14:solidFill>
                    <w14:schemeClr w14:val="bg1"/>
                  </w14:solidFill>
                </w14:textFill>
              </w:rPr>
            </w:pPr>
            <w:r>
              <w:rPr>
                <w:rFonts w:hint="default"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587BB5C7">
            <w:pPr>
              <w:keepNext w:val="0"/>
              <w:keepLines w:val="0"/>
              <w:widowControl/>
              <w:suppressLineNumbers w:val="0"/>
              <w:spacing w:before="40" w:beforeAutospacing="0" w:after="40" w:afterAutospacing="0"/>
              <w:ind w:left="0" w:right="0" w:firstLine="400" w:firstLineChars="200"/>
              <w:jc w:val="both"/>
              <w:rPr>
                <w:rFonts w:hint="default" w:ascii="微软雅黑" w:hAnsi="微软雅黑" w:cs="Times New Roman"/>
                <w:b/>
                <w:color w:val="F9FBFA"/>
                <w:kern w:val="2"/>
                <w:sz w:val="20"/>
                <w:szCs w:val="20"/>
              </w:rPr>
            </w:pPr>
            <w:r>
              <w:rPr>
                <w:rFonts w:hint="default" w:ascii="微软雅黑" w:hAnsi="微软雅黑" w:cs="Times New Roman"/>
                <w:bCs/>
                <w:kern w:val="2"/>
                <w:sz w:val="20"/>
                <w:szCs w:val="20"/>
              </w:rPr>
              <w:t>DNA损伤可能由内源因素</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如复制错误、氧化脱氨和活性氧种类</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和外源因素</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如紫外线和辐射</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共同造成。DNA修复过程包括DNA损伤的识别和随后的修复过程，包括核苷酸切除修复、碱基切除修复、非同源末端连接以及根据DNA损伤类型的同源重组</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单链DNA断裂vs.双链DNA断裂</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 xml:space="preserve">。如果DNA损伤无法修复，细胞将经历细胞周期停滞、衰老或程序性细胞死亡。   </w:t>
            </w:r>
          </w:p>
        </w:tc>
      </w:tr>
      <w:tr w14:paraId="44A1D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3A196C0E">
            <w:pPr>
              <w:keepNext w:val="0"/>
              <w:keepLines w:val="0"/>
              <w:widowControl/>
              <w:suppressLineNumbers w:val="0"/>
              <w:spacing w:before="0" w:beforeAutospacing="0" w:after="0" w:afterAutospacing="0" w:line="220" w:lineRule="atLeast"/>
              <w:ind w:left="0" w:right="0" w:firstLine="200" w:firstLineChars="100"/>
              <w:jc w:val="both"/>
              <w:rPr>
                <w:rFonts w:hint="default" w:ascii="微软雅黑" w:hAnsi="微软雅黑" w:cs="Times New Roman"/>
                <w:b/>
                <w:color w:val="F9FBFA"/>
                <w:kern w:val="2"/>
                <w:sz w:val="20"/>
                <w:szCs w:val="20"/>
              </w:rPr>
            </w:pPr>
            <w:r>
              <w:rPr>
                <w:rFonts w:hint="default" w:ascii="微软雅黑" w:hAnsi="微软雅黑" w:cs="Times New Roman"/>
                <w:b/>
                <w:color w:val="FFFFFF" w:themeColor="background1"/>
                <w:kern w:val="2"/>
                <w:sz w:val="20"/>
                <w:szCs w:val="20"/>
                <w14:textFill>
                  <w14:solidFill>
                    <w14:schemeClr w14:val="bg1"/>
                  </w14:solidFill>
                </w14:textFill>
              </w:rPr>
              <w:t>基因列表</w:t>
            </w:r>
          </w:p>
        </w:tc>
      </w:tr>
      <w:tr w14:paraId="0A888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74266608">
            <w:pPr>
              <w:keepNext w:val="0"/>
              <w:keepLines w:val="0"/>
              <w:widowControl/>
              <w:suppressLineNumbers w:val="0"/>
              <w:spacing w:before="0" w:beforeAutospacing="0" w:after="0" w:afterAutospacing="0"/>
              <w:ind w:left="0" w:right="0"/>
              <w:jc w:val="both"/>
              <w:rPr>
                <w:rFonts w:hint="default" w:ascii="微软雅黑" w:hAnsi="微软雅黑" w:cs="微软雅黑"/>
                <w:kern w:val="2"/>
                <w:sz w:val="18"/>
                <w:szCs w:val="18"/>
              </w:rPr>
            </w:pPr>
            <w:r>
              <w:rPr>
                <w:rFonts w:hint="eastAsia" w:ascii="微软雅黑" w:hAnsi="微软雅黑" w:cs="微软雅黑"/>
                <w:kern w:val="2"/>
                <w:sz w:val="18"/>
                <w:szCs w:val="18"/>
              </w:rPr>
              <w:t>TP53</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A</w:t>
            </w:r>
            <w:r>
              <w:rPr>
                <w:rFonts w:hint="eastAsia" w:ascii="微软雅黑" w:hAnsi="微软雅黑" w:cs="微软雅黑"/>
                <w:color w:val="000000" w:themeColor="text1"/>
                <w:kern w:val="2"/>
                <w:sz w:val="18"/>
                <w:szCs w:val="18"/>
                <w14:textFill>
                  <w14:solidFill>
                    <w14:schemeClr w14:val="tx1"/>
                  </w14:solidFill>
                </w14:textFill>
              </w:rPr>
              <w:t>TM</w:t>
            </w:r>
            <w:r>
              <w:rPr>
                <w:rFonts w:hint="default" w:ascii="微软雅黑" w:hAnsi="微软雅黑" w:cs="微软雅黑"/>
                <w:color w:val="000000" w:themeColor="text1"/>
                <w:kern w:val="2"/>
                <w:sz w:val="18"/>
                <w:szCs w:val="18"/>
                <w14:textFill>
                  <w14:solidFill>
                    <w14:schemeClr w14:val="tx1"/>
                  </w14:solidFill>
                </w14:textFill>
              </w:rPr>
              <w:t xml:space="preserve"> </w:t>
            </w:r>
            <w:r>
              <w:rPr>
                <w:rFonts w:hint="eastAsia" w:ascii="微软雅黑" w:hAnsi="微软雅黑" w:cs="微软雅黑"/>
                <w:color w:val="000000" w:themeColor="text1"/>
                <w:kern w:val="2"/>
                <w:sz w:val="18"/>
                <w:szCs w:val="18"/>
                <w14:textFill>
                  <w14:solidFill>
                    <w14:schemeClr w14:val="tx1"/>
                  </w14:solidFill>
                </w14:textFill>
              </w:rPr>
              <w:t>A</w:t>
            </w:r>
            <w:r>
              <w:rPr>
                <w:rFonts w:hint="eastAsia" w:ascii="微软雅黑" w:hAnsi="微软雅黑" w:cs="微软雅黑"/>
                <w:kern w:val="2"/>
                <w:sz w:val="18"/>
                <w:szCs w:val="18"/>
              </w:rPr>
              <w:t>TRX</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ATR</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BARD1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BAX</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BCL6</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BLM</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BRCA2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BRCA1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BRIP1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C11orf30 CCND1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CCND2 CCND3</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 xml:space="preserve"> CCNE1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CDK1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CDK12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CDK2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CDK4</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CDK5</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CDK6</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CDKN1A</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CDKN2A</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CHD2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CHD4</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CHEK1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CHEK2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 xml:space="preserve"> DPYD</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DOT1 ETV6</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EZH2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FANCA</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FANCC FANCD2 FANCE FANCF</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FANCG</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FANCL</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FANCM</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FAS</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 xml:space="preserve"> FOXO1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KDM5C</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KDM6A</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KMT2C</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MDM2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MDM4</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MLH1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MRE11A</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MSH2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MSH3</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MSH6</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MUTYH</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 xml:space="preserve"> NBN</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NPM1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NSD1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PALB2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PARP1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PMS1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PMS2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POLD1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PRDM1 PRKDC PTEN</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RAD50</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RAD51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 xml:space="preserve"> RAD51C</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RAD51D</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RANBP2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REL</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RRM1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RUNX1T1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SMARCA4</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SOD2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STAG2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SF3B1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TMPRSS2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TSC2 U2AF1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XRCC1 ZNF703</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WRN</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XPA</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XPC</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RECQL4</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BUB1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DDB2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FANCB</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FANCI</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SLX4</w:t>
            </w:r>
          </w:p>
        </w:tc>
      </w:tr>
      <w:bookmarkEnd w:id="211"/>
    </w:tbl>
    <w:p w14:paraId="46D58D8E">
      <w:pPr>
        <w:adjustRightInd/>
        <w:snapToGrid/>
        <w:spacing w:after="40" w:line="220" w:lineRule="atLeast"/>
        <w:rPr>
          <w:rFonts w:ascii="微软雅黑" w:hAnsi="微软雅黑"/>
          <w:b/>
          <w:sz w:val="24"/>
          <w:szCs w:val="24"/>
        </w:rPr>
      </w:pPr>
    </w:p>
    <w:p w14:paraId="45D135D9">
      <w:pPr>
        <w:adjustRightInd/>
        <w:snapToGrid/>
        <w:spacing w:after="40" w:line="220" w:lineRule="atLeast"/>
        <w:rPr>
          <w:rFonts w:ascii="微软雅黑" w:hAnsi="微软雅黑"/>
          <w:b/>
          <w:sz w:val="24"/>
          <w:szCs w:val="24"/>
        </w:rPr>
      </w:pPr>
      <w:r>
        <w:t xml:space="preserve">       </w:t>
      </w:r>
      <w:r>
        <w:drawing>
          <wp:inline distT="0" distB="0" distL="114300" distR="114300">
            <wp:extent cx="4323080" cy="3528060"/>
            <wp:effectExtent l="0" t="0" r="1270" b="15240"/>
            <wp:docPr id="10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 name="图片 1"/>
                    <pic:cNvPicPr>
                      <a:picLocks noChangeAspect="1"/>
                    </pic:cNvPicPr>
                  </pic:nvPicPr>
                  <pic:blipFill>
                    <a:blip r:embed="rId47" cstate="print"/>
                    <a:stretch>
                      <a:fillRect/>
                    </a:stretch>
                  </pic:blipFill>
                  <pic:spPr>
                    <a:xfrm>
                      <a:off x="0" y="0"/>
                      <a:ext cx="4323080" cy="3528060"/>
                    </a:xfrm>
                    <a:prstGeom prst="rect">
                      <a:avLst/>
                    </a:prstGeom>
                    <a:noFill/>
                    <a:ln>
                      <a:noFill/>
                    </a:ln>
                  </pic:spPr>
                </pic:pic>
              </a:graphicData>
            </a:graphic>
          </wp:inline>
        </w:drawing>
      </w:r>
    </w:p>
    <w:p w14:paraId="0ADEEFF5">
      <w:pPr>
        <w:adjustRightInd/>
        <w:snapToGrid/>
        <w:spacing w:after="40"/>
        <w:jc w:val="center"/>
        <w:rPr>
          <w:rFonts w:ascii="微软雅黑" w:hAnsi="微软雅黑" w:cs="微软雅黑"/>
          <w:bCs/>
          <w:sz w:val="18"/>
          <w:szCs w:val="18"/>
        </w:rPr>
      </w:pPr>
      <w:r>
        <w:rPr>
          <w:rFonts w:ascii="微软雅黑" w:hAnsi="微软雅黑" w:cs="Times New Roman"/>
          <w:bCs/>
          <w:kern w:val="2"/>
          <w:sz w:val="20"/>
          <w:szCs w:val="20"/>
        </w:rPr>
        <w:t>DNA damage/repair signaling pathway</w:t>
      </w:r>
    </w:p>
    <w:p w14:paraId="7982596F">
      <w:pPr>
        <w:adjustRightInd/>
        <w:snapToGrid/>
        <w:spacing w:after="40"/>
        <w:jc w:val="both"/>
        <w:rPr>
          <w:rFonts w:ascii="微软雅黑" w:hAnsi="微软雅黑" w:cs="微软雅黑"/>
          <w:b/>
          <w:bCs/>
          <w:sz w:val="18"/>
          <w:szCs w:val="18"/>
        </w:rPr>
      </w:pPr>
    </w:p>
    <w:p w14:paraId="1508F7B0">
      <w:pPr>
        <w:adjustRightInd/>
        <w:snapToGrid/>
        <w:spacing w:after="40"/>
        <w:jc w:val="both"/>
        <w:rPr>
          <w:rFonts w:ascii="微软雅黑" w:hAnsi="微软雅黑" w:cs="微软雅黑"/>
          <w:b/>
          <w:bCs/>
          <w:sz w:val="18"/>
          <w:szCs w:val="18"/>
        </w:rPr>
      </w:pPr>
    </w:p>
    <w:p w14:paraId="0B96A529">
      <w:pPr>
        <w:adjustRightInd/>
        <w:snapToGrid/>
        <w:spacing w:after="40"/>
        <w:jc w:val="both"/>
        <w:rPr>
          <w:rFonts w:ascii="微软雅黑" w:hAnsi="微软雅黑" w:cs="微软雅黑"/>
          <w:b/>
          <w:bCs/>
          <w:sz w:val="18"/>
          <w:szCs w:val="18"/>
        </w:rPr>
      </w:pPr>
    </w:p>
    <w:p w14:paraId="5D9FA62C">
      <w:pPr>
        <w:adjustRightInd/>
        <w:snapToGrid/>
        <w:spacing w:after="40"/>
        <w:jc w:val="both"/>
        <w:rPr>
          <w:rFonts w:ascii="微软雅黑" w:hAnsi="微软雅黑" w:cs="微软雅黑"/>
          <w:b/>
          <w:bCs/>
          <w:sz w:val="18"/>
          <w:szCs w:val="18"/>
        </w:rPr>
      </w:pPr>
      <w:bookmarkStart w:id="213" w:name="OLE_LINK52"/>
      <w:r>
        <w:rPr>
          <w:rFonts w:hint="eastAsia" w:ascii="微软雅黑" w:hAnsi="微软雅黑" w:cs="微软雅黑"/>
          <w:b/>
          <w:bCs/>
          <w:sz w:val="18"/>
          <w:szCs w:val="18"/>
        </w:rPr>
        <w:t>参考文献：</w:t>
      </w:r>
    </w:p>
    <w:p w14:paraId="11DE5483">
      <w:pPr>
        <w:spacing w:line="200" w:lineRule="exact"/>
        <w:rPr>
          <w:rFonts w:ascii="微软雅黑" w:hAnsi="微软雅黑"/>
          <w:b/>
          <w:sz w:val="24"/>
          <w:szCs w:val="24"/>
        </w:rPr>
      </w:pPr>
      <w:r>
        <w:fldChar w:fldCharType="begin"/>
      </w:r>
      <w:r>
        <w:instrText xml:space="preserve"> HYPERLINK "https://www.mycancergenome.org/" </w:instrText>
      </w:r>
      <w:r>
        <w:fldChar w:fldCharType="separate"/>
      </w:r>
      <w:r>
        <w:rPr>
          <w:rStyle w:val="23"/>
          <w:rFonts w:hint="eastAsia" w:ascii="微软雅黑" w:hAnsi="微软雅黑" w:cs="微软雅黑"/>
          <w:color w:val="auto"/>
          <w:sz w:val="18"/>
          <w:szCs w:val="18"/>
          <w:u w:val="none"/>
        </w:rPr>
        <w:t>https://www.mycancergenome.org/</w:t>
      </w:r>
      <w:r>
        <w:rPr>
          <w:rStyle w:val="23"/>
          <w:rFonts w:hint="eastAsia" w:ascii="微软雅黑" w:hAnsi="微软雅黑" w:cs="微软雅黑"/>
          <w:color w:val="auto"/>
          <w:sz w:val="18"/>
          <w:szCs w:val="18"/>
          <w:u w:val="none"/>
        </w:rPr>
        <w:fldChar w:fldCharType="end"/>
      </w:r>
      <w:bookmarkEnd w:id="213"/>
      <w:r>
        <w:rPr>
          <w:rFonts w:ascii="微软雅黑" w:hAnsi="微软雅黑"/>
          <w:b/>
          <w:sz w:val="24"/>
          <w:szCs w:val="24"/>
        </w:rPr>
        <w:br w:type="page"/>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14:paraId="4A5E2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328D43E8">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24BDA01D">
            <w:pPr>
              <w:keepNext w:val="0"/>
              <w:keepLines w:val="0"/>
              <w:widowControl/>
              <w:suppressLineNumbers w:val="0"/>
              <w:spacing w:before="0" w:beforeAutospacing="0" w:after="0" w:afterAutospacing="0" w:line="220" w:lineRule="atLeast"/>
              <w:ind w:left="0" w:right="0"/>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Chromatin remodeling/DNA methylation</w:t>
            </w:r>
          </w:p>
        </w:tc>
      </w:tr>
      <w:tr w14:paraId="47D93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251DD848">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FFFFF" w:themeColor="background1"/>
                <w:kern w:val="2"/>
                <w:sz w:val="20"/>
                <w:szCs w:val="20"/>
                <w14:textFill>
                  <w14:solidFill>
                    <w14:schemeClr w14:val="bg1"/>
                  </w14:solidFill>
                </w14:textFill>
              </w:rPr>
            </w:pPr>
            <w:r>
              <w:rPr>
                <w:rFonts w:hint="default"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7DDD7FD2">
            <w:pPr>
              <w:keepNext w:val="0"/>
              <w:keepLines w:val="0"/>
              <w:widowControl/>
              <w:suppressLineNumbers w:val="0"/>
              <w:spacing w:before="40" w:beforeAutospacing="0" w:after="40" w:afterAutospacing="0"/>
              <w:ind w:left="0" w:right="0" w:firstLine="400" w:firstLineChars="200"/>
              <w:jc w:val="both"/>
              <w:rPr>
                <w:rFonts w:hint="default" w:ascii="微软雅黑" w:hAnsi="微软雅黑" w:cs="Times New Roman"/>
                <w:b/>
                <w:color w:val="F9FBFA"/>
                <w:kern w:val="2"/>
                <w:sz w:val="20"/>
                <w:szCs w:val="20"/>
              </w:rPr>
            </w:pPr>
            <w:r>
              <w:rPr>
                <w:rFonts w:hint="default" w:ascii="微软雅黑" w:hAnsi="微软雅黑" w:cs="Times New Roman"/>
                <w:bCs/>
                <w:kern w:val="2"/>
                <w:sz w:val="20"/>
                <w:szCs w:val="20"/>
              </w:rPr>
              <w:t>染色质重塑过程促进染色质结构的协调调整，以便于进入DNA的浓缩区域，激活基因转录和控制基因表达。染色质重塑是通过组蛋白修饰实现的，例如DNA甲基化</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目前</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已在多种肿瘤细胞中发现存在甲基化等调控异常。 同时研究表明，几乎所有类型的人类肿瘤中都存在表观遗传上的异常，这种改变可导致DNA结构功能的改变、非必需重复序列的转录、基因的异常活化、染色体复制调控机制的破坏以及抑制肿瘤发生和演进基因</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其中涉及到经典的抑癌基因</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肿瘤演进过程中的转录因子</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组织重塑基因</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DNA修复基因</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细胞周期调控基因</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抗凋亡基因以及在肿瘤发生中阻止异常发育通路活化的基因</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的异常沉默等</w:t>
            </w:r>
            <w:r>
              <w:rPr>
                <w:rFonts w:hint="eastAsia" w:ascii="微软雅黑" w:hAnsi="微软雅黑" w:cs="Times New Roman"/>
                <w:bCs/>
                <w:kern w:val="2"/>
                <w:sz w:val="20"/>
                <w:szCs w:val="20"/>
              </w:rPr>
              <w:t>。</w:t>
            </w:r>
          </w:p>
        </w:tc>
      </w:tr>
      <w:tr w14:paraId="1B82D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41FB0009">
            <w:pPr>
              <w:keepNext w:val="0"/>
              <w:keepLines w:val="0"/>
              <w:widowControl/>
              <w:suppressLineNumbers w:val="0"/>
              <w:spacing w:before="0" w:beforeAutospacing="0" w:after="0" w:afterAutospacing="0" w:line="220" w:lineRule="atLeast"/>
              <w:ind w:left="0" w:right="0" w:firstLine="200" w:firstLineChars="100"/>
              <w:jc w:val="both"/>
              <w:rPr>
                <w:rFonts w:hint="default" w:ascii="微软雅黑" w:hAnsi="微软雅黑" w:cs="Times New Roman"/>
                <w:b/>
                <w:color w:val="F9FBFA"/>
                <w:kern w:val="2"/>
                <w:sz w:val="20"/>
                <w:szCs w:val="20"/>
              </w:rPr>
            </w:pPr>
            <w:r>
              <w:rPr>
                <w:rFonts w:hint="default" w:ascii="微软雅黑" w:hAnsi="微软雅黑" w:cs="Times New Roman"/>
                <w:b/>
                <w:color w:val="FFFFFF" w:themeColor="background1"/>
                <w:kern w:val="2"/>
                <w:sz w:val="20"/>
                <w:szCs w:val="20"/>
                <w14:textFill>
                  <w14:solidFill>
                    <w14:schemeClr w14:val="bg1"/>
                  </w14:solidFill>
                </w14:textFill>
              </w:rPr>
              <w:t>基因列表</w:t>
            </w:r>
          </w:p>
        </w:tc>
      </w:tr>
      <w:tr w14:paraId="5BCF2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42C2826A">
            <w:pPr>
              <w:keepNext w:val="0"/>
              <w:keepLines w:val="0"/>
              <w:widowControl/>
              <w:suppressLineNumbers w:val="0"/>
              <w:spacing w:before="0" w:beforeAutospacing="0" w:after="0" w:afterAutospacing="0"/>
              <w:ind w:left="0" w:right="0"/>
              <w:jc w:val="both"/>
              <w:rPr>
                <w:rFonts w:hint="default" w:ascii="微软雅黑" w:hAnsi="微软雅黑" w:cs="微软雅黑"/>
                <w:kern w:val="2"/>
                <w:sz w:val="18"/>
                <w:szCs w:val="18"/>
              </w:rPr>
            </w:pPr>
            <w:r>
              <w:rPr>
                <w:rFonts w:hint="eastAsia" w:ascii="微软雅黑" w:hAnsi="微软雅黑" w:cs="微软雅黑"/>
                <w:color w:val="000000" w:themeColor="text1"/>
                <w:kern w:val="2"/>
                <w:sz w:val="18"/>
                <w:szCs w:val="18"/>
                <w14:textFill>
                  <w14:solidFill>
                    <w14:schemeClr w14:val="tx1"/>
                  </w14:solidFill>
                </w14:textFill>
              </w:rPr>
              <w:t>ARID1A AR IDH1 ARID1B ARID2 ASXL1 ATRX BCOR CREBBP DAXX DNMT1 DNMT3A EP300 EZH2 GATA3 H3F3A HIST1H3B IDH2 KDM5C KDM6A KLF4 MEN1 KMT2C KMT2D NCOR1 PAX5 PBRM1 PRDM1 RUNX1 SETD2 SETBP1 SF3B1 SMARCA4 SMARCB1 SPOP SRSF2 TET2 U2AF1 WT1</w:t>
            </w:r>
          </w:p>
        </w:tc>
      </w:tr>
    </w:tbl>
    <w:p w14:paraId="762D7634">
      <w:pPr>
        <w:jc w:val="center"/>
      </w:pPr>
      <w:r>
        <w:drawing>
          <wp:anchor distT="0" distB="0" distL="114300" distR="114300" simplePos="0" relativeHeight="251692032" behindDoc="1" locked="0" layoutInCell="1" allowOverlap="1">
            <wp:simplePos x="0" y="0"/>
            <wp:positionH relativeFrom="column">
              <wp:posOffset>12065</wp:posOffset>
            </wp:positionH>
            <wp:positionV relativeFrom="paragraph">
              <wp:posOffset>180975</wp:posOffset>
            </wp:positionV>
            <wp:extent cx="5187315" cy="2586990"/>
            <wp:effectExtent l="0" t="0" r="0" b="3810"/>
            <wp:wrapTight wrapText="bothSides">
              <wp:wrapPolygon>
                <wp:start x="0" y="0"/>
                <wp:lineTo x="0" y="21473"/>
                <wp:lineTo x="21497" y="21473"/>
                <wp:lineTo x="21497" y="0"/>
                <wp:lineTo x="0" y="0"/>
              </wp:wrapPolygon>
            </wp:wrapTight>
            <wp:docPr id="104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 name="图片 3"/>
                    <pic:cNvPicPr>
                      <a:picLocks noChangeAspect="1"/>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187315" cy="2586990"/>
                    </a:xfrm>
                    <a:prstGeom prst="rect">
                      <a:avLst/>
                    </a:prstGeom>
                    <a:noFill/>
                    <a:ln>
                      <a:noFill/>
                    </a:ln>
                  </pic:spPr>
                </pic:pic>
              </a:graphicData>
            </a:graphic>
          </wp:anchor>
        </w:drawing>
      </w:r>
    </w:p>
    <w:p w14:paraId="028349E1">
      <w:pPr>
        <w:adjustRightInd/>
        <w:snapToGrid/>
        <w:spacing w:after="40"/>
        <w:jc w:val="center"/>
        <w:rPr>
          <w:rFonts w:ascii="微软雅黑" w:hAnsi="微软雅黑" w:cs="Times New Roman"/>
          <w:bCs/>
          <w:kern w:val="2"/>
          <w:sz w:val="20"/>
          <w:szCs w:val="20"/>
        </w:rPr>
      </w:pPr>
      <w:bookmarkStart w:id="214" w:name="OLE_LINK53"/>
      <w:r>
        <w:rPr>
          <w:rFonts w:ascii="微软雅黑" w:hAnsi="微软雅黑" w:cs="Times New Roman"/>
          <w:bCs/>
          <w:kern w:val="2"/>
          <w:sz w:val="20"/>
          <w:szCs w:val="20"/>
        </w:rPr>
        <w:t>Chromatin remodeling/DNA methylation</w:t>
      </w:r>
      <w:bookmarkEnd w:id="214"/>
    </w:p>
    <w:p w14:paraId="42A51485">
      <w:pPr>
        <w:rPr>
          <w:rFonts w:ascii="微软雅黑" w:hAnsi="微软雅黑"/>
          <w:b/>
          <w:sz w:val="24"/>
          <w:szCs w:val="24"/>
        </w:rPr>
      </w:pPr>
    </w:p>
    <w:p w14:paraId="6DD18B69">
      <w:pPr>
        <w:adjustRightInd/>
        <w:snapToGrid/>
        <w:spacing w:after="40"/>
        <w:jc w:val="both"/>
        <w:rPr>
          <w:rFonts w:ascii="微软雅黑" w:hAnsi="微软雅黑" w:cs="微软雅黑"/>
          <w:b/>
          <w:bCs/>
          <w:sz w:val="18"/>
          <w:szCs w:val="18"/>
        </w:rPr>
      </w:pPr>
    </w:p>
    <w:p w14:paraId="266F353C">
      <w:pPr>
        <w:adjustRightInd/>
        <w:snapToGrid/>
        <w:spacing w:after="40"/>
        <w:jc w:val="both"/>
        <w:rPr>
          <w:rFonts w:ascii="微软雅黑" w:hAnsi="微软雅黑" w:cs="微软雅黑"/>
          <w:b/>
          <w:bCs/>
          <w:sz w:val="18"/>
          <w:szCs w:val="18"/>
        </w:rPr>
      </w:pPr>
      <w:r>
        <w:rPr>
          <w:rFonts w:hint="eastAsia" w:ascii="微软雅黑" w:hAnsi="微软雅黑" w:cs="微软雅黑"/>
          <w:b/>
          <w:bCs/>
          <w:sz w:val="18"/>
          <w:szCs w:val="18"/>
        </w:rPr>
        <w:t>参考文献：</w:t>
      </w:r>
    </w:p>
    <w:p w14:paraId="063D2F67">
      <w:pPr>
        <w:spacing w:line="200" w:lineRule="exact"/>
        <w:rPr>
          <w:rFonts w:ascii="微软雅黑" w:hAnsi="微软雅黑" w:cs="微软雅黑"/>
          <w:sz w:val="18"/>
          <w:szCs w:val="18"/>
        </w:rPr>
      </w:pPr>
      <w:r>
        <w:rPr>
          <w:rFonts w:hint="eastAsia" w:ascii="微软雅黑" w:hAnsi="微软雅黑" w:cs="微软雅黑"/>
          <w:sz w:val="18"/>
          <w:szCs w:val="18"/>
        </w:rPr>
        <w:t>Science, 2013, 339(6127):1546-1558.</w:t>
      </w:r>
    </w:p>
    <w:p w14:paraId="38FE5C5F">
      <w:pPr>
        <w:spacing w:line="200" w:lineRule="exact"/>
        <w:rPr>
          <w:rFonts w:ascii="微软雅黑" w:hAnsi="微软雅黑" w:cs="微软雅黑"/>
          <w:sz w:val="18"/>
          <w:szCs w:val="18"/>
        </w:rPr>
      </w:pPr>
      <w:r>
        <w:rPr>
          <w:rFonts w:hint="eastAsia" w:ascii="微软雅黑" w:hAnsi="微软雅黑" w:cs="微软雅黑"/>
          <w:sz w:val="18"/>
          <w:szCs w:val="18"/>
        </w:rPr>
        <w:t>Nature Reviews Molecular Cell Biology, 2012, 13(8):524-535.</w:t>
      </w:r>
    </w:p>
    <w:p w14:paraId="0E16D01D">
      <w:pPr>
        <w:widowControl w:val="0"/>
        <w:adjustRightInd/>
        <w:snapToGrid/>
        <w:rPr>
          <w:rFonts w:ascii="微软雅黑" w:hAnsi="微软雅黑" w:cs="微软雅黑"/>
          <w:b/>
          <w:bCs/>
          <w:sz w:val="18"/>
          <w:szCs w:val="18"/>
        </w:rPr>
      </w:pPr>
      <w:r>
        <w:fldChar w:fldCharType="begin"/>
      </w:r>
      <w:r>
        <w:instrText xml:space="preserve"> HYPERLINK "https://www.mycancergenome.org/" </w:instrText>
      </w:r>
      <w:r>
        <w:fldChar w:fldCharType="separate"/>
      </w:r>
      <w:r>
        <w:rPr>
          <w:rStyle w:val="23"/>
          <w:rFonts w:hint="eastAsia" w:ascii="微软雅黑" w:hAnsi="微软雅黑" w:cs="微软雅黑"/>
          <w:color w:val="auto"/>
          <w:sz w:val="18"/>
          <w:szCs w:val="18"/>
          <w:u w:val="none"/>
        </w:rPr>
        <w:t>https://www.mycancergenome.org/</w:t>
      </w:r>
      <w:r>
        <w:rPr>
          <w:rStyle w:val="23"/>
          <w:rFonts w:hint="eastAsia" w:ascii="微软雅黑" w:hAnsi="微软雅黑" w:cs="微软雅黑"/>
          <w:color w:val="auto"/>
          <w:sz w:val="18"/>
          <w:szCs w:val="18"/>
          <w:u w:val="none"/>
        </w:rPr>
        <w:fldChar w:fldCharType="end"/>
      </w:r>
    </w:p>
    <w:p w14:paraId="07C4468E">
      <w:pPr>
        <w:spacing w:after="0" w:line="312" w:lineRule="auto"/>
        <w:jc w:val="both"/>
        <w:rPr>
          <w:rFonts w:ascii="微软雅黑" w:hAnsi="微软雅黑"/>
          <w:b/>
          <w:sz w:val="28"/>
          <w:szCs w:val="28"/>
        </w:rPr>
      </w:pPr>
    </w:p>
    <w:p w14:paraId="39346719">
      <w:pPr>
        <w:spacing w:after="0" w:line="288" w:lineRule="auto"/>
        <w:jc w:val="both"/>
        <w:outlineLvl w:val="0"/>
        <w:rPr>
          <w:rFonts w:ascii="微软雅黑" w:hAnsi="微软雅黑"/>
          <w:b/>
          <w:sz w:val="24"/>
          <w:szCs w:val="24"/>
        </w:rPr>
      </w:pPr>
      <w:r>
        <w:rPr>
          <w:rFonts w:hint="eastAsia" w:ascii="微软雅黑" w:hAnsi="微软雅黑"/>
          <w:b/>
          <w:sz w:val="24"/>
          <w:szCs w:val="24"/>
        </w:rPr>
        <w:br w:type="page"/>
      </w:r>
      <w:bookmarkStart w:id="215" w:name="_Toc16989"/>
      <w:r>
        <w:rPr>
          <w:rFonts w:hint="eastAsia" w:ascii="微软雅黑" w:hAnsi="微软雅黑"/>
          <w:b/>
          <w:sz w:val="24"/>
          <w:szCs w:val="24"/>
        </w:rPr>
        <w:t>4. 基因检测列表</w:t>
      </w:r>
      <w:bookmarkEnd w:id="215"/>
      <w:r>
        <w:commentReference w:id="33"/>
      </w:r>
    </w:p>
    <w:tbl>
      <w:tblPr>
        <w:tblStyle w:val="30"/>
        <w:tblW w:w="8985"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Layout w:type="fixed"/>
        <w:tblCellMar>
          <w:top w:w="0" w:type="dxa"/>
          <w:left w:w="108" w:type="dxa"/>
          <w:bottom w:w="0" w:type="dxa"/>
          <w:right w:w="108" w:type="dxa"/>
        </w:tblCellMar>
      </w:tblPr>
      <w:tblGrid>
        <w:gridCol w:w="1283"/>
        <w:gridCol w:w="1283"/>
        <w:gridCol w:w="1283"/>
        <w:gridCol w:w="1283"/>
        <w:gridCol w:w="1283"/>
        <w:gridCol w:w="1283"/>
        <w:gridCol w:w="1287"/>
      </w:tblGrid>
      <w:tr w14:paraId="311A2DA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8985" w:type="dxa"/>
            <w:gridSpan w:val="7"/>
            <w:shd w:val="clear" w:color="auto" w:fill="auto"/>
            <w:vAlign w:val="center"/>
          </w:tcPr>
          <w:p w14:paraId="6791E296">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auto"/>
              <w:outlineLvl w:val="9"/>
              <w:rPr>
                <w:rFonts w:hint="default" w:ascii="Calibri" w:hAnsi="Calibri" w:cs="Calibri"/>
                <w:b w:val="0"/>
                <w:bCs w:val="0"/>
                <w:sz w:val="21"/>
                <w:szCs w:val="21"/>
                <w:highlight w:val="none"/>
              </w:rPr>
            </w:pPr>
            <w:bookmarkStart w:id="216" w:name="_Toc8753"/>
            <w:r>
              <w:rPr>
                <w:rFonts w:hint="eastAsia" w:ascii="微软雅黑" w:hAnsi="微软雅黑"/>
                <w:b/>
                <w:sz w:val="28"/>
                <w:szCs w:val="28"/>
                <w:lang w:val="en-US" w:eastAsia="zh-CN"/>
              </w:rPr>
              <w:br w:type="page"/>
            </w:r>
            <w:r>
              <w:rPr>
                <w:rFonts w:hint="default" w:ascii="Calibri" w:hAnsi="Calibri" w:cs="Calibri"/>
                <w:b/>
                <w:bCs w:val="0"/>
                <w:sz w:val="28"/>
                <w:szCs w:val="28"/>
                <w:highlight w:val="none"/>
              </w:rPr>
              <w:t>Gene List for MLseq (n=</w:t>
            </w:r>
            <w:r>
              <w:rPr>
                <w:rFonts w:hint="eastAsia" w:ascii="Calibri" w:hAnsi="Calibri" w:cs="Calibri"/>
                <w:b/>
                <w:bCs w:val="0"/>
                <w:sz w:val="28"/>
                <w:szCs w:val="28"/>
                <w:highlight w:val="none"/>
                <w:lang w:val="en-US" w:eastAsia="zh-CN"/>
              </w:rPr>
              <w:t>358</w:t>
            </w:r>
            <w:r>
              <w:rPr>
                <w:rFonts w:hint="default" w:ascii="Calibri" w:hAnsi="Calibri" w:cs="Calibri"/>
                <w:b/>
                <w:bCs w:val="0"/>
                <w:sz w:val="28"/>
                <w:szCs w:val="28"/>
                <w:highlight w:val="none"/>
              </w:rPr>
              <w:t>)</w:t>
            </w:r>
          </w:p>
        </w:tc>
      </w:tr>
      <w:tr w14:paraId="3C6F711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1F99CCE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ABL1</w:t>
            </w:r>
          </w:p>
        </w:tc>
        <w:tc>
          <w:tcPr>
            <w:tcW w:w="1283" w:type="dxa"/>
            <w:shd w:val="clear" w:color="auto" w:fill="auto"/>
            <w:vAlign w:val="center"/>
          </w:tcPr>
          <w:p w14:paraId="3DE1E98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ABL2</w:t>
            </w:r>
          </w:p>
        </w:tc>
        <w:tc>
          <w:tcPr>
            <w:tcW w:w="1283" w:type="dxa"/>
            <w:shd w:val="clear" w:color="auto" w:fill="auto"/>
            <w:vAlign w:val="center"/>
          </w:tcPr>
          <w:p w14:paraId="045B25A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ACVR1B</w:t>
            </w:r>
          </w:p>
        </w:tc>
        <w:tc>
          <w:tcPr>
            <w:tcW w:w="1283" w:type="dxa"/>
            <w:shd w:val="clear" w:color="auto" w:fill="auto"/>
            <w:vAlign w:val="center"/>
          </w:tcPr>
          <w:p w14:paraId="0245562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ACVR2A</w:t>
            </w:r>
          </w:p>
        </w:tc>
        <w:tc>
          <w:tcPr>
            <w:tcW w:w="1283" w:type="dxa"/>
            <w:shd w:val="clear" w:color="auto" w:fill="auto"/>
            <w:vAlign w:val="center"/>
          </w:tcPr>
          <w:p w14:paraId="169D89D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AKT1</w:t>
            </w:r>
          </w:p>
        </w:tc>
        <w:tc>
          <w:tcPr>
            <w:tcW w:w="1283" w:type="dxa"/>
            <w:shd w:val="clear" w:color="auto" w:fill="auto"/>
            <w:vAlign w:val="center"/>
          </w:tcPr>
          <w:p w14:paraId="642D861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AKT3</w:t>
            </w:r>
          </w:p>
        </w:tc>
        <w:tc>
          <w:tcPr>
            <w:tcW w:w="1287" w:type="dxa"/>
            <w:shd w:val="clear" w:color="auto" w:fill="auto"/>
            <w:vAlign w:val="center"/>
          </w:tcPr>
          <w:p w14:paraId="3AD99B5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ALK</w:t>
            </w:r>
          </w:p>
        </w:tc>
      </w:tr>
      <w:tr w14:paraId="43090D3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14:paraId="6476484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AMER1</w:t>
            </w:r>
          </w:p>
        </w:tc>
        <w:tc>
          <w:tcPr>
            <w:tcW w:w="1283" w:type="dxa"/>
            <w:shd w:val="clear" w:color="auto" w:fill="F2F2F2"/>
            <w:vAlign w:val="center"/>
          </w:tcPr>
          <w:p w14:paraId="3C4FFBD7">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APC</w:t>
            </w:r>
          </w:p>
        </w:tc>
        <w:tc>
          <w:tcPr>
            <w:tcW w:w="1283" w:type="dxa"/>
            <w:shd w:val="clear" w:color="auto" w:fill="F2F2F2"/>
            <w:vAlign w:val="center"/>
          </w:tcPr>
          <w:p w14:paraId="11F895C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AR</w:t>
            </w:r>
          </w:p>
        </w:tc>
        <w:tc>
          <w:tcPr>
            <w:tcW w:w="1283" w:type="dxa"/>
            <w:shd w:val="clear" w:color="auto" w:fill="F2F2F2"/>
            <w:vAlign w:val="center"/>
          </w:tcPr>
          <w:p w14:paraId="016CF11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ARAF</w:t>
            </w:r>
          </w:p>
        </w:tc>
        <w:tc>
          <w:tcPr>
            <w:tcW w:w="1283" w:type="dxa"/>
            <w:shd w:val="clear" w:color="auto" w:fill="F2F2F2"/>
            <w:vAlign w:val="center"/>
          </w:tcPr>
          <w:p w14:paraId="17251CE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ARID1A</w:t>
            </w:r>
          </w:p>
        </w:tc>
        <w:tc>
          <w:tcPr>
            <w:tcW w:w="1283" w:type="dxa"/>
            <w:shd w:val="clear" w:color="auto" w:fill="F2F2F2"/>
            <w:vAlign w:val="center"/>
          </w:tcPr>
          <w:p w14:paraId="742E4AC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ARID1B</w:t>
            </w:r>
          </w:p>
        </w:tc>
        <w:tc>
          <w:tcPr>
            <w:tcW w:w="1287" w:type="dxa"/>
            <w:shd w:val="clear" w:color="auto" w:fill="F2F2F2"/>
            <w:vAlign w:val="center"/>
          </w:tcPr>
          <w:p w14:paraId="485D6BD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ARID2</w:t>
            </w:r>
          </w:p>
        </w:tc>
      </w:tr>
      <w:tr w14:paraId="3A5CA93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14:paraId="339F16F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ARID4A</w:t>
            </w:r>
          </w:p>
        </w:tc>
        <w:tc>
          <w:tcPr>
            <w:tcW w:w="1283" w:type="dxa"/>
            <w:shd w:val="clear" w:color="auto" w:fill="auto"/>
            <w:vAlign w:val="center"/>
          </w:tcPr>
          <w:p w14:paraId="5CD47E9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ASXL1</w:t>
            </w:r>
          </w:p>
        </w:tc>
        <w:tc>
          <w:tcPr>
            <w:tcW w:w="1283" w:type="dxa"/>
            <w:shd w:val="clear" w:color="auto" w:fill="auto"/>
            <w:vAlign w:val="center"/>
          </w:tcPr>
          <w:p w14:paraId="2B981DA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ASXL2</w:t>
            </w:r>
          </w:p>
        </w:tc>
        <w:tc>
          <w:tcPr>
            <w:tcW w:w="1283" w:type="dxa"/>
            <w:shd w:val="clear" w:color="auto" w:fill="auto"/>
            <w:vAlign w:val="center"/>
          </w:tcPr>
          <w:p w14:paraId="66DB2E1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ATM</w:t>
            </w:r>
          </w:p>
        </w:tc>
        <w:tc>
          <w:tcPr>
            <w:tcW w:w="1283" w:type="dxa"/>
            <w:shd w:val="clear" w:color="auto" w:fill="auto"/>
            <w:vAlign w:val="center"/>
          </w:tcPr>
          <w:p w14:paraId="355BE13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ATR</w:t>
            </w:r>
          </w:p>
        </w:tc>
        <w:tc>
          <w:tcPr>
            <w:tcW w:w="1283" w:type="dxa"/>
            <w:shd w:val="clear" w:color="auto" w:fill="auto"/>
            <w:vAlign w:val="center"/>
          </w:tcPr>
          <w:p w14:paraId="0AC9D12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ATRX</w:t>
            </w:r>
          </w:p>
        </w:tc>
        <w:tc>
          <w:tcPr>
            <w:tcW w:w="1287" w:type="dxa"/>
            <w:shd w:val="clear" w:color="auto" w:fill="auto"/>
            <w:vAlign w:val="center"/>
          </w:tcPr>
          <w:p w14:paraId="5E23362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ATXN2</w:t>
            </w:r>
          </w:p>
        </w:tc>
      </w:tr>
      <w:tr w14:paraId="06F3B29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01D512F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AXIN1</w:t>
            </w:r>
          </w:p>
        </w:tc>
        <w:tc>
          <w:tcPr>
            <w:tcW w:w="1283" w:type="dxa"/>
            <w:shd w:val="clear" w:color="auto" w:fill="F2F2F2"/>
            <w:vAlign w:val="center"/>
          </w:tcPr>
          <w:p w14:paraId="3D50311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AXL</w:t>
            </w:r>
          </w:p>
        </w:tc>
        <w:tc>
          <w:tcPr>
            <w:tcW w:w="1283" w:type="dxa"/>
            <w:shd w:val="clear" w:color="auto" w:fill="F2F2F2"/>
            <w:vAlign w:val="center"/>
          </w:tcPr>
          <w:p w14:paraId="564CEE8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B2M</w:t>
            </w:r>
          </w:p>
        </w:tc>
        <w:tc>
          <w:tcPr>
            <w:tcW w:w="1283" w:type="dxa"/>
            <w:shd w:val="clear" w:color="auto" w:fill="F2F2F2"/>
            <w:vAlign w:val="center"/>
          </w:tcPr>
          <w:p w14:paraId="77886CF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BACH2</w:t>
            </w:r>
          </w:p>
        </w:tc>
        <w:tc>
          <w:tcPr>
            <w:tcW w:w="1283" w:type="dxa"/>
            <w:shd w:val="clear" w:color="auto" w:fill="F2F2F2"/>
            <w:vAlign w:val="center"/>
          </w:tcPr>
          <w:p w14:paraId="6FFB89E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BAP1</w:t>
            </w:r>
          </w:p>
        </w:tc>
        <w:tc>
          <w:tcPr>
            <w:tcW w:w="1283" w:type="dxa"/>
            <w:shd w:val="clear" w:color="auto" w:fill="F2F2F2"/>
            <w:vAlign w:val="center"/>
          </w:tcPr>
          <w:p w14:paraId="2C8B2B5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BARD1</w:t>
            </w:r>
          </w:p>
        </w:tc>
        <w:tc>
          <w:tcPr>
            <w:tcW w:w="1287" w:type="dxa"/>
            <w:shd w:val="clear" w:color="auto" w:fill="F2F2F2"/>
            <w:vAlign w:val="center"/>
          </w:tcPr>
          <w:p w14:paraId="66990D9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BCL11A</w:t>
            </w:r>
          </w:p>
        </w:tc>
      </w:tr>
      <w:tr w14:paraId="54CC649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68E2D05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BCL2</w:t>
            </w:r>
          </w:p>
        </w:tc>
        <w:tc>
          <w:tcPr>
            <w:tcW w:w="1283" w:type="dxa"/>
            <w:shd w:val="clear" w:color="auto" w:fill="auto"/>
            <w:vAlign w:val="center"/>
          </w:tcPr>
          <w:p w14:paraId="3E911E0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BCL2L11</w:t>
            </w:r>
          </w:p>
        </w:tc>
        <w:tc>
          <w:tcPr>
            <w:tcW w:w="1283" w:type="dxa"/>
            <w:shd w:val="clear" w:color="auto" w:fill="auto"/>
            <w:vAlign w:val="center"/>
          </w:tcPr>
          <w:p w14:paraId="0EF8315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BCOR</w:t>
            </w:r>
          </w:p>
        </w:tc>
        <w:tc>
          <w:tcPr>
            <w:tcW w:w="1283" w:type="dxa"/>
            <w:shd w:val="clear" w:color="auto" w:fill="auto"/>
            <w:vAlign w:val="center"/>
          </w:tcPr>
          <w:p w14:paraId="227950D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BCORL1</w:t>
            </w:r>
          </w:p>
        </w:tc>
        <w:tc>
          <w:tcPr>
            <w:tcW w:w="1283" w:type="dxa"/>
            <w:shd w:val="clear" w:color="auto" w:fill="auto"/>
            <w:vAlign w:val="center"/>
          </w:tcPr>
          <w:p w14:paraId="40CC8F6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BLM</w:t>
            </w:r>
          </w:p>
        </w:tc>
        <w:tc>
          <w:tcPr>
            <w:tcW w:w="1283" w:type="dxa"/>
            <w:shd w:val="clear" w:color="auto" w:fill="auto"/>
            <w:vAlign w:val="center"/>
          </w:tcPr>
          <w:p w14:paraId="513C8D5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BMPR1A</w:t>
            </w:r>
          </w:p>
        </w:tc>
        <w:tc>
          <w:tcPr>
            <w:tcW w:w="1287" w:type="dxa"/>
            <w:shd w:val="clear" w:color="auto" w:fill="auto"/>
            <w:vAlign w:val="center"/>
          </w:tcPr>
          <w:p w14:paraId="0A3235F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BRAF</w:t>
            </w:r>
          </w:p>
        </w:tc>
      </w:tr>
      <w:tr w14:paraId="21DAEAA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67945F1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BRCA1</w:t>
            </w:r>
          </w:p>
        </w:tc>
        <w:tc>
          <w:tcPr>
            <w:tcW w:w="1283" w:type="dxa"/>
            <w:shd w:val="clear" w:color="auto" w:fill="F2F2F2"/>
            <w:vAlign w:val="center"/>
          </w:tcPr>
          <w:p w14:paraId="2572353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BRCA2</w:t>
            </w:r>
          </w:p>
        </w:tc>
        <w:tc>
          <w:tcPr>
            <w:tcW w:w="1283" w:type="dxa"/>
            <w:shd w:val="clear" w:color="auto" w:fill="F2F2F2"/>
            <w:vAlign w:val="center"/>
          </w:tcPr>
          <w:p w14:paraId="433551E7">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BRD4</w:t>
            </w:r>
          </w:p>
        </w:tc>
        <w:tc>
          <w:tcPr>
            <w:tcW w:w="1283" w:type="dxa"/>
            <w:shd w:val="clear" w:color="auto" w:fill="F2F2F2"/>
            <w:vAlign w:val="center"/>
          </w:tcPr>
          <w:p w14:paraId="2778A90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BRIP1</w:t>
            </w:r>
          </w:p>
        </w:tc>
        <w:tc>
          <w:tcPr>
            <w:tcW w:w="1283" w:type="dxa"/>
            <w:shd w:val="clear" w:color="auto" w:fill="F2F2F2"/>
            <w:vAlign w:val="center"/>
          </w:tcPr>
          <w:p w14:paraId="6617934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BTK</w:t>
            </w:r>
          </w:p>
        </w:tc>
        <w:tc>
          <w:tcPr>
            <w:tcW w:w="1283" w:type="dxa"/>
            <w:shd w:val="clear" w:color="auto" w:fill="F2F2F2"/>
            <w:vAlign w:val="center"/>
          </w:tcPr>
          <w:p w14:paraId="623AD3D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CARD11</w:t>
            </w:r>
          </w:p>
        </w:tc>
        <w:tc>
          <w:tcPr>
            <w:tcW w:w="1287" w:type="dxa"/>
            <w:shd w:val="clear" w:color="auto" w:fill="F2F2F2"/>
            <w:vAlign w:val="center"/>
          </w:tcPr>
          <w:p w14:paraId="5FF4B5B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CBL</w:t>
            </w:r>
          </w:p>
        </w:tc>
      </w:tr>
      <w:tr w14:paraId="7BC7BCF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16C0A7C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CCND1</w:t>
            </w:r>
          </w:p>
        </w:tc>
        <w:tc>
          <w:tcPr>
            <w:tcW w:w="1283" w:type="dxa"/>
            <w:shd w:val="clear" w:color="auto" w:fill="auto"/>
            <w:vAlign w:val="center"/>
          </w:tcPr>
          <w:p w14:paraId="13CE513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CCND2</w:t>
            </w:r>
          </w:p>
        </w:tc>
        <w:tc>
          <w:tcPr>
            <w:tcW w:w="1283" w:type="dxa"/>
            <w:shd w:val="clear" w:color="auto" w:fill="auto"/>
            <w:vAlign w:val="center"/>
          </w:tcPr>
          <w:p w14:paraId="63A2F2C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CCNE1</w:t>
            </w:r>
          </w:p>
        </w:tc>
        <w:tc>
          <w:tcPr>
            <w:tcW w:w="1283" w:type="dxa"/>
            <w:shd w:val="clear" w:color="auto" w:fill="auto"/>
            <w:vAlign w:val="center"/>
          </w:tcPr>
          <w:p w14:paraId="35DE694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CD274</w:t>
            </w:r>
          </w:p>
        </w:tc>
        <w:tc>
          <w:tcPr>
            <w:tcW w:w="1283" w:type="dxa"/>
            <w:shd w:val="clear" w:color="auto" w:fill="auto"/>
            <w:vAlign w:val="center"/>
          </w:tcPr>
          <w:p w14:paraId="0556149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CD79B</w:t>
            </w:r>
          </w:p>
        </w:tc>
        <w:tc>
          <w:tcPr>
            <w:tcW w:w="1283" w:type="dxa"/>
            <w:shd w:val="clear" w:color="auto" w:fill="auto"/>
            <w:vAlign w:val="center"/>
          </w:tcPr>
          <w:p w14:paraId="5D6215C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CDH1</w:t>
            </w:r>
          </w:p>
        </w:tc>
        <w:tc>
          <w:tcPr>
            <w:tcW w:w="1287" w:type="dxa"/>
            <w:shd w:val="clear" w:color="auto" w:fill="auto"/>
            <w:vAlign w:val="center"/>
          </w:tcPr>
          <w:p w14:paraId="63C32E87">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CDH11</w:t>
            </w:r>
          </w:p>
        </w:tc>
      </w:tr>
      <w:tr w14:paraId="5547916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35A90CD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CDK12</w:t>
            </w:r>
          </w:p>
        </w:tc>
        <w:tc>
          <w:tcPr>
            <w:tcW w:w="1283" w:type="dxa"/>
            <w:shd w:val="clear" w:color="auto" w:fill="F2F2F2"/>
            <w:vAlign w:val="center"/>
          </w:tcPr>
          <w:p w14:paraId="398B246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CDK4</w:t>
            </w:r>
          </w:p>
        </w:tc>
        <w:tc>
          <w:tcPr>
            <w:tcW w:w="1283" w:type="dxa"/>
            <w:shd w:val="clear" w:color="auto" w:fill="F2F2F2"/>
            <w:vAlign w:val="center"/>
          </w:tcPr>
          <w:p w14:paraId="54FB865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CDK6</w:t>
            </w:r>
          </w:p>
        </w:tc>
        <w:tc>
          <w:tcPr>
            <w:tcW w:w="1283" w:type="dxa"/>
            <w:shd w:val="clear" w:color="auto" w:fill="F2F2F2"/>
            <w:vAlign w:val="center"/>
          </w:tcPr>
          <w:p w14:paraId="013EFFD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CDKN2A</w:t>
            </w:r>
          </w:p>
        </w:tc>
        <w:tc>
          <w:tcPr>
            <w:tcW w:w="1283" w:type="dxa"/>
            <w:shd w:val="clear" w:color="auto" w:fill="F2F2F2"/>
            <w:vAlign w:val="center"/>
          </w:tcPr>
          <w:p w14:paraId="6DC4029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CHD2</w:t>
            </w:r>
          </w:p>
        </w:tc>
        <w:tc>
          <w:tcPr>
            <w:tcW w:w="1283" w:type="dxa"/>
            <w:shd w:val="clear" w:color="auto" w:fill="F2F2F2"/>
            <w:vAlign w:val="center"/>
          </w:tcPr>
          <w:p w14:paraId="17201EB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CHD4</w:t>
            </w:r>
          </w:p>
        </w:tc>
        <w:tc>
          <w:tcPr>
            <w:tcW w:w="1287" w:type="dxa"/>
            <w:shd w:val="clear" w:color="auto" w:fill="F2F2F2"/>
            <w:vAlign w:val="center"/>
          </w:tcPr>
          <w:p w14:paraId="00019FA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CHEK1</w:t>
            </w:r>
          </w:p>
        </w:tc>
      </w:tr>
      <w:tr w14:paraId="0ABC9C9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07E7989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CHEK2</w:t>
            </w:r>
          </w:p>
        </w:tc>
        <w:tc>
          <w:tcPr>
            <w:tcW w:w="1283" w:type="dxa"/>
            <w:shd w:val="clear" w:color="auto" w:fill="auto"/>
            <w:vAlign w:val="center"/>
          </w:tcPr>
          <w:p w14:paraId="4EBCBA3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CIC</w:t>
            </w:r>
          </w:p>
        </w:tc>
        <w:tc>
          <w:tcPr>
            <w:tcW w:w="1283" w:type="dxa"/>
            <w:shd w:val="clear" w:color="auto" w:fill="auto"/>
            <w:vAlign w:val="center"/>
          </w:tcPr>
          <w:p w14:paraId="376463A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CLTCL1</w:t>
            </w:r>
          </w:p>
        </w:tc>
        <w:tc>
          <w:tcPr>
            <w:tcW w:w="1283" w:type="dxa"/>
            <w:shd w:val="clear" w:color="auto" w:fill="auto"/>
            <w:vAlign w:val="center"/>
          </w:tcPr>
          <w:p w14:paraId="48CF211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CREBBP</w:t>
            </w:r>
          </w:p>
        </w:tc>
        <w:tc>
          <w:tcPr>
            <w:tcW w:w="1283" w:type="dxa"/>
            <w:shd w:val="clear" w:color="auto" w:fill="auto"/>
            <w:vAlign w:val="center"/>
          </w:tcPr>
          <w:p w14:paraId="05701AC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CRKL</w:t>
            </w:r>
          </w:p>
        </w:tc>
        <w:tc>
          <w:tcPr>
            <w:tcW w:w="1283" w:type="dxa"/>
            <w:shd w:val="clear" w:color="auto" w:fill="auto"/>
            <w:vAlign w:val="center"/>
          </w:tcPr>
          <w:p w14:paraId="53F5660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CSF1R</w:t>
            </w:r>
          </w:p>
        </w:tc>
        <w:tc>
          <w:tcPr>
            <w:tcW w:w="1287" w:type="dxa"/>
            <w:shd w:val="clear" w:color="auto" w:fill="auto"/>
            <w:vAlign w:val="center"/>
          </w:tcPr>
          <w:p w14:paraId="18BCB78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CSF3R</w:t>
            </w:r>
          </w:p>
        </w:tc>
      </w:tr>
      <w:tr w14:paraId="4C71DAD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4917AA6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CTNNB1</w:t>
            </w:r>
          </w:p>
        </w:tc>
        <w:tc>
          <w:tcPr>
            <w:tcW w:w="1283" w:type="dxa"/>
            <w:shd w:val="clear" w:color="auto" w:fill="F2F2F2"/>
            <w:vAlign w:val="center"/>
          </w:tcPr>
          <w:p w14:paraId="4F1738B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CUX1</w:t>
            </w:r>
          </w:p>
        </w:tc>
        <w:tc>
          <w:tcPr>
            <w:tcW w:w="1283" w:type="dxa"/>
            <w:shd w:val="clear" w:color="auto" w:fill="F2F2F2"/>
            <w:vAlign w:val="center"/>
          </w:tcPr>
          <w:p w14:paraId="35BB94C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DDR1</w:t>
            </w:r>
          </w:p>
        </w:tc>
        <w:tc>
          <w:tcPr>
            <w:tcW w:w="1283" w:type="dxa"/>
            <w:shd w:val="clear" w:color="auto" w:fill="F2F2F2"/>
            <w:vAlign w:val="center"/>
          </w:tcPr>
          <w:p w14:paraId="5D995B6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DDR2</w:t>
            </w:r>
          </w:p>
        </w:tc>
        <w:tc>
          <w:tcPr>
            <w:tcW w:w="1283" w:type="dxa"/>
            <w:shd w:val="clear" w:color="auto" w:fill="F2F2F2"/>
            <w:vAlign w:val="center"/>
          </w:tcPr>
          <w:p w14:paraId="19B2DE5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DEK</w:t>
            </w:r>
          </w:p>
        </w:tc>
        <w:tc>
          <w:tcPr>
            <w:tcW w:w="1283" w:type="dxa"/>
            <w:shd w:val="clear" w:color="auto" w:fill="F2F2F2"/>
            <w:vAlign w:val="center"/>
          </w:tcPr>
          <w:p w14:paraId="16E9D44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DNM2</w:t>
            </w:r>
          </w:p>
        </w:tc>
        <w:tc>
          <w:tcPr>
            <w:tcW w:w="1287" w:type="dxa"/>
            <w:shd w:val="clear" w:color="auto" w:fill="F2F2F2"/>
            <w:vAlign w:val="center"/>
          </w:tcPr>
          <w:p w14:paraId="1E0E5F8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DNMT1</w:t>
            </w:r>
          </w:p>
        </w:tc>
      </w:tr>
      <w:tr w14:paraId="2B30903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41D7DF3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DNMT3A</w:t>
            </w:r>
          </w:p>
        </w:tc>
        <w:tc>
          <w:tcPr>
            <w:tcW w:w="1283" w:type="dxa"/>
            <w:shd w:val="clear" w:color="auto" w:fill="auto"/>
            <w:vAlign w:val="center"/>
          </w:tcPr>
          <w:p w14:paraId="40EF1887">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DNMT3B</w:t>
            </w:r>
          </w:p>
        </w:tc>
        <w:tc>
          <w:tcPr>
            <w:tcW w:w="1283" w:type="dxa"/>
            <w:shd w:val="clear" w:color="auto" w:fill="auto"/>
            <w:vAlign w:val="center"/>
          </w:tcPr>
          <w:p w14:paraId="117BFA2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EGFR</w:t>
            </w:r>
          </w:p>
        </w:tc>
        <w:tc>
          <w:tcPr>
            <w:tcW w:w="1283" w:type="dxa"/>
            <w:shd w:val="clear" w:color="auto" w:fill="auto"/>
            <w:vAlign w:val="center"/>
          </w:tcPr>
          <w:p w14:paraId="3B4C6AB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EP300</w:t>
            </w:r>
          </w:p>
        </w:tc>
        <w:tc>
          <w:tcPr>
            <w:tcW w:w="1283" w:type="dxa"/>
            <w:shd w:val="clear" w:color="auto" w:fill="auto"/>
            <w:vAlign w:val="center"/>
          </w:tcPr>
          <w:p w14:paraId="3F293AA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EP400</w:t>
            </w:r>
          </w:p>
        </w:tc>
        <w:tc>
          <w:tcPr>
            <w:tcW w:w="1283" w:type="dxa"/>
            <w:shd w:val="clear" w:color="auto" w:fill="auto"/>
            <w:vAlign w:val="center"/>
          </w:tcPr>
          <w:p w14:paraId="660EDEC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EPAS1</w:t>
            </w:r>
          </w:p>
        </w:tc>
        <w:tc>
          <w:tcPr>
            <w:tcW w:w="1287" w:type="dxa"/>
            <w:shd w:val="clear" w:color="auto" w:fill="auto"/>
            <w:vAlign w:val="center"/>
          </w:tcPr>
          <w:p w14:paraId="1CF0A80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EPCAM</w:t>
            </w:r>
          </w:p>
        </w:tc>
      </w:tr>
      <w:tr w14:paraId="3D061E2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14:paraId="14942E9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EPHA2</w:t>
            </w:r>
          </w:p>
        </w:tc>
        <w:tc>
          <w:tcPr>
            <w:tcW w:w="1283" w:type="dxa"/>
            <w:shd w:val="clear" w:color="auto" w:fill="F2F2F2"/>
            <w:vAlign w:val="center"/>
          </w:tcPr>
          <w:p w14:paraId="0E5F5B6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EPHA3</w:t>
            </w:r>
          </w:p>
        </w:tc>
        <w:tc>
          <w:tcPr>
            <w:tcW w:w="1283" w:type="dxa"/>
            <w:shd w:val="clear" w:color="auto" w:fill="F2F2F2"/>
            <w:vAlign w:val="center"/>
          </w:tcPr>
          <w:p w14:paraId="0C6BE9A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EPHB1</w:t>
            </w:r>
          </w:p>
        </w:tc>
        <w:tc>
          <w:tcPr>
            <w:tcW w:w="1283" w:type="dxa"/>
            <w:shd w:val="clear" w:color="auto" w:fill="F2F2F2"/>
            <w:vAlign w:val="center"/>
          </w:tcPr>
          <w:p w14:paraId="55B96CD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ERBB2</w:t>
            </w:r>
          </w:p>
        </w:tc>
        <w:tc>
          <w:tcPr>
            <w:tcW w:w="1283" w:type="dxa"/>
            <w:shd w:val="clear" w:color="auto" w:fill="F2F2F2"/>
            <w:vAlign w:val="center"/>
          </w:tcPr>
          <w:p w14:paraId="23B3104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ERBB3</w:t>
            </w:r>
          </w:p>
        </w:tc>
        <w:tc>
          <w:tcPr>
            <w:tcW w:w="1283" w:type="dxa"/>
            <w:shd w:val="clear" w:color="auto" w:fill="F2F2F2"/>
            <w:vAlign w:val="center"/>
          </w:tcPr>
          <w:p w14:paraId="61AEDC5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ERBB4</w:t>
            </w:r>
          </w:p>
        </w:tc>
        <w:tc>
          <w:tcPr>
            <w:tcW w:w="1287" w:type="dxa"/>
            <w:shd w:val="clear" w:color="auto" w:fill="F2F2F2"/>
            <w:vAlign w:val="center"/>
          </w:tcPr>
          <w:p w14:paraId="3CA8087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ERRFI1</w:t>
            </w:r>
          </w:p>
        </w:tc>
      </w:tr>
      <w:tr w14:paraId="48111A4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0B1F793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ETV1</w:t>
            </w:r>
          </w:p>
        </w:tc>
        <w:tc>
          <w:tcPr>
            <w:tcW w:w="1283" w:type="dxa"/>
            <w:shd w:val="clear" w:color="auto" w:fill="auto"/>
            <w:vAlign w:val="center"/>
          </w:tcPr>
          <w:p w14:paraId="1FCBDBA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EZH2</w:t>
            </w:r>
          </w:p>
        </w:tc>
        <w:tc>
          <w:tcPr>
            <w:tcW w:w="1283" w:type="dxa"/>
            <w:shd w:val="clear" w:color="auto" w:fill="auto"/>
            <w:vAlign w:val="center"/>
          </w:tcPr>
          <w:p w14:paraId="3DC578E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FAM175A</w:t>
            </w:r>
          </w:p>
        </w:tc>
        <w:tc>
          <w:tcPr>
            <w:tcW w:w="1283" w:type="dxa"/>
            <w:shd w:val="clear" w:color="auto" w:fill="auto"/>
            <w:vAlign w:val="center"/>
          </w:tcPr>
          <w:p w14:paraId="0988767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FANCA</w:t>
            </w:r>
          </w:p>
        </w:tc>
        <w:tc>
          <w:tcPr>
            <w:tcW w:w="1283" w:type="dxa"/>
            <w:shd w:val="clear" w:color="auto" w:fill="auto"/>
            <w:vAlign w:val="center"/>
          </w:tcPr>
          <w:p w14:paraId="7B8B511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FANCC</w:t>
            </w:r>
          </w:p>
        </w:tc>
        <w:tc>
          <w:tcPr>
            <w:tcW w:w="1283" w:type="dxa"/>
            <w:shd w:val="clear" w:color="auto" w:fill="auto"/>
            <w:vAlign w:val="center"/>
          </w:tcPr>
          <w:p w14:paraId="5442C59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FANCD2</w:t>
            </w:r>
          </w:p>
        </w:tc>
        <w:tc>
          <w:tcPr>
            <w:tcW w:w="1287" w:type="dxa"/>
            <w:shd w:val="clear" w:color="auto" w:fill="auto"/>
            <w:vAlign w:val="center"/>
          </w:tcPr>
          <w:p w14:paraId="1AD319F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FANCE</w:t>
            </w:r>
          </w:p>
        </w:tc>
      </w:tr>
      <w:tr w14:paraId="0EA13CE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14:paraId="36B9048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FANCF</w:t>
            </w:r>
          </w:p>
        </w:tc>
        <w:tc>
          <w:tcPr>
            <w:tcW w:w="1283" w:type="dxa"/>
            <w:shd w:val="clear" w:color="auto" w:fill="F2F2F2"/>
            <w:vAlign w:val="center"/>
          </w:tcPr>
          <w:p w14:paraId="61DF1A8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FANCG</w:t>
            </w:r>
          </w:p>
        </w:tc>
        <w:tc>
          <w:tcPr>
            <w:tcW w:w="1283" w:type="dxa"/>
            <w:shd w:val="clear" w:color="auto" w:fill="F2F2F2"/>
            <w:vAlign w:val="center"/>
          </w:tcPr>
          <w:p w14:paraId="18E4814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FANCI</w:t>
            </w:r>
          </w:p>
        </w:tc>
        <w:tc>
          <w:tcPr>
            <w:tcW w:w="1283" w:type="dxa"/>
            <w:shd w:val="clear" w:color="auto" w:fill="F2F2F2"/>
            <w:vAlign w:val="center"/>
          </w:tcPr>
          <w:p w14:paraId="5BD63F1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FANCL</w:t>
            </w:r>
          </w:p>
        </w:tc>
        <w:tc>
          <w:tcPr>
            <w:tcW w:w="1283" w:type="dxa"/>
            <w:shd w:val="clear" w:color="auto" w:fill="F2F2F2"/>
            <w:vAlign w:val="center"/>
          </w:tcPr>
          <w:p w14:paraId="302ACC9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FANCM</w:t>
            </w:r>
          </w:p>
        </w:tc>
        <w:tc>
          <w:tcPr>
            <w:tcW w:w="1283" w:type="dxa"/>
            <w:shd w:val="clear" w:color="auto" w:fill="F2F2F2"/>
            <w:vAlign w:val="center"/>
          </w:tcPr>
          <w:p w14:paraId="49EF3C5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FAT1</w:t>
            </w:r>
          </w:p>
        </w:tc>
        <w:tc>
          <w:tcPr>
            <w:tcW w:w="1287" w:type="dxa"/>
            <w:shd w:val="clear" w:color="auto" w:fill="F2F2F2"/>
            <w:vAlign w:val="center"/>
          </w:tcPr>
          <w:p w14:paraId="3F8AB54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FAT3</w:t>
            </w:r>
          </w:p>
        </w:tc>
      </w:tr>
      <w:tr w14:paraId="658052E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1B4C884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FAT4</w:t>
            </w:r>
          </w:p>
        </w:tc>
        <w:tc>
          <w:tcPr>
            <w:tcW w:w="1283" w:type="dxa"/>
            <w:shd w:val="clear" w:color="auto" w:fill="auto"/>
            <w:vAlign w:val="center"/>
          </w:tcPr>
          <w:p w14:paraId="09E8405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FBXW7</w:t>
            </w:r>
          </w:p>
        </w:tc>
        <w:tc>
          <w:tcPr>
            <w:tcW w:w="1283" w:type="dxa"/>
            <w:shd w:val="clear" w:color="auto" w:fill="auto"/>
            <w:vAlign w:val="center"/>
          </w:tcPr>
          <w:p w14:paraId="22FCA50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FGF19</w:t>
            </w:r>
          </w:p>
        </w:tc>
        <w:tc>
          <w:tcPr>
            <w:tcW w:w="1283" w:type="dxa"/>
            <w:shd w:val="clear" w:color="auto" w:fill="auto"/>
            <w:vAlign w:val="center"/>
          </w:tcPr>
          <w:p w14:paraId="712094D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FGF3</w:t>
            </w:r>
          </w:p>
        </w:tc>
        <w:tc>
          <w:tcPr>
            <w:tcW w:w="1283" w:type="dxa"/>
            <w:shd w:val="clear" w:color="auto" w:fill="auto"/>
            <w:vAlign w:val="center"/>
          </w:tcPr>
          <w:p w14:paraId="76FC136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FGF4</w:t>
            </w:r>
          </w:p>
        </w:tc>
        <w:tc>
          <w:tcPr>
            <w:tcW w:w="1283" w:type="dxa"/>
            <w:shd w:val="clear" w:color="auto" w:fill="auto"/>
            <w:vAlign w:val="center"/>
          </w:tcPr>
          <w:p w14:paraId="69672CB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FGFR1</w:t>
            </w:r>
          </w:p>
        </w:tc>
        <w:tc>
          <w:tcPr>
            <w:tcW w:w="1287" w:type="dxa"/>
            <w:shd w:val="clear" w:color="auto" w:fill="auto"/>
            <w:vAlign w:val="center"/>
          </w:tcPr>
          <w:p w14:paraId="0F05DC6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FGFR2</w:t>
            </w:r>
          </w:p>
        </w:tc>
      </w:tr>
      <w:tr w14:paraId="1E72267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44C3B50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FGFR3</w:t>
            </w:r>
          </w:p>
        </w:tc>
        <w:tc>
          <w:tcPr>
            <w:tcW w:w="1283" w:type="dxa"/>
            <w:shd w:val="clear" w:color="auto" w:fill="F2F2F2"/>
            <w:vAlign w:val="center"/>
          </w:tcPr>
          <w:p w14:paraId="352D094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FH</w:t>
            </w:r>
          </w:p>
        </w:tc>
        <w:tc>
          <w:tcPr>
            <w:tcW w:w="1283" w:type="dxa"/>
            <w:shd w:val="clear" w:color="auto" w:fill="F2F2F2"/>
            <w:vAlign w:val="center"/>
          </w:tcPr>
          <w:p w14:paraId="470CBCA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FLCN</w:t>
            </w:r>
          </w:p>
        </w:tc>
        <w:tc>
          <w:tcPr>
            <w:tcW w:w="1283" w:type="dxa"/>
            <w:shd w:val="clear" w:color="auto" w:fill="F2F2F2"/>
            <w:vAlign w:val="center"/>
          </w:tcPr>
          <w:p w14:paraId="21ECE01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FLI1</w:t>
            </w:r>
          </w:p>
        </w:tc>
        <w:tc>
          <w:tcPr>
            <w:tcW w:w="1283" w:type="dxa"/>
            <w:shd w:val="clear" w:color="auto" w:fill="F2F2F2"/>
            <w:vAlign w:val="center"/>
          </w:tcPr>
          <w:p w14:paraId="106CA8D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FLT1</w:t>
            </w:r>
          </w:p>
        </w:tc>
        <w:tc>
          <w:tcPr>
            <w:tcW w:w="1283" w:type="dxa"/>
            <w:shd w:val="clear" w:color="auto" w:fill="F2F2F2"/>
            <w:vAlign w:val="center"/>
          </w:tcPr>
          <w:p w14:paraId="0A02C5A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FLT3</w:t>
            </w:r>
          </w:p>
        </w:tc>
        <w:tc>
          <w:tcPr>
            <w:tcW w:w="1287" w:type="dxa"/>
            <w:shd w:val="clear" w:color="auto" w:fill="F2F2F2"/>
            <w:vAlign w:val="center"/>
          </w:tcPr>
          <w:p w14:paraId="08E2CFA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FLT4</w:t>
            </w:r>
          </w:p>
        </w:tc>
      </w:tr>
      <w:tr w14:paraId="63CA29D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14:paraId="3BC43F3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FOXL2</w:t>
            </w:r>
          </w:p>
        </w:tc>
        <w:tc>
          <w:tcPr>
            <w:tcW w:w="1283" w:type="dxa"/>
            <w:shd w:val="clear" w:color="auto" w:fill="auto"/>
            <w:vAlign w:val="center"/>
          </w:tcPr>
          <w:p w14:paraId="47BBABB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FOXP1</w:t>
            </w:r>
          </w:p>
        </w:tc>
        <w:tc>
          <w:tcPr>
            <w:tcW w:w="1283" w:type="dxa"/>
            <w:shd w:val="clear" w:color="auto" w:fill="auto"/>
            <w:vAlign w:val="center"/>
          </w:tcPr>
          <w:p w14:paraId="39B74E5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FUBP1</w:t>
            </w:r>
          </w:p>
        </w:tc>
        <w:tc>
          <w:tcPr>
            <w:tcW w:w="1283" w:type="dxa"/>
            <w:shd w:val="clear" w:color="auto" w:fill="auto"/>
            <w:vAlign w:val="center"/>
          </w:tcPr>
          <w:p w14:paraId="0747E0C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GALNT12</w:t>
            </w:r>
          </w:p>
        </w:tc>
        <w:tc>
          <w:tcPr>
            <w:tcW w:w="1283" w:type="dxa"/>
            <w:shd w:val="clear" w:color="auto" w:fill="auto"/>
            <w:vAlign w:val="center"/>
          </w:tcPr>
          <w:p w14:paraId="04F8F35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GNA11</w:t>
            </w:r>
          </w:p>
        </w:tc>
        <w:tc>
          <w:tcPr>
            <w:tcW w:w="1283" w:type="dxa"/>
            <w:shd w:val="clear" w:color="auto" w:fill="auto"/>
            <w:vAlign w:val="center"/>
          </w:tcPr>
          <w:p w14:paraId="497B5E2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GNAQ</w:t>
            </w:r>
          </w:p>
        </w:tc>
        <w:tc>
          <w:tcPr>
            <w:tcW w:w="1287" w:type="dxa"/>
            <w:shd w:val="clear" w:color="auto" w:fill="auto"/>
            <w:vAlign w:val="center"/>
          </w:tcPr>
          <w:p w14:paraId="03EC239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GNAS</w:t>
            </w:r>
          </w:p>
        </w:tc>
      </w:tr>
      <w:tr w14:paraId="0915376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14:paraId="14A869B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H3F3A</w:t>
            </w:r>
          </w:p>
        </w:tc>
        <w:tc>
          <w:tcPr>
            <w:tcW w:w="1283" w:type="dxa"/>
            <w:shd w:val="clear" w:color="auto" w:fill="F2F2F2"/>
            <w:vAlign w:val="center"/>
          </w:tcPr>
          <w:p w14:paraId="5E58AB2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HDAC4</w:t>
            </w:r>
          </w:p>
        </w:tc>
        <w:tc>
          <w:tcPr>
            <w:tcW w:w="1283" w:type="dxa"/>
            <w:shd w:val="clear" w:color="auto" w:fill="F2F2F2"/>
            <w:vAlign w:val="center"/>
          </w:tcPr>
          <w:p w14:paraId="6A119AE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HDAC7</w:t>
            </w:r>
          </w:p>
        </w:tc>
        <w:tc>
          <w:tcPr>
            <w:tcW w:w="1283" w:type="dxa"/>
            <w:shd w:val="clear" w:color="auto" w:fill="F2F2F2"/>
            <w:vAlign w:val="center"/>
          </w:tcPr>
          <w:p w14:paraId="0AB6FDE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HDAC9</w:t>
            </w:r>
          </w:p>
        </w:tc>
        <w:tc>
          <w:tcPr>
            <w:tcW w:w="1283" w:type="dxa"/>
            <w:shd w:val="clear" w:color="auto" w:fill="F2F2F2"/>
            <w:vAlign w:val="center"/>
          </w:tcPr>
          <w:p w14:paraId="7065B6B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HIF1A</w:t>
            </w:r>
          </w:p>
        </w:tc>
        <w:tc>
          <w:tcPr>
            <w:tcW w:w="1283" w:type="dxa"/>
            <w:shd w:val="clear" w:color="auto" w:fill="F2F2F2"/>
            <w:vAlign w:val="center"/>
          </w:tcPr>
          <w:p w14:paraId="578D454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HIRA</w:t>
            </w:r>
          </w:p>
        </w:tc>
        <w:tc>
          <w:tcPr>
            <w:tcW w:w="1287" w:type="dxa"/>
            <w:shd w:val="clear" w:color="auto" w:fill="F2F2F2"/>
            <w:vAlign w:val="center"/>
          </w:tcPr>
          <w:p w14:paraId="0D6541B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HIST1H1B</w:t>
            </w:r>
          </w:p>
        </w:tc>
      </w:tr>
      <w:tr w14:paraId="4588EE9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08D737C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HIST1H1C</w:t>
            </w:r>
          </w:p>
        </w:tc>
        <w:tc>
          <w:tcPr>
            <w:tcW w:w="1283" w:type="dxa"/>
            <w:shd w:val="clear" w:color="auto" w:fill="auto"/>
            <w:vAlign w:val="center"/>
          </w:tcPr>
          <w:p w14:paraId="6A067D3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HIST1H1D</w:t>
            </w:r>
          </w:p>
        </w:tc>
        <w:tc>
          <w:tcPr>
            <w:tcW w:w="1283" w:type="dxa"/>
            <w:shd w:val="clear" w:color="auto" w:fill="auto"/>
            <w:vAlign w:val="center"/>
          </w:tcPr>
          <w:p w14:paraId="48FB93E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HIST1H1E</w:t>
            </w:r>
          </w:p>
        </w:tc>
        <w:tc>
          <w:tcPr>
            <w:tcW w:w="1283" w:type="dxa"/>
            <w:shd w:val="clear" w:color="auto" w:fill="auto"/>
            <w:vAlign w:val="center"/>
          </w:tcPr>
          <w:p w14:paraId="3FC0968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HIST1H2AL</w:t>
            </w:r>
          </w:p>
        </w:tc>
        <w:tc>
          <w:tcPr>
            <w:tcW w:w="1283" w:type="dxa"/>
            <w:shd w:val="clear" w:color="auto" w:fill="auto"/>
            <w:vAlign w:val="center"/>
          </w:tcPr>
          <w:p w14:paraId="0B9FECC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HIST1H2AM</w:t>
            </w:r>
          </w:p>
        </w:tc>
        <w:tc>
          <w:tcPr>
            <w:tcW w:w="1283" w:type="dxa"/>
            <w:shd w:val="clear" w:color="auto" w:fill="auto"/>
            <w:vAlign w:val="center"/>
          </w:tcPr>
          <w:p w14:paraId="54C4D98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HIST1H2BC</w:t>
            </w:r>
          </w:p>
        </w:tc>
        <w:tc>
          <w:tcPr>
            <w:tcW w:w="1287" w:type="dxa"/>
            <w:shd w:val="clear" w:color="auto" w:fill="auto"/>
            <w:vAlign w:val="center"/>
          </w:tcPr>
          <w:p w14:paraId="0157B09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HIST1H2BD</w:t>
            </w:r>
          </w:p>
        </w:tc>
      </w:tr>
      <w:tr w14:paraId="14C29DB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0C27150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HIST1H2BG</w:t>
            </w:r>
          </w:p>
        </w:tc>
        <w:tc>
          <w:tcPr>
            <w:tcW w:w="1283" w:type="dxa"/>
            <w:shd w:val="clear" w:color="auto" w:fill="F2F2F2"/>
            <w:vAlign w:val="center"/>
          </w:tcPr>
          <w:p w14:paraId="4CE2829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HIST1H2BJ</w:t>
            </w:r>
          </w:p>
        </w:tc>
        <w:tc>
          <w:tcPr>
            <w:tcW w:w="1283" w:type="dxa"/>
            <w:shd w:val="clear" w:color="auto" w:fill="F2F2F2"/>
            <w:vAlign w:val="center"/>
          </w:tcPr>
          <w:p w14:paraId="2BFC6C5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HIST1H2BK</w:t>
            </w:r>
          </w:p>
        </w:tc>
        <w:tc>
          <w:tcPr>
            <w:tcW w:w="1283" w:type="dxa"/>
            <w:shd w:val="clear" w:color="auto" w:fill="F2F2F2"/>
            <w:vAlign w:val="center"/>
          </w:tcPr>
          <w:p w14:paraId="0340808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HIST1H2BO</w:t>
            </w:r>
          </w:p>
        </w:tc>
        <w:tc>
          <w:tcPr>
            <w:tcW w:w="1283" w:type="dxa"/>
            <w:shd w:val="clear" w:color="auto" w:fill="F2F2F2"/>
            <w:vAlign w:val="center"/>
          </w:tcPr>
          <w:p w14:paraId="28DD78A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HIST1H3A</w:t>
            </w:r>
          </w:p>
        </w:tc>
        <w:tc>
          <w:tcPr>
            <w:tcW w:w="1283" w:type="dxa"/>
            <w:shd w:val="clear" w:color="auto" w:fill="F2F2F2"/>
            <w:vAlign w:val="center"/>
          </w:tcPr>
          <w:p w14:paraId="5ADC912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HIST1H3B</w:t>
            </w:r>
          </w:p>
        </w:tc>
        <w:tc>
          <w:tcPr>
            <w:tcW w:w="1287" w:type="dxa"/>
            <w:shd w:val="clear" w:color="auto" w:fill="F2F2F2"/>
            <w:vAlign w:val="center"/>
          </w:tcPr>
          <w:p w14:paraId="4600C60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HIST1H3C</w:t>
            </w:r>
          </w:p>
        </w:tc>
      </w:tr>
      <w:tr w14:paraId="2912B43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2DE5187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HIST1H3D</w:t>
            </w:r>
          </w:p>
        </w:tc>
        <w:tc>
          <w:tcPr>
            <w:tcW w:w="1283" w:type="dxa"/>
            <w:shd w:val="clear" w:color="auto" w:fill="auto"/>
            <w:vAlign w:val="center"/>
          </w:tcPr>
          <w:p w14:paraId="1510572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HIST1H3E</w:t>
            </w:r>
          </w:p>
        </w:tc>
        <w:tc>
          <w:tcPr>
            <w:tcW w:w="1283" w:type="dxa"/>
            <w:shd w:val="clear" w:color="auto" w:fill="auto"/>
            <w:vAlign w:val="center"/>
          </w:tcPr>
          <w:p w14:paraId="5D51ECD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HIST1H3F</w:t>
            </w:r>
          </w:p>
        </w:tc>
        <w:tc>
          <w:tcPr>
            <w:tcW w:w="1283" w:type="dxa"/>
            <w:shd w:val="clear" w:color="auto" w:fill="auto"/>
            <w:vAlign w:val="center"/>
          </w:tcPr>
          <w:p w14:paraId="1B4CEE5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HIST1H3G</w:t>
            </w:r>
          </w:p>
        </w:tc>
        <w:tc>
          <w:tcPr>
            <w:tcW w:w="1283" w:type="dxa"/>
            <w:shd w:val="clear" w:color="auto" w:fill="auto"/>
            <w:vAlign w:val="center"/>
          </w:tcPr>
          <w:p w14:paraId="1ECAE48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HIST1H3H</w:t>
            </w:r>
          </w:p>
        </w:tc>
        <w:tc>
          <w:tcPr>
            <w:tcW w:w="1283" w:type="dxa"/>
            <w:shd w:val="clear" w:color="auto" w:fill="auto"/>
            <w:vAlign w:val="center"/>
          </w:tcPr>
          <w:p w14:paraId="29A0CC7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HIST1H3I</w:t>
            </w:r>
          </w:p>
        </w:tc>
        <w:tc>
          <w:tcPr>
            <w:tcW w:w="1287" w:type="dxa"/>
            <w:shd w:val="clear" w:color="auto" w:fill="auto"/>
            <w:vAlign w:val="center"/>
          </w:tcPr>
          <w:p w14:paraId="01E8D5E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HIST1H3J</w:t>
            </w:r>
          </w:p>
        </w:tc>
      </w:tr>
      <w:tr w14:paraId="00C503F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1325B44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HIST1H4I</w:t>
            </w:r>
          </w:p>
        </w:tc>
        <w:tc>
          <w:tcPr>
            <w:tcW w:w="1283" w:type="dxa"/>
            <w:shd w:val="clear" w:color="auto" w:fill="F2F2F2"/>
            <w:vAlign w:val="center"/>
          </w:tcPr>
          <w:p w14:paraId="1C4DD9C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HIST3H3</w:t>
            </w:r>
          </w:p>
        </w:tc>
        <w:tc>
          <w:tcPr>
            <w:tcW w:w="1283" w:type="dxa"/>
            <w:shd w:val="clear" w:color="auto" w:fill="F2F2F2"/>
            <w:vAlign w:val="center"/>
          </w:tcPr>
          <w:p w14:paraId="4482487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HLA-A</w:t>
            </w:r>
          </w:p>
        </w:tc>
        <w:tc>
          <w:tcPr>
            <w:tcW w:w="1283" w:type="dxa"/>
            <w:shd w:val="clear" w:color="auto" w:fill="F2F2F2"/>
            <w:vAlign w:val="center"/>
          </w:tcPr>
          <w:p w14:paraId="53A2BA7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HLA-B</w:t>
            </w:r>
          </w:p>
        </w:tc>
        <w:tc>
          <w:tcPr>
            <w:tcW w:w="1283" w:type="dxa"/>
            <w:shd w:val="clear" w:color="auto" w:fill="F2F2F2"/>
            <w:vAlign w:val="center"/>
          </w:tcPr>
          <w:p w14:paraId="519C86B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HLA-C</w:t>
            </w:r>
          </w:p>
        </w:tc>
        <w:tc>
          <w:tcPr>
            <w:tcW w:w="1283" w:type="dxa"/>
            <w:shd w:val="clear" w:color="auto" w:fill="F2F2F2"/>
            <w:vAlign w:val="center"/>
          </w:tcPr>
          <w:p w14:paraId="693812A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HLA-DPA1</w:t>
            </w:r>
          </w:p>
        </w:tc>
        <w:tc>
          <w:tcPr>
            <w:tcW w:w="1287" w:type="dxa"/>
            <w:shd w:val="clear" w:color="auto" w:fill="F2F2F2"/>
            <w:vAlign w:val="center"/>
          </w:tcPr>
          <w:p w14:paraId="1AE6CAA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HLA-DPB1</w:t>
            </w:r>
          </w:p>
        </w:tc>
      </w:tr>
      <w:tr w14:paraId="1FD2846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24FD4B2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HLA-DQA1</w:t>
            </w:r>
          </w:p>
        </w:tc>
        <w:tc>
          <w:tcPr>
            <w:tcW w:w="1283" w:type="dxa"/>
            <w:shd w:val="clear" w:color="auto" w:fill="auto"/>
            <w:vAlign w:val="center"/>
          </w:tcPr>
          <w:p w14:paraId="2366A8E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HLA-DQB1</w:t>
            </w:r>
          </w:p>
        </w:tc>
        <w:tc>
          <w:tcPr>
            <w:tcW w:w="1283" w:type="dxa"/>
            <w:shd w:val="clear" w:color="auto" w:fill="auto"/>
            <w:vAlign w:val="center"/>
          </w:tcPr>
          <w:p w14:paraId="00E94D8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HLA-DRB1</w:t>
            </w:r>
          </w:p>
        </w:tc>
        <w:tc>
          <w:tcPr>
            <w:tcW w:w="1283" w:type="dxa"/>
            <w:shd w:val="clear" w:color="auto" w:fill="auto"/>
            <w:vAlign w:val="center"/>
          </w:tcPr>
          <w:p w14:paraId="708428A7">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HLA-DRB5</w:t>
            </w:r>
          </w:p>
        </w:tc>
        <w:tc>
          <w:tcPr>
            <w:tcW w:w="1283" w:type="dxa"/>
            <w:shd w:val="clear" w:color="auto" w:fill="auto"/>
            <w:vAlign w:val="center"/>
          </w:tcPr>
          <w:p w14:paraId="6D66533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HLA-G</w:t>
            </w:r>
          </w:p>
        </w:tc>
        <w:tc>
          <w:tcPr>
            <w:tcW w:w="1283" w:type="dxa"/>
            <w:shd w:val="clear" w:color="auto" w:fill="auto"/>
            <w:vAlign w:val="center"/>
          </w:tcPr>
          <w:p w14:paraId="07E6BC8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HNF1A</w:t>
            </w:r>
          </w:p>
        </w:tc>
        <w:tc>
          <w:tcPr>
            <w:tcW w:w="1287" w:type="dxa"/>
            <w:shd w:val="clear" w:color="auto" w:fill="auto"/>
            <w:vAlign w:val="center"/>
          </w:tcPr>
          <w:p w14:paraId="79D76B0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HOXB13</w:t>
            </w:r>
          </w:p>
        </w:tc>
      </w:tr>
      <w:tr w14:paraId="3E84720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5FDD08B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HRAS</w:t>
            </w:r>
          </w:p>
        </w:tc>
        <w:tc>
          <w:tcPr>
            <w:tcW w:w="1283" w:type="dxa"/>
            <w:shd w:val="clear" w:color="auto" w:fill="F2F2F2"/>
            <w:vAlign w:val="center"/>
          </w:tcPr>
          <w:p w14:paraId="4538730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IDH1</w:t>
            </w:r>
          </w:p>
        </w:tc>
        <w:tc>
          <w:tcPr>
            <w:tcW w:w="1283" w:type="dxa"/>
            <w:shd w:val="clear" w:color="auto" w:fill="F2F2F2"/>
            <w:vAlign w:val="center"/>
          </w:tcPr>
          <w:p w14:paraId="5DA4ECB7">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IDH2</w:t>
            </w:r>
          </w:p>
        </w:tc>
        <w:tc>
          <w:tcPr>
            <w:tcW w:w="1283" w:type="dxa"/>
            <w:shd w:val="clear" w:color="auto" w:fill="F2F2F2"/>
            <w:vAlign w:val="center"/>
          </w:tcPr>
          <w:p w14:paraId="1AB5F8C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IFNGR1</w:t>
            </w:r>
          </w:p>
        </w:tc>
        <w:tc>
          <w:tcPr>
            <w:tcW w:w="1283" w:type="dxa"/>
            <w:shd w:val="clear" w:color="auto" w:fill="F2F2F2"/>
            <w:vAlign w:val="center"/>
          </w:tcPr>
          <w:p w14:paraId="7F95F22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IFNGR2</w:t>
            </w:r>
          </w:p>
        </w:tc>
        <w:tc>
          <w:tcPr>
            <w:tcW w:w="1283" w:type="dxa"/>
            <w:shd w:val="clear" w:color="auto" w:fill="F2F2F2"/>
            <w:vAlign w:val="center"/>
          </w:tcPr>
          <w:p w14:paraId="3A84F33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IGF1R</w:t>
            </w:r>
          </w:p>
        </w:tc>
        <w:tc>
          <w:tcPr>
            <w:tcW w:w="1287" w:type="dxa"/>
            <w:shd w:val="clear" w:color="auto" w:fill="F2F2F2"/>
            <w:vAlign w:val="center"/>
          </w:tcPr>
          <w:p w14:paraId="343BCFF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INPP4A</w:t>
            </w:r>
          </w:p>
        </w:tc>
      </w:tr>
      <w:tr w14:paraId="7076E34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45E4B6E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INPPL1</w:t>
            </w:r>
          </w:p>
        </w:tc>
        <w:tc>
          <w:tcPr>
            <w:tcW w:w="1283" w:type="dxa"/>
            <w:shd w:val="clear" w:color="auto" w:fill="auto"/>
            <w:vAlign w:val="center"/>
          </w:tcPr>
          <w:p w14:paraId="255B62F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INSR</w:t>
            </w:r>
          </w:p>
        </w:tc>
        <w:tc>
          <w:tcPr>
            <w:tcW w:w="1283" w:type="dxa"/>
            <w:shd w:val="clear" w:color="auto" w:fill="auto"/>
            <w:vAlign w:val="center"/>
          </w:tcPr>
          <w:p w14:paraId="0FC4B5B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IRS1</w:t>
            </w:r>
          </w:p>
        </w:tc>
        <w:tc>
          <w:tcPr>
            <w:tcW w:w="1283" w:type="dxa"/>
            <w:shd w:val="clear" w:color="auto" w:fill="auto"/>
            <w:vAlign w:val="center"/>
          </w:tcPr>
          <w:p w14:paraId="5F75AE5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JAK1</w:t>
            </w:r>
          </w:p>
        </w:tc>
        <w:tc>
          <w:tcPr>
            <w:tcW w:w="1283" w:type="dxa"/>
            <w:shd w:val="clear" w:color="auto" w:fill="auto"/>
            <w:vAlign w:val="center"/>
          </w:tcPr>
          <w:p w14:paraId="3D6101F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JAK2</w:t>
            </w:r>
          </w:p>
        </w:tc>
        <w:tc>
          <w:tcPr>
            <w:tcW w:w="1283" w:type="dxa"/>
            <w:shd w:val="clear" w:color="auto" w:fill="auto"/>
            <w:vAlign w:val="center"/>
          </w:tcPr>
          <w:p w14:paraId="74358DB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JAK3</w:t>
            </w:r>
          </w:p>
        </w:tc>
        <w:tc>
          <w:tcPr>
            <w:tcW w:w="1287" w:type="dxa"/>
            <w:shd w:val="clear" w:color="auto" w:fill="auto"/>
            <w:vAlign w:val="center"/>
          </w:tcPr>
          <w:p w14:paraId="2C48C7B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JUN</w:t>
            </w:r>
          </w:p>
        </w:tc>
      </w:tr>
      <w:tr w14:paraId="730DDCE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1A2631C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KAT6A</w:t>
            </w:r>
          </w:p>
        </w:tc>
        <w:tc>
          <w:tcPr>
            <w:tcW w:w="1283" w:type="dxa"/>
            <w:shd w:val="clear" w:color="auto" w:fill="F2F2F2"/>
            <w:vAlign w:val="center"/>
          </w:tcPr>
          <w:p w14:paraId="1BD4FAB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KDM2B</w:t>
            </w:r>
          </w:p>
        </w:tc>
        <w:tc>
          <w:tcPr>
            <w:tcW w:w="1283" w:type="dxa"/>
            <w:shd w:val="clear" w:color="auto" w:fill="F2F2F2"/>
            <w:vAlign w:val="center"/>
          </w:tcPr>
          <w:p w14:paraId="5241FD9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KDM4C</w:t>
            </w:r>
          </w:p>
        </w:tc>
        <w:tc>
          <w:tcPr>
            <w:tcW w:w="1283" w:type="dxa"/>
            <w:shd w:val="clear" w:color="auto" w:fill="F2F2F2"/>
            <w:vAlign w:val="center"/>
          </w:tcPr>
          <w:p w14:paraId="355972D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KDM5A</w:t>
            </w:r>
          </w:p>
        </w:tc>
        <w:tc>
          <w:tcPr>
            <w:tcW w:w="1283" w:type="dxa"/>
            <w:shd w:val="clear" w:color="auto" w:fill="F2F2F2"/>
            <w:vAlign w:val="center"/>
          </w:tcPr>
          <w:p w14:paraId="5ADFE4D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KDM6A</w:t>
            </w:r>
          </w:p>
        </w:tc>
        <w:tc>
          <w:tcPr>
            <w:tcW w:w="1283" w:type="dxa"/>
            <w:shd w:val="clear" w:color="auto" w:fill="F2F2F2"/>
            <w:vAlign w:val="center"/>
          </w:tcPr>
          <w:p w14:paraId="78B869B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KDR</w:t>
            </w:r>
          </w:p>
        </w:tc>
        <w:tc>
          <w:tcPr>
            <w:tcW w:w="1287" w:type="dxa"/>
            <w:shd w:val="clear" w:color="auto" w:fill="F2F2F2"/>
            <w:vAlign w:val="center"/>
          </w:tcPr>
          <w:p w14:paraId="5C90214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KEAP1</w:t>
            </w:r>
          </w:p>
        </w:tc>
      </w:tr>
      <w:tr w14:paraId="544D735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7C0D4D27">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KEL</w:t>
            </w:r>
          </w:p>
        </w:tc>
        <w:tc>
          <w:tcPr>
            <w:tcW w:w="1283" w:type="dxa"/>
            <w:shd w:val="clear" w:color="auto" w:fill="auto"/>
            <w:vAlign w:val="center"/>
          </w:tcPr>
          <w:p w14:paraId="2407008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KIT</w:t>
            </w:r>
          </w:p>
        </w:tc>
        <w:tc>
          <w:tcPr>
            <w:tcW w:w="1283" w:type="dxa"/>
            <w:shd w:val="clear" w:color="auto" w:fill="auto"/>
            <w:vAlign w:val="center"/>
          </w:tcPr>
          <w:p w14:paraId="1B2283D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KMT2A</w:t>
            </w:r>
          </w:p>
        </w:tc>
        <w:tc>
          <w:tcPr>
            <w:tcW w:w="1283" w:type="dxa"/>
            <w:shd w:val="clear" w:color="auto" w:fill="auto"/>
            <w:vAlign w:val="center"/>
          </w:tcPr>
          <w:p w14:paraId="47FBC0B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KMT2B</w:t>
            </w:r>
          </w:p>
        </w:tc>
        <w:tc>
          <w:tcPr>
            <w:tcW w:w="1283" w:type="dxa"/>
            <w:shd w:val="clear" w:color="auto" w:fill="auto"/>
            <w:vAlign w:val="center"/>
          </w:tcPr>
          <w:p w14:paraId="32374B8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KMT2C</w:t>
            </w:r>
          </w:p>
        </w:tc>
        <w:tc>
          <w:tcPr>
            <w:tcW w:w="1283" w:type="dxa"/>
            <w:shd w:val="clear" w:color="auto" w:fill="auto"/>
            <w:vAlign w:val="center"/>
          </w:tcPr>
          <w:p w14:paraId="74E0F74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KMT2D</w:t>
            </w:r>
          </w:p>
        </w:tc>
        <w:tc>
          <w:tcPr>
            <w:tcW w:w="1287" w:type="dxa"/>
            <w:shd w:val="clear" w:color="auto" w:fill="auto"/>
            <w:vAlign w:val="center"/>
          </w:tcPr>
          <w:p w14:paraId="3B0149C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KRAS</w:t>
            </w:r>
          </w:p>
        </w:tc>
      </w:tr>
      <w:tr w14:paraId="69B9EF7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7639CAD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LATS1</w:t>
            </w:r>
          </w:p>
        </w:tc>
        <w:tc>
          <w:tcPr>
            <w:tcW w:w="1283" w:type="dxa"/>
            <w:shd w:val="clear" w:color="auto" w:fill="F2F2F2"/>
            <w:vAlign w:val="center"/>
          </w:tcPr>
          <w:p w14:paraId="103D269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LATS2</w:t>
            </w:r>
          </w:p>
        </w:tc>
        <w:tc>
          <w:tcPr>
            <w:tcW w:w="1283" w:type="dxa"/>
            <w:shd w:val="clear" w:color="auto" w:fill="F2F2F2"/>
            <w:vAlign w:val="center"/>
          </w:tcPr>
          <w:p w14:paraId="43B9314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LBP1B</w:t>
            </w:r>
          </w:p>
        </w:tc>
        <w:tc>
          <w:tcPr>
            <w:tcW w:w="1283" w:type="dxa"/>
            <w:shd w:val="clear" w:color="auto" w:fill="F2F2F2"/>
            <w:vAlign w:val="center"/>
          </w:tcPr>
          <w:p w14:paraId="0DC9B58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LRP1B</w:t>
            </w:r>
          </w:p>
        </w:tc>
        <w:tc>
          <w:tcPr>
            <w:tcW w:w="1283" w:type="dxa"/>
            <w:shd w:val="clear" w:color="auto" w:fill="F2F2F2"/>
            <w:vAlign w:val="center"/>
          </w:tcPr>
          <w:p w14:paraId="52C6673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MAGI2</w:t>
            </w:r>
          </w:p>
        </w:tc>
        <w:tc>
          <w:tcPr>
            <w:tcW w:w="1283" w:type="dxa"/>
            <w:shd w:val="clear" w:color="auto" w:fill="F2F2F2"/>
            <w:vAlign w:val="center"/>
          </w:tcPr>
          <w:p w14:paraId="383DDC7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MAP2K1</w:t>
            </w:r>
          </w:p>
        </w:tc>
        <w:tc>
          <w:tcPr>
            <w:tcW w:w="1287" w:type="dxa"/>
            <w:shd w:val="clear" w:color="auto" w:fill="F2F2F2"/>
            <w:vAlign w:val="center"/>
          </w:tcPr>
          <w:p w14:paraId="7AA0B6B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MAP2K2</w:t>
            </w:r>
          </w:p>
        </w:tc>
      </w:tr>
      <w:tr w14:paraId="71C6AC1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0D414D7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MAP2K7</w:t>
            </w:r>
          </w:p>
        </w:tc>
        <w:tc>
          <w:tcPr>
            <w:tcW w:w="1283" w:type="dxa"/>
            <w:shd w:val="clear" w:color="auto" w:fill="auto"/>
            <w:vAlign w:val="center"/>
          </w:tcPr>
          <w:p w14:paraId="07E2B30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MAP3K13</w:t>
            </w:r>
          </w:p>
        </w:tc>
        <w:tc>
          <w:tcPr>
            <w:tcW w:w="1283" w:type="dxa"/>
            <w:shd w:val="clear" w:color="auto" w:fill="auto"/>
            <w:vAlign w:val="center"/>
          </w:tcPr>
          <w:p w14:paraId="12D18D8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MAP3K4</w:t>
            </w:r>
          </w:p>
        </w:tc>
        <w:tc>
          <w:tcPr>
            <w:tcW w:w="1283" w:type="dxa"/>
            <w:shd w:val="clear" w:color="auto" w:fill="auto"/>
            <w:vAlign w:val="center"/>
          </w:tcPr>
          <w:p w14:paraId="05BAC38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MAP3K6</w:t>
            </w:r>
          </w:p>
        </w:tc>
        <w:tc>
          <w:tcPr>
            <w:tcW w:w="1283" w:type="dxa"/>
            <w:shd w:val="clear" w:color="auto" w:fill="auto"/>
            <w:vAlign w:val="center"/>
          </w:tcPr>
          <w:p w14:paraId="0655047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MAPK1</w:t>
            </w:r>
          </w:p>
        </w:tc>
        <w:tc>
          <w:tcPr>
            <w:tcW w:w="1283" w:type="dxa"/>
            <w:shd w:val="clear" w:color="auto" w:fill="auto"/>
            <w:vAlign w:val="center"/>
          </w:tcPr>
          <w:p w14:paraId="6BA24E8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MAPK3</w:t>
            </w:r>
          </w:p>
        </w:tc>
        <w:tc>
          <w:tcPr>
            <w:tcW w:w="1287" w:type="dxa"/>
            <w:shd w:val="clear" w:color="auto" w:fill="auto"/>
            <w:vAlign w:val="center"/>
          </w:tcPr>
          <w:p w14:paraId="6D3B6C9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MAX</w:t>
            </w:r>
          </w:p>
        </w:tc>
      </w:tr>
      <w:tr w14:paraId="070EF17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48C1F57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MDM2</w:t>
            </w:r>
          </w:p>
        </w:tc>
        <w:tc>
          <w:tcPr>
            <w:tcW w:w="1283" w:type="dxa"/>
            <w:shd w:val="clear" w:color="auto" w:fill="F2F2F2"/>
            <w:vAlign w:val="center"/>
          </w:tcPr>
          <w:p w14:paraId="426A0B0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MDM4</w:t>
            </w:r>
          </w:p>
        </w:tc>
        <w:tc>
          <w:tcPr>
            <w:tcW w:w="1283" w:type="dxa"/>
            <w:shd w:val="clear" w:color="auto" w:fill="F2F2F2"/>
            <w:vAlign w:val="center"/>
          </w:tcPr>
          <w:p w14:paraId="30CE517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MED12</w:t>
            </w:r>
          </w:p>
        </w:tc>
        <w:tc>
          <w:tcPr>
            <w:tcW w:w="1283" w:type="dxa"/>
            <w:shd w:val="clear" w:color="auto" w:fill="F2F2F2"/>
            <w:vAlign w:val="center"/>
          </w:tcPr>
          <w:p w14:paraId="100AAFB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MET</w:t>
            </w:r>
          </w:p>
        </w:tc>
        <w:tc>
          <w:tcPr>
            <w:tcW w:w="1283" w:type="dxa"/>
            <w:shd w:val="clear" w:color="auto" w:fill="F2F2F2"/>
            <w:vAlign w:val="center"/>
          </w:tcPr>
          <w:p w14:paraId="550C754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MGA</w:t>
            </w:r>
          </w:p>
        </w:tc>
        <w:tc>
          <w:tcPr>
            <w:tcW w:w="1283" w:type="dxa"/>
            <w:shd w:val="clear" w:color="auto" w:fill="F2F2F2"/>
            <w:vAlign w:val="center"/>
          </w:tcPr>
          <w:p w14:paraId="405400D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MGAM</w:t>
            </w:r>
          </w:p>
        </w:tc>
        <w:tc>
          <w:tcPr>
            <w:tcW w:w="1287" w:type="dxa"/>
            <w:shd w:val="clear" w:color="auto" w:fill="F2F2F2"/>
            <w:vAlign w:val="center"/>
          </w:tcPr>
          <w:p w14:paraId="245C66C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MLH1</w:t>
            </w:r>
          </w:p>
        </w:tc>
      </w:tr>
      <w:tr w14:paraId="253F044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14:paraId="6EF8484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MLH3</w:t>
            </w:r>
          </w:p>
        </w:tc>
        <w:tc>
          <w:tcPr>
            <w:tcW w:w="1283" w:type="dxa"/>
            <w:shd w:val="clear" w:color="auto" w:fill="auto"/>
            <w:vAlign w:val="center"/>
          </w:tcPr>
          <w:p w14:paraId="1B38A89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MPL</w:t>
            </w:r>
          </w:p>
        </w:tc>
        <w:tc>
          <w:tcPr>
            <w:tcW w:w="1283" w:type="dxa"/>
            <w:shd w:val="clear" w:color="auto" w:fill="auto"/>
            <w:vAlign w:val="center"/>
          </w:tcPr>
          <w:p w14:paraId="16CB89D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MRE11A</w:t>
            </w:r>
          </w:p>
        </w:tc>
        <w:tc>
          <w:tcPr>
            <w:tcW w:w="1283" w:type="dxa"/>
            <w:shd w:val="clear" w:color="auto" w:fill="auto"/>
            <w:vAlign w:val="center"/>
          </w:tcPr>
          <w:p w14:paraId="33AADB4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MSH2</w:t>
            </w:r>
          </w:p>
        </w:tc>
        <w:tc>
          <w:tcPr>
            <w:tcW w:w="1283" w:type="dxa"/>
            <w:shd w:val="clear" w:color="auto" w:fill="auto"/>
            <w:vAlign w:val="center"/>
          </w:tcPr>
          <w:p w14:paraId="4945850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MSH3</w:t>
            </w:r>
          </w:p>
        </w:tc>
        <w:tc>
          <w:tcPr>
            <w:tcW w:w="1283" w:type="dxa"/>
            <w:shd w:val="clear" w:color="auto" w:fill="auto"/>
            <w:vAlign w:val="center"/>
          </w:tcPr>
          <w:p w14:paraId="35E5782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MSH6</w:t>
            </w:r>
          </w:p>
        </w:tc>
        <w:tc>
          <w:tcPr>
            <w:tcW w:w="1287" w:type="dxa"/>
            <w:shd w:val="clear" w:color="auto" w:fill="auto"/>
            <w:vAlign w:val="center"/>
          </w:tcPr>
          <w:p w14:paraId="45E257C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MTOR</w:t>
            </w:r>
          </w:p>
        </w:tc>
      </w:tr>
      <w:tr w14:paraId="13E1B4C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10380FB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MUC1</w:t>
            </w:r>
          </w:p>
        </w:tc>
        <w:tc>
          <w:tcPr>
            <w:tcW w:w="1283" w:type="dxa"/>
            <w:shd w:val="clear" w:color="auto" w:fill="F2F2F2"/>
            <w:vAlign w:val="center"/>
          </w:tcPr>
          <w:p w14:paraId="7802408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MUTYH</w:t>
            </w:r>
          </w:p>
        </w:tc>
        <w:tc>
          <w:tcPr>
            <w:tcW w:w="1283" w:type="dxa"/>
            <w:shd w:val="clear" w:color="auto" w:fill="F2F2F2"/>
            <w:vAlign w:val="center"/>
          </w:tcPr>
          <w:p w14:paraId="20192EC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MYB</w:t>
            </w:r>
          </w:p>
        </w:tc>
        <w:tc>
          <w:tcPr>
            <w:tcW w:w="1283" w:type="dxa"/>
            <w:shd w:val="clear" w:color="auto" w:fill="F2F2F2"/>
            <w:vAlign w:val="center"/>
          </w:tcPr>
          <w:p w14:paraId="1F44E48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MYC</w:t>
            </w:r>
          </w:p>
        </w:tc>
        <w:tc>
          <w:tcPr>
            <w:tcW w:w="1283" w:type="dxa"/>
            <w:shd w:val="clear" w:color="auto" w:fill="F2F2F2"/>
            <w:vAlign w:val="center"/>
          </w:tcPr>
          <w:p w14:paraId="42CBC40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MYCN</w:t>
            </w:r>
          </w:p>
        </w:tc>
        <w:tc>
          <w:tcPr>
            <w:tcW w:w="1283" w:type="dxa"/>
            <w:shd w:val="clear" w:color="auto" w:fill="F2F2F2"/>
            <w:vAlign w:val="center"/>
          </w:tcPr>
          <w:p w14:paraId="756411C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MYD88</w:t>
            </w:r>
          </w:p>
        </w:tc>
        <w:tc>
          <w:tcPr>
            <w:tcW w:w="1287" w:type="dxa"/>
            <w:shd w:val="clear" w:color="auto" w:fill="F2F2F2"/>
            <w:vAlign w:val="center"/>
          </w:tcPr>
          <w:p w14:paraId="7DE3A9F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MYH11</w:t>
            </w:r>
          </w:p>
        </w:tc>
      </w:tr>
      <w:tr w14:paraId="46634C6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14:paraId="5979765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NBN</w:t>
            </w:r>
          </w:p>
        </w:tc>
        <w:tc>
          <w:tcPr>
            <w:tcW w:w="1283" w:type="dxa"/>
            <w:shd w:val="clear" w:color="auto" w:fill="auto"/>
            <w:vAlign w:val="center"/>
          </w:tcPr>
          <w:p w14:paraId="101A2DB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NCOA4</w:t>
            </w:r>
          </w:p>
        </w:tc>
        <w:tc>
          <w:tcPr>
            <w:tcW w:w="1283" w:type="dxa"/>
            <w:shd w:val="clear" w:color="auto" w:fill="auto"/>
            <w:vAlign w:val="center"/>
          </w:tcPr>
          <w:p w14:paraId="5501DD9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NCOR1</w:t>
            </w:r>
          </w:p>
        </w:tc>
        <w:tc>
          <w:tcPr>
            <w:tcW w:w="1283" w:type="dxa"/>
            <w:shd w:val="clear" w:color="auto" w:fill="auto"/>
            <w:vAlign w:val="center"/>
          </w:tcPr>
          <w:p w14:paraId="60FA534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NCOR2</w:t>
            </w:r>
          </w:p>
        </w:tc>
        <w:tc>
          <w:tcPr>
            <w:tcW w:w="1283" w:type="dxa"/>
            <w:shd w:val="clear" w:color="auto" w:fill="auto"/>
            <w:vAlign w:val="center"/>
          </w:tcPr>
          <w:p w14:paraId="375BDDA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NF1</w:t>
            </w:r>
          </w:p>
        </w:tc>
        <w:tc>
          <w:tcPr>
            <w:tcW w:w="1283" w:type="dxa"/>
            <w:shd w:val="clear" w:color="auto" w:fill="auto"/>
            <w:vAlign w:val="center"/>
          </w:tcPr>
          <w:p w14:paraId="628B924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NF2</w:t>
            </w:r>
          </w:p>
        </w:tc>
        <w:tc>
          <w:tcPr>
            <w:tcW w:w="1287" w:type="dxa"/>
            <w:shd w:val="clear" w:color="auto" w:fill="auto"/>
            <w:vAlign w:val="center"/>
          </w:tcPr>
          <w:p w14:paraId="7453DE6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NOTCH1</w:t>
            </w:r>
          </w:p>
        </w:tc>
      </w:tr>
      <w:tr w14:paraId="113D7A4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2552BDB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NOTCH2</w:t>
            </w:r>
          </w:p>
        </w:tc>
        <w:tc>
          <w:tcPr>
            <w:tcW w:w="1283" w:type="dxa"/>
            <w:shd w:val="clear" w:color="auto" w:fill="F2F2F2"/>
            <w:vAlign w:val="center"/>
          </w:tcPr>
          <w:p w14:paraId="294B5B5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NPM1</w:t>
            </w:r>
          </w:p>
        </w:tc>
        <w:tc>
          <w:tcPr>
            <w:tcW w:w="1283" w:type="dxa"/>
            <w:shd w:val="clear" w:color="auto" w:fill="F2F2F2"/>
            <w:vAlign w:val="center"/>
          </w:tcPr>
          <w:p w14:paraId="25009F6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NRAS</w:t>
            </w:r>
          </w:p>
        </w:tc>
        <w:tc>
          <w:tcPr>
            <w:tcW w:w="1283" w:type="dxa"/>
            <w:shd w:val="clear" w:color="auto" w:fill="F2F2F2"/>
            <w:vAlign w:val="center"/>
          </w:tcPr>
          <w:p w14:paraId="7B48CBE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NRG1</w:t>
            </w:r>
          </w:p>
        </w:tc>
        <w:tc>
          <w:tcPr>
            <w:tcW w:w="1283" w:type="dxa"/>
            <w:shd w:val="clear" w:color="auto" w:fill="F2F2F2"/>
            <w:vAlign w:val="center"/>
          </w:tcPr>
          <w:p w14:paraId="3D86367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NSD1</w:t>
            </w:r>
          </w:p>
        </w:tc>
        <w:tc>
          <w:tcPr>
            <w:tcW w:w="1283" w:type="dxa"/>
            <w:shd w:val="clear" w:color="auto" w:fill="F2F2F2"/>
            <w:vAlign w:val="center"/>
          </w:tcPr>
          <w:p w14:paraId="5537173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NSD2</w:t>
            </w:r>
          </w:p>
        </w:tc>
        <w:tc>
          <w:tcPr>
            <w:tcW w:w="1287" w:type="dxa"/>
            <w:shd w:val="clear" w:color="auto" w:fill="F2F2F2"/>
            <w:vAlign w:val="center"/>
          </w:tcPr>
          <w:p w14:paraId="5165222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NTRK1</w:t>
            </w:r>
          </w:p>
        </w:tc>
      </w:tr>
      <w:tr w14:paraId="7EC7DE0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14:paraId="1F9727C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NTRK2</w:t>
            </w:r>
          </w:p>
        </w:tc>
        <w:tc>
          <w:tcPr>
            <w:tcW w:w="1283" w:type="dxa"/>
            <w:shd w:val="clear" w:color="auto" w:fill="auto"/>
            <w:vAlign w:val="center"/>
          </w:tcPr>
          <w:p w14:paraId="1FB5DD4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NTRK3</w:t>
            </w:r>
          </w:p>
        </w:tc>
        <w:tc>
          <w:tcPr>
            <w:tcW w:w="1283" w:type="dxa"/>
            <w:shd w:val="clear" w:color="auto" w:fill="auto"/>
            <w:vAlign w:val="center"/>
          </w:tcPr>
          <w:p w14:paraId="1810A22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PALB2</w:t>
            </w:r>
          </w:p>
        </w:tc>
        <w:tc>
          <w:tcPr>
            <w:tcW w:w="1283" w:type="dxa"/>
            <w:shd w:val="clear" w:color="auto" w:fill="auto"/>
            <w:vAlign w:val="center"/>
          </w:tcPr>
          <w:p w14:paraId="3E88D16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PASK</w:t>
            </w:r>
          </w:p>
        </w:tc>
        <w:tc>
          <w:tcPr>
            <w:tcW w:w="1283" w:type="dxa"/>
            <w:shd w:val="clear" w:color="auto" w:fill="auto"/>
            <w:vAlign w:val="center"/>
          </w:tcPr>
          <w:p w14:paraId="690AB24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PAX5</w:t>
            </w:r>
          </w:p>
        </w:tc>
        <w:tc>
          <w:tcPr>
            <w:tcW w:w="1283" w:type="dxa"/>
            <w:shd w:val="clear" w:color="auto" w:fill="auto"/>
            <w:vAlign w:val="center"/>
          </w:tcPr>
          <w:p w14:paraId="605DC88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PBRM1</w:t>
            </w:r>
          </w:p>
        </w:tc>
        <w:tc>
          <w:tcPr>
            <w:tcW w:w="1287" w:type="dxa"/>
            <w:shd w:val="clear" w:color="auto" w:fill="auto"/>
            <w:vAlign w:val="center"/>
          </w:tcPr>
          <w:p w14:paraId="009A0E7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PCLO</w:t>
            </w:r>
          </w:p>
        </w:tc>
      </w:tr>
      <w:tr w14:paraId="0D19073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4526C4B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PDCD1LG2</w:t>
            </w:r>
          </w:p>
        </w:tc>
        <w:tc>
          <w:tcPr>
            <w:tcW w:w="1283" w:type="dxa"/>
            <w:shd w:val="clear" w:color="auto" w:fill="F2F2F2"/>
            <w:vAlign w:val="center"/>
          </w:tcPr>
          <w:p w14:paraId="77069C8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PDE4DIP</w:t>
            </w:r>
          </w:p>
        </w:tc>
        <w:tc>
          <w:tcPr>
            <w:tcW w:w="1283" w:type="dxa"/>
            <w:shd w:val="clear" w:color="auto" w:fill="F2F2F2"/>
            <w:vAlign w:val="center"/>
          </w:tcPr>
          <w:p w14:paraId="07A6244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PDGFB</w:t>
            </w:r>
          </w:p>
        </w:tc>
        <w:tc>
          <w:tcPr>
            <w:tcW w:w="1283" w:type="dxa"/>
            <w:shd w:val="clear" w:color="auto" w:fill="F2F2F2"/>
            <w:vAlign w:val="center"/>
          </w:tcPr>
          <w:p w14:paraId="1A166BD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PDGFRA</w:t>
            </w:r>
          </w:p>
        </w:tc>
        <w:tc>
          <w:tcPr>
            <w:tcW w:w="1283" w:type="dxa"/>
            <w:shd w:val="clear" w:color="auto" w:fill="F2F2F2"/>
            <w:vAlign w:val="center"/>
          </w:tcPr>
          <w:p w14:paraId="07586F1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PDGFRB</w:t>
            </w:r>
          </w:p>
        </w:tc>
        <w:tc>
          <w:tcPr>
            <w:tcW w:w="1283" w:type="dxa"/>
            <w:shd w:val="clear" w:color="auto" w:fill="F2F2F2"/>
            <w:vAlign w:val="center"/>
          </w:tcPr>
          <w:p w14:paraId="0F22176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PIK3C2G</w:t>
            </w:r>
          </w:p>
        </w:tc>
        <w:tc>
          <w:tcPr>
            <w:tcW w:w="1287" w:type="dxa"/>
            <w:shd w:val="clear" w:color="auto" w:fill="F2F2F2"/>
            <w:vAlign w:val="center"/>
          </w:tcPr>
          <w:p w14:paraId="57B4022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PIK3CA</w:t>
            </w:r>
          </w:p>
        </w:tc>
      </w:tr>
      <w:tr w14:paraId="78F8AA5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74B8811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PIK3CD</w:t>
            </w:r>
          </w:p>
        </w:tc>
        <w:tc>
          <w:tcPr>
            <w:tcW w:w="1283" w:type="dxa"/>
            <w:shd w:val="clear" w:color="auto" w:fill="auto"/>
            <w:vAlign w:val="center"/>
          </w:tcPr>
          <w:p w14:paraId="61D78FF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PIK3CG</w:t>
            </w:r>
          </w:p>
        </w:tc>
        <w:tc>
          <w:tcPr>
            <w:tcW w:w="1283" w:type="dxa"/>
            <w:shd w:val="clear" w:color="auto" w:fill="auto"/>
            <w:vAlign w:val="center"/>
          </w:tcPr>
          <w:p w14:paraId="302C14F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PIK3R1</w:t>
            </w:r>
          </w:p>
        </w:tc>
        <w:tc>
          <w:tcPr>
            <w:tcW w:w="1283" w:type="dxa"/>
            <w:shd w:val="clear" w:color="auto" w:fill="auto"/>
            <w:vAlign w:val="center"/>
          </w:tcPr>
          <w:p w14:paraId="62E9D79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PIM1</w:t>
            </w:r>
          </w:p>
        </w:tc>
        <w:tc>
          <w:tcPr>
            <w:tcW w:w="1283" w:type="dxa"/>
            <w:shd w:val="clear" w:color="auto" w:fill="auto"/>
            <w:vAlign w:val="center"/>
          </w:tcPr>
          <w:p w14:paraId="4C92DDF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PMS1</w:t>
            </w:r>
          </w:p>
        </w:tc>
        <w:tc>
          <w:tcPr>
            <w:tcW w:w="1283" w:type="dxa"/>
            <w:shd w:val="clear" w:color="auto" w:fill="auto"/>
            <w:vAlign w:val="center"/>
          </w:tcPr>
          <w:p w14:paraId="24D9BD7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PMS2</w:t>
            </w:r>
          </w:p>
        </w:tc>
        <w:tc>
          <w:tcPr>
            <w:tcW w:w="1287" w:type="dxa"/>
            <w:shd w:val="clear" w:color="auto" w:fill="auto"/>
            <w:vAlign w:val="center"/>
          </w:tcPr>
          <w:p w14:paraId="5D299C7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POLD1</w:t>
            </w:r>
          </w:p>
        </w:tc>
      </w:tr>
      <w:tr w14:paraId="059D1D8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738E6A3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POLE</w:t>
            </w:r>
          </w:p>
        </w:tc>
        <w:tc>
          <w:tcPr>
            <w:tcW w:w="1283" w:type="dxa"/>
            <w:shd w:val="clear" w:color="auto" w:fill="F2F2F2"/>
            <w:vAlign w:val="center"/>
          </w:tcPr>
          <w:p w14:paraId="0EB6EF7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PPP2R2A</w:t>
            </w:r>
          </w:p>
        </w:tc>
        <w:tc>
          <w:tcPr>
            <w:tcW w:w="1283" w:type="dxa"/>
            <w:shd w:val="clear" w:color="auto" w:fill="F2F2F2"/>
            <w:vAlign w:val="center"/>
          </w:tcPr>
          <w:p w14:paraId="02E3F10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PREX2</w:t>
            </w:r>
          </w:p>
        </w:tc>
        <w:tc>
          <w:tcPr>
            <w:tcW w:w="1283" w:type="dxa"/>
            <w:shd w:val="clear" w:color="auto" w:fill="F2F2F2"/>
            <w:vAlign w:val="center"/>
          </w:tcPr>
          <w:p w14:paraId="4834DA5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PRSS1</w:t>
            </w:r>
          </w:p>
        </w:tc>
        <w:tc>
          <w:tcPr>
            <w:tcW w:w="1283" w:type="dxa"/>
            <w:shd w:val="clear" w:color="auto" w:fill="F2F2F2"/>
            <w:vAlign w:val="center"/>
          </w:tcPr>
          <w:p w14:paraId="5BF607D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PTCH1</w:t>
            </w:r>
          </w:p>
        </w:tc>
        <w:tc>
          <w:tcPr>
            <w:tcW w:w="1283" w:type="dxa"/>
            <w:shd w:val="clear" w:color="auto" w:fill="F2F2F2"/>
            <w:vAlign w:val="center"/>
          </w:tcPr>
          <w:p w14:paraId="5746B4B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PTCH2</w:t>
            </w:r>
          </w:p>
        </w:tc>
        <w:tc>
          <w:tcPr>
            <w:tcW w:w="1287" w:type="dxa"/>
            <w:shd w:val="clear" w:color="auto" w:fill="F2F2F2"/>
            <w:vAlign w:val="center"/>
          </w:tcPr>
          <w:p w14:paraId="178477F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PTEN</w:t>
            </w:r>
          </w:p>
        </w:tc>
      </w:tr>
      <w:tr w14:paraId="0AF9B5A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0F311D9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PTPN11</w:t>
            </w:r>
          </w:p>
        </w:tc>
        <w:tc>
          <w:tcPr>
            <w:tcW w:w="1283" w:type="dxa"/>
            <w:shd w:val="clear" w:color="auto" w:fill="auto"/>
            <w:vAlign w:val="center"/>
          </w:tcPr>
          <w:p w14:paraId="58E7A0C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PTPRB</w:t>
            </w:r>
          </w:p>
        </w:tc>
        <w:tc>
          <w:tcPr>
            <w:tcW w:w="1283" w:type="dxa"/>
            <w:shd w:val="clear" w:color="auto" w:fill="auto"/>
            <w:vAlign w:val="center"/>
          </w:tcPr>
          <w:p w14:paraId="134B242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PTPRC</w:t>
            </w:r>
          </w:p>
        </w:tc>
        <w:tc>
          <w:tcPr>
            <w:tcW w:w="1283" w:type="dxa"/>
            <w:shd w:val="clear" w:color="auto" w:fill="auto"/>
            <w:vAlign w:val="center"/>
          </w:tcPr>
          <w:p w14:paraId="24FD79F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PTPRD</w:t>
            </w:r>
          </w:p>
        </w:tc>
        <w:tc>
          <w:tcPr>
            <w:tcW w:w="1283" w:type="dxa"/>
            <w:shd w:val="clear" w:color="auto" w:fill="auto"/>
            <w:vAlign w:val="center"/>
          </w:tcPr>
          <w:p w14:paraId="6FF73D5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PTPRK</w:t>
            </w:r>
          </w:p>
        </w:tc>
        <w:tc>
          <w:tcPr>
            <w:tcW w:w="1283" w:type="dxa"/>
            <w:shd w:val="clear" w:color="auto" w:fill="auto"/>
            <w:vAlign w:val="center"/>
          </w:tcPr>
          <w:p w14:paraId="07E5953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PTPRS</w:t>
            </w:r>
          </w:p>
        </w:tc>
        <w:tc>
          <w:tcPr>
            <w:tcW w:w="1287" w:type="dxa"/>
            <w:shd w:val="clear" w:color="auto" w:fill="auto"/>
            <w:vAlign w:val="center"/>
          </w:tcPr>
          <w:p w14:paraId="6F091C7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PTPRT</w:t>
            </w:r>
          </w:p>
        </w:tc>
      </w:tr>
      <w:tr w14:paraId="288597A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143CBB1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RAD21</w:t>
            </w:r>
          </w:p>
        </w:tc>
        <w:tc>
          <w:tcPr>
            <w:tcW w:w="1283" w:type="dxa"/>
            <w:shd w:val="clear" w:color="auto" w:fill="F2F2F2"/>
            <w:vAlign w:val="center"/>
          </w:tcPr>
          <w:p w14:paraId="71580AB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RAD50</w:t>
            </w:r>
          </w:p>
        </w:tc>
        <w:tc>
          <w:tcPr>
            <w:tcW w:w="1283" w:type="dxa"/>
            <w:shd w:val="clear" w:color="auto" w:fill="F2F2F2"/>
            <w:vAlign w:val="center"/>
          </w:tcPr>
          <w:p w14:paraId="580FF4D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RAD51</w:t>
            </w:r>
          </w:p>
        </w:tc>
        <w:tc>
          <w:tcPr>
            <w:tcW w:w="1283" w:type="dxa"/>
            <w:shd w:val="clear" w:color="auto" w:fill="F2F2F2"/>
            <w:vAlign w:val="center"/>
          </w:tcPr>
          <w:p w14:paraId="11216C3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RAD51B</w:t>
            </w:r>
          </w:p>
        </w:tc>
        <w:tc>
          <w:tcPr>
            <w:tcW w:w="1283" w:type="dxa"/>
            <w:shd w:val="clear" w:color="auto" w:fill="F2F2F2"/>
            <w:vAlign w:val="center"/>
          </w:tcPr>
          <w:p w14:paraId="3221DCF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RAD51C</w:t>
            </w:r>
          </w:p>
        </w:tc>
        <w:tc>
          <w:tcPr>
            <w:tcW w:w="1283" w:type="dxa"/>
            <w:shd w:val="clear" w:color="auto" w:fill="F2F2F2"/>
            <w:vAlign w:val="center"/>
          </w:tcPr>
          <w:p w14:paraId="37A09CA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RAD51D</w:t>
            </w:r>
          </w:p>
        </w:tc>
        <w:tc>
          <w:tcPr>
            <w:tcW w:w="1287" w:type="dxa"/>
            <w:shd w:val="clear" w:color="auto" w:fill="F2F2F2"/>
            <w:vAlign w:val="center"/>
          </w:tcPr>
          <w:p w14:paraId="6623D8D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RAD52</w:t>
            </w:r>
          </w:p>
        </w:tc>
      </w:tr>
      <w:tr w14:paraId="1574AFB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7E5B5D6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RAD54B</w:t>
            </w:r>
          </w:p>
        </w:tc>
        <w:tc>
          <w:tcPr>
            <w:tcW w:w="1283" w:type="dxa"/>
            <w:shd w:val="clear" w:color="auto" w:fill="auto"/>
            <w:vAlign w:val="center"/>
          </w:tcPr>
          <w:p w14:paraId="1A00C6F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RAD54L</w:t>
            </w:r>
          </w:p>
        </w:tc>
        <w:tc>
          <w:tcPr>
            <w:tcW w:w="1283" w:type="dxa"/>
            <w:shd w:val="clear" w:color="auto" w:fill="auto"/>
            <w:vAlign w:val="center"/>
          </w:tcPr>
          <w:p w14:paraId="69816BB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RAF1</w:t>
            </w:r>
          </w:p>
        </w:tc>
        <w:tc>
          <w:tcPr>
            <w:tcW w:w="1283" w:type="dxa"/>
            <w:shd w:val="clear" w:color="auto" w:fill="auto"/>
            <w:vAlign w:val="center"/>
          </w:tcPr>
          <w:p w14:paraId="6DFC95A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RARA</w:t>
            </w:r>
          </w:p>
        </w:tc>
        <w:tc>
          <w:tcPr>
            <w:tcW w:w="1283" w:type="dxa"/>
            <w:shd w:val="clear" w:color="auto" w:fill="auto"/>
            <w:vAlign w:val="center"/>
          </w:tcPr>
          <w:p w14:paraId="29DE177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RB1</w:t>
            </w:r>
          </w:p>
        </w:tc>
        <w:tc>
          <w:tcPr>
            <w:tcW w:w="1283" w:type="dxa"/>
            <w:shd w:val="clear" w:color="auto" w:fill="auto"/>
            <w:vAlign w:val="center"/>
          </w:tcPr>
          <w:p w14:paraId="18C1FFF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RBM10</w:t>
            </w:r>
          </w:p>
        </w:tc>
        <w:tc>
          <w:tcPr>
            <w:tcW w:w="1287" w:type="dxa"/>
            <w:shd w:val="clear" w:color="auto" w:fill="auto"/>
            <w:vAlign w:val="center"/>
          </w:tcPr>
          <w:p w14:paraId="0C746DA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RECQL4</w:t>
            </w:r>
          </w:p>
        </w:tc>
      </w:tr>
      <w:tr w14:paraId="2ADC1EC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132A68C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RET</w:t>
            </w:r>
          </w:p>
        </w:tc>
        <w:tc>
          <w:tcPr>
            <w:tcW w:w="1283" w:type="dxa"/>
            <w:shd w:val="clear" w:color="auto" w:fill="F2F2F2"/>
            <w:vAlign w:val="center"/>
          </w:tcPr>
          <w:p w14:paraId="39C5B71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RICTOR</w:t>
            </w:r>
          </w:p>
        </w:tc>
        <w:tc>
          <w:tcPr>
            <w:tcW w:w="1283" w:type="dxa"/>
            <w:shd w:val="clear" w:color="auto" w:fill="F2F2F2"/>
            <w:vAlign w:val="center"/>
          </w:tcPr>
          <w:p w14:paraId="394FBFF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RNF43</w:t>
            </w:r>
          </w:p>
        </w:tc>
        <w:tc>
          <w:tcPr>
            <w:tcW w:w="1283" w:type="dxa"/>
            <w:shd w:val="clear" w:color="auto" w:fill="F2F2F2"/>
            <w:vAlign w:val="center"/>
          </w:tcPr>
          <w:p w14:paraId="25BEFAC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ROS1</w:t>
            </w:r>
          </w:p>
        </w:tc>
        <w:tc>
          <w:tcPr>
            <w:tcW w:w="1283" w:type="dxa"/>
            <w:shd w:val="clear" w:color="auto" w:fill="F2F2F2"/>
            <w:vAlign w:val="center"/>
          </w:tcPr>
          <w:p w14:paraId="44910207">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RPTOR</w:t>
            </w:r>
          </w:p>
        </w:tc>
        <w:tc>
          <w:tcPr>
            <w:tcW w:w="1283" w:type="dxa"/>
            <w:shd w:val="clear" w:color="auto" w:fill="F2F2F2"/>
            <w:vAlign w:val="center"/>
          </w:tcPr>
          <w:p w14:paraId="52E18C87">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RUNX1</w:t>
            </w:r>
          </w:p>
        </w:tc>
        <w:tc>
          <w:tcPr>
            <w:tcW w:w="1287" w:type="dxa"/>
            <w:shd w:val="clear" w:color="auto" w:fill="F2F2F2"/>
            <w:vAlign w:val="center"/>
          </w:tcPr>
          <w:p w14:paraId="41D1459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RUNX1T1</w:t>
            </w:r>
          </w:p>
        </w:tc>
      </w:tr>
      <w:tr w14:paraId="0AE044E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02BAE25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RUNX2</w:t>
            </w:r>
          </w:p>
        </w:tc>
        <w:tc>
          <w:tcPr>
            <w:tcW w:w="1283" w:type="dxa"/>
            <w:shd w:val="clear" w:color="auto" w:fill="auto"/>
            <w:vAlign w:val="center"/>
          </w:tcPr>
          <w:p w14:paraId="326FFF6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SDHB</w:t>
            </w:r>
          </w:p>
        </w:tc>
        <w:tc>
          <w:tcPr>
            <w:tcW w:w="1283" w:type="dxa"/>
            <w:shd w:val="clear" w:color="auto" w:fill="auto"/>
            <w:vAlign w:val="center"/>
          </w:tcPr>
          <w:p w14:paraId="0C8E5A7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SDHC</w:t>
            </w:r>
          </w:p>
        </w:tc>
        <w:tc>
          <w:tcPr>
            <w:tcW w:w="1283" w:type="dxa"/>
            <w:shd w:val="clear" w:color="auto" w:fill="auto"/>
            <w:vAlign w:val="center"/>
          </w:tcPr>
          <w:p w14:paraId="25373B0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SERPINB3</w:t>
            </w:r>
          </w:p>
        </w:tc>
        <w:tc>
          <w:tcPr>
            <w:tcW w:w="1283" w:type="dxa"/>
            <w:shd w:val="clear" w:color="auto" w:fill="auto"/>
            <w:vAlign w:val="center"/>
          </w:tcPr>
          <w:p w14:paraId="461C73A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SERPINB4</w:t>
            </w:r>
          </w:p>
        </w:tc>
        <w:tc>
          <w:tcPr>
            <w:tcW w:w="1283" w:type="dxa"/>
            <w:shd w:val="clear" w:color="auto" w:fill="auto"/>
            <w:vAlign w:val="center"/>
          </w:tcPr>
          <w:p w14:paraId="316F3EA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SETD2</w:t>
            </w:r>
          </w:p>
        </w:tc>
        <w:tc>
          <w:tcPr>
            <w:tcW w:w="1287" w:type="dxa"/>
            <w:shd w:val="clear" w:color="auto" w:fill="auto"/>
            <w:vAlign w:val="center"/>
          </w:tcPr>
          <w:p w14:paraId="1C6D505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SETD5</w:t>
            </w:r>
          </w:p>
        </w:tc>
      </w:tr>
      <w:tr w14:paraId="0CEAE73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76818DA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SF3B1</w:t>
            </w:r>
          </w:p>
        </w:tc>
        <w:tc>
          <w:tcPr>
            <w:tcW w:w="1283" w:type="dxa"/>
            <w:shd w:val="clear" w:color="auto" w:fill="F2F2F2"/>
            <w:vAlign w:val="center"/>
          </w:tcPr>
          <w:p w14:paraId="1035CDB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SHH</w:t>
            </w:r>
          </w:p>
        </w:tc>
        <w:tc>
          <w:tcPr>
            <w:tcW w:w="1283" w:type="dxa"/>
            <w:shd w:val="clear" w:color="auto" w:fill="F2F2F2"/>
            <w:vAlign w:val="center"/>
          </w:tcPr>
          <w:p w14:paraId="30D5C62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SLIT2</w:t>
            </w:r>
          </w:p>
        </w:tc>
        <w:tc>
          <w:tcPr>
            <w:tcW w:w="1283" w:type="dxa"/>
            <w:shd w:val="clear" w:color="auto" w:fill="F2F2F2"/>
            <w:vAlign w:val="center"/>
          </w:tcPr>
          <w:p w14:paraId="20A356D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SMAD3</w:t>
            </w:r>
          </w:p>
        </w:tc>
        <w:tc>
          <w:tcPr>
            <w:tcW w:w="1283" w:type="dxa"/>
            <w:shd w:val="clear" w:color="auto" w:fill="F2F2F2"/>
            <w:vAlign w:val="center"/>
          </w:tcPr>
          <w:p w14:paraId="0067855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SMAD4</w:t>
            </w:r>
          </w:p>
        </w:tc>
        <w:tc>
          <w:tcPr>
            <w:tcW w:w="1283" w:type="dxa"/>
            <w:shd w:val="clear" w:color="auto" w:fill="F2F2F2"/>
            <w:vAlign w:val="center"/>
          </w:tcPr>
          <w:p w14:paraId="0C52F2A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SMARCA1</w:t>
            </w:r>
          </w:p>
        </w:tc>
        <w:tc>
          <w:tcPr>
            <w:tcW w:w="1287" w:type="dxa"/>
            <w:shd w:val="clear" w:color="auto" w:fill="F2F2F2"/>
            <w:vAlign w:val="center"/>
          </w:tcPr>
          <w:p w14:paraId="1E719E2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SMARCA2</w:t>
            </w:r>
          </w:p>
        </w:tc>
      </w:tr>
      <w:tr w14:paraId="1BC946E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0460173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SMARCA4</w:t>
            </w:r>
          </w:p>
        </w:tc>
        <w:tc>
          <w:tcPr>
            <w:tcW w:w="1283" w:type="dxa"/>
            <w:shd w:val="clear" w:color="auto" w:fill="auto"/>
            <w:vAlign w:val="center"/>
          </w:tcPr>
          <w:p w14:paraId="461CEC6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SMARCB1</w:t>
            </w:r>
          </w:p>
        </w:tc>
        <w:tc>
          <w:tcPr>
            <w:tcW w:w="1283" w:type="dxa"/>
            <w:shd w:val="clear" w:color="auto" w:fill="auto"/>
            <w:vAlign w:val="center"/>
          </w:tcPr>
          <w:p w14:paraId="207BE35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SMO</w:t>
            </w:r>
          </w:p>
        </w:tc>
        <w:tc>
          <w:tcPr>
            <w:tcW w:w="1283" w:type="dxa"/>
            <w:shd w:val="clear" w:color="auto" w:fill="auto"/>
            <w:vAlign w:val="center"/>
          </w:tcPr>
          <w:p w14:paraId="5A6C913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SOS1</w:t>
            </w:r>
          </w:p>
        </w:tc>
        <w:tc>
          <w:tcPr>
            <w:tcW w:w="1283" w:type="dxa"/>
            <w:shd w:val="clear" w:color="auto" w:fill="auto"/>
            <w:vAlign w:val="center"/>
          </w:tcPr>
          <w:p w14:paraId="11670A9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SOX9</w:t>
            </w:r>
          </w:p>
        </w:tc>
        <w:tc>
          <w:tcPr>
            <w:tcW w:w="1283" w:type="dxa"/>
            <w:shd w:val="clear" w:color="auto" w:fill="auto"/>
            <w:vAlign w:val="center"/>
          </w:tcPr>
          <w:p w14:paraId="23D4635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SRC</w:t>
            </w:r>
          </w:p>
        </w:tc>
        <w:tc>
          <w:tcPr>
            <w:tcW w:w="1287" w:type="dxa"/>
            <w:shd w:val="clear" w:color="auto" w:fill="auto"/>
            <w:vAlign w:val="center"/>
          </w:tcPr>
          <w:p w14:paraId="11D9D57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STAG1</w:t>
            </w:r>
          </w:p>
        </w:tc>
      </w:tr>
      <w:tr w14:paraId="56A89E9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3B7FA54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STAG2</w:t>
            </w:r>
          </w:p>
        </w:tc>
        <w:tc>
          <w:tcPr>
            <w:tcW w:w="1283" w:type="dxa"/>
            <w:shd w:val="clear" w:color="auto" w:fill="F2F2F2"/>
            <w:vAlign w:val="center"/>
          </w:tcPr>
          <w:p w14:paraId="50DE554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STK11</w:t>
            </w:r>
          </w:p>
        </w:tc>
        <w:tc>
          <w:tcPr>
            <w:tcW w:w="1283" w:type="dxa"/>
            <w:shd w:val="clear" w:color="auto" w:fill="F2F2F2"/>
            <w:vAlign w:val="center"/>
          </w:tcPr>
          <w:p w14:paraId="13E8109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SYK</w:t>
            </w:r>
          </w:p>
        </w:tc>
        <w:tc>
          <w:tcPr>
            <w:tcW w:w="1283" w:type="dxa"/>
            <w:shd w:val="clear" w:color="auto" w:fill="F2F2F2"/>
            <w:vAlign w:val="center"/>
          </w:tcPr>
          <w:p w14:paraId="396ABA97">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TCF12</w:t>
            </w:r>
          </w:p>
        </w:tc>
        <w:tc>
          <w:tcPr>
            <w:tcW w:w="1283" w:type="dxa"/>
            <w:shd w:val="clear" w:color="auto" w:fill="F2F2F2"/>
            <w:vAlign w:val="center"/>
          </w:tcPr>
          <w:p w14:paraId="5FE2A81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TCF3</w:t>
            </w:r>
          </w:p>
        </w:tc>
        <w:tc>
          <w:tcPr>
            <w:tcW w:w="1283" w:type="dxa"/>
            <w:shd w:val="clear" w:color="auto" w:fill="F2F2F2"/>
            <w:vAlign w:val="center"/>
          </w:tcPr>
          <w:p w14:paraId="3E3B09E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TCF4</w:t>
            </w:r>
          </w:p>
        </w:tc>
        <w:tc>
          <w:tcPr>
            <w:tcW w:w="1287" w:type="dxa"/>
            <w:shd w:val="clear" w:color="auto" w:fill="F2F2F2"/>
            <w:vAlign w:val="center"/>
          </w:tcPr>
          <w:p w14:paraId="0234727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TCF7L2</w:t>
            </w:r>
          </w:p>
        </w:tc>
      </w:tr>
      <w:tr w14:paraId="7C7F0FA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14:paraId="17F393B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TEK</w:t>
            </w:r>
          </w:p>
        </w:tc>
        <w:tc>
          <w:tcPr>
            <w:tcW w:w="1283" w:type="dxa"/>
            <w:shd w:val="clear" w:color="auto" w:fill="auto"/>
            <w:vAlign w:val="center"/>
          </w:tcPr>
          <w:p w14:paraId="205BC37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TERC</w:t>
            </w:r>
          </w:p>
        </w:tc>
        <w:tc>
          <w:tcPr>
            <w:tcW w:w="1283" w:type="dxa"/>
            <w:shd w:val="clear" w:color="auto" w:fill="auto"/>
            <w:vAlign w:val="center"/>
          </w:tcPr>
          <w:p w14:paraId="33A00207">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TERT</w:t>
            </w:r>
          </w:p>
        </w:tc>
        <w:tc>
          <w:tcPr>
            <w:tcW w:w="1283" w:type="dxa"/>
            <w:shd w:val="clear" w:color="auto" w:fill="auto"/>
            <w:vAlign w:val="center"/>
          </w:tcPr>
          <w:p w14:paraId="036620B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TET1</w:t>
            </w:r>
          </w:p>
        </w:tc>
        <w:tc>
          <w:tcPr>
            <w:tcW w:w="1283" w:type="dxa"/>
            <w:shd w:val="clear" w:color="auto" w:fill="auto"/>
            <w:vAlign w:val="center"/>
          </w:tcPr>
          <w:p w14:paraId="2A79E32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TET2</w:t>
            </w:r>
          </w:p>
        </w:tc>
        <w:tc>
          <w:tcPr>
            <w:tcW w:w="1283" w:type="dxa"/>
            <w:shd w:val="clear" w:color="auto" w:fill="auto"/>
            <w:vAlign w:val="center"/>
          </w:tcPr>
          <w:p w14:paraId="1C7EFB8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TGFBR1</w:t>
            </w:r>
          </w:p>
        </w:tc>
        <w:tc>
          <w:tcPr>
            <w:tcW w:w="1287" w:type="dxa"/>
            <w:shd w:val="clear" w:color="auto" w:fill="auto"/>
            <w:vAlign w:val="center"/>
          </w:tcPr>
          <w:p w14:paraId="06CA609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TLE3</w:t>
            </w:r>
          </w:p>
        </w:tc>
      </w:tr>
      <w:tr w14:paraId="7D81D82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14:paraId="4F5031B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TLE4</w:t>
            </w:r>
          </w:p>
        </w:tc>
        <w:tc>
          <w:tcPr>
            <w:tcW w:w="1283" w:type="dxa"/>
            <w:shd w:val="clear" w:color="auto" w:fill="F2F2F2"/>
            <w:vAlign w:val="center"/>
          </w:tcPr>
          <w:p w14:paraId="6D7D170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TMEM127</w:t>
            </w:r>
          </w:p>
        </w:tc>
        <w:tc>
          <w:tcPr>
            <w:tcW w:w="1283" w:type="dxa"/>
            <w:shd w:val="clear" w:color="auto" w:fill="F2F2F2"/>
            <w:vAlign w:val="center"/>
          </w:tcPr>
          <w:p w14:paraId="72199FD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TNFAIP3</w:t>
            </w:r>
          </w:p>
        </w:tc>
        <w:tc>
          <w:tcPr>
            <w:tcW w:w="1283" w:type="dxa"/>
            <w:shd w:val="clear" w:color="auto" w:fill="F2F2F2"/>
            <w:vAlign w:val="center"/>
          </w:tcPr>
          <w:p w14:paraId="6B043B7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TOP2A</w:t>
            </w:r>
          </w:p>
        </w:tc>
        <w:tc>
          <w:tcPr>
            <w:tcW w:w="1283" w:type="dxa"/>
            <w:shd w:val="clear" w:color="auto" w:fill="F2F2F2"/>
            <w:vAlign w:val="center"/>
          </w:tcPr>
          <w:p w14:paraId="43F76C0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TP53</w:t>
            </w:r>
          </w:p>
        </w:tc>
        <w:tc>
          <w:tcPr>
            <w:tcW w:w="1283" w:type="dxa"/>
            <w:shd w:val="clear" w:color="auto" w:fill="F2F2F2"/>
            <w:vAlign w:val="center"/>
          </w:tcPr>
          <w:p w14:paraId="4961BA87">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TP53BP1</w:t>
            </w:r>
          </w:p>
        </w:tc>
        <w:tc>
          <w:tcPr>
            <w:tcW w:w="1287" w:type="dxa"/>
            <w:shd w:val="clear" w:color="auto" w:fill="F2F2F2"/>
            <w:vAlign w:val="center"/>
          </w:tcPr>
          <w:p w14:paraId="6849451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TP63</w:t>
            </w:r>
          </w:p>
        </w:tc>
      </w:tr>
      <w:tr w14:paraId="0FA0556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14:paraId="41A6520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TRRAP</w:t>
            </w:r>
          </w:p>
        </w:tc>
        <w:tc>
          <w:tcPr>
            <w:tcW w:w="1283" w:type="dxa"/>
            <w:shd w:val="clear" w:color="auto" w:fill="auto"/>
            <w:vAlign w:val="center"/>
          </w:tcPr>
          <w:p w14:paraId="2B10811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TSC1</w:t>
            </w:r>
          </w:p>
        </w:tc>
        <w:tc>
          <w:tcPr>
            <w:tcW w:w="1283" w:type="dxa"/>
            <w:shd w:val="clear" w:color="auto" w:fill="auto"/>
            <w:vAlign w:val="center"/>
          </w:tcPr>
          <w:p w14:paraId="0A36E8B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TSC2</w:t>
            </w:r>
          </w:p>
        </w:tc>
        <w:tc>
          <w:tcPr>
            <w:tcW w:w="1283" w:type="dxa"/>
            <w:shd w:val="clear" w:color="auto" w:fill="auto"/>
            <w:vAlign w:val="center"/>
          </w:tcPr>
          <w:p w14:paraId="06921D1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TSHR</w:t>
            </w:r>
          </w:p>
        </w:tc>
        <w:tc>
          <w:tcPr>
            <w:tcW w:w="1283" w:type="dxa"/>
            <w:shd w:val="clear" w:color="auto" w:fill="auto"/>
            <w:vAlign w:val="center"/>
          </w:tcPr>
          <w:p w14:paraId="329B9E5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U2AF1</w:t>
            </w:r>
          </w:p>
        </w:tc>
        <w:tc>
          <w:tcPr>
            <w:tcW w:w="1283" w:type="dxa"/>
            <w:shd w:val="clear" w:color="auto" w:fill="auto"/>
            <w:vAlign w:val="center"/>
          </w:tcPr>
          <w:p w14:paraId="7C4EC54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VAV1</w:t>
            </w:r>
          </w:p>
        </w:tc>
        <w:tc>
          <w:tcPr>
            <w:tcW w:w="1287" w:type="dxa"/>
            <w:shd w:val="clear" w:color="auto" w:fill="auto"/>
            <w:vAlign w:val="center"/>
          </w:tcPr>
          <w:p w14:paraId="4B2153C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VAV2</w:t>
            </w:r>
          </w:p>
        </w:tc>
      </w:tr>
      <w:tr w14:paraId="0522176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5FFDBAD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VEGFA</w:t>
            </w:r>
          </w:p>
        </w:tc>
        <w:tc>
          <w:tcPr>
            <w:tcW w:w="1283" w:type="dxa"/>
            <w:shd w:val="clear" w:color="auto" w:fill="F2F2F2"/>
            <w:vAlign w:val="center"/>
          </w:tcPr>
          <w:p w14:paraId="607409E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VHL</w:t>
            </w:r>
          </w:p>
        </w:tc>
        <w:tc>
          <w:tcPr>
            <w:tcW w:w="1283" w:type="dxa"/>
            <w:shd w:val="clear" w:color="auto" w:fill="F2F2F2"/>
            <w:vAlign w:val="center"/>
          </w:tcPr>
          <w:p w14:paraId="0B981C1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WDR90</w:t>
            </w:r>
          </w:p>
        </w:tc>
        <w:tc>
          <w:tcPr>
            <w:tcW w:w="1283" w:type="dxa"/>
            <w:shd w:val="clear" w:color="auto" w:fill="F2F2F2"/>
            <w:vAlign w:val="center"/>
          </w:tcPr>
          <w:p w14:paraId="711EC1A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WHSC1</w:t>
            </w:r>
          </w:p>
        </w:tc>
        <w:tc>
          <w:tcPr>
            <w:tcW w:w="1283" w:type="dxa"/>
            <w:shd w:val="clear" w:color="auto" w:fill="F2F2F2"/>
            <w:vAlign w:val="center"/>
          </w:tcPr>
          <w:p w14:paraId="3097C87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WHSC1L1</w:t>
            </w:r>
          </w:p>
        </w:tc>
        <w:tc>
          <w:tcPr>
            <w:tcW w:w="1283" w:type="dxa"/>
            <w:shd w:val="clear" w:color="auto" w:fill="F2F2F2"/>
            <w:vAlign w:val="center"/>
          </w:tcPr>
          <w:p w14:paraId="5ADCC94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WRN</w:t>
            </w:r>
          </w:p>
        </w:tc>
        <w:tc>
          <w:tcPr>
            <w:tcW w:w="1287" w:type="dxa"/>
            <w:shd w:val="clear" w:color="auto" w:fill="F2F2F2"/>
            <w:vAlign w:val="center"/>
          </w:tcPr>
          <w:p w14:paraId="31DECF9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XRCC2</w:t>
            </w:r>
          </w:p>
        </w:tc>
      </w:tr>
      <w:tr w14:paraId="7A7251B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14:paraId="093FF33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YAP1</w:t>
            </w:r>
          </w:p>
        </w:tc>
        <w:tc>
          <w:tcPr>
            <w:tcW w:w="1283" w:type="dxa"/>
            <w:shd w:val="clear" w:color="auto" w:fill="auto"/>
            <w:vAlign w:val="center"/>
          </w:tcPr>
          <w:p w14:paraId="7E09C87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YES1</w:t>
            </w:r>
          </w:p>
        </w:tc>
        <w:tc>
          <w:tcPr>
            <w:tcW w:w="1283" w:type="dxa"/>
            <w:shd w:val="clear" w:color="auto" w:fill="auto"/>
            <w:vAlign w:val="center"/>
          </w:tcPr>
          <w:p w14:paraId="586D485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ZFHX3</w:t>
            </w:r>
          </w:p>
        </w:tc>
        <w:tc>
          <w:tcPr>
            <w:tcW w:w="1283" w:type="dxa"/>
            <w:shd w:val="clear" w:color="auto" w:fill="auto"/>
            <w:vAlign w:val="center"/>
          </w:tcPr>
          <w:p w14:paraId="56D24B5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ZNF217</w:t>
            </w:r>
          </w:p>
        </w:tc>
        <w:tc>
          <w:tcPr>
            <w:tcW w:w="1283" w:type="dxa"/>
            <w:shd w:val="clear" w:color="auto" w:fill="auto"/>
            <w:vAlign w:val="center"/>
          </w:tcPr>
          <w:p w14:paraId="5B177B0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ZNF278</w:t>
            </w:r>
          </w:p>
        </w:tc>
        <w:tc>
          <w:tcPr>
            <w:tcW w:w="1283" w:type="dxa"/>
            <w:shd w:val="clear" w:color="auto" w:fill="auto"/>
            <w:vAlign w:val="center"/>
          </w:tcPr>
          <w:p w14:paraId="693C30F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ZNF521</w:t>
            </w:r>
          </w:p>
        </w:tc>
        <w:tc>
          <w:tcPr>
            <w:tcW w:w="1287" w:type="dxa"/>
            <w:shd w:val="clear" w:color="auto" w:fill="auto"/>
            <w:vAlign w:val="center"/>
          </w:tcPr>
          <w:p w14:paraId="38E1569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ZNF703</w:t>
            </w:r>
          </w:p>
        </w:tc>
      </w:tr>
      <w:tr w14:paraId="4E4E19E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14:paraId="0A1355F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ZRSR2</w:t>
            </w:r>
          </w:p>
        </w:tc>
        <w:tc>
          <w:tcPr>
            <w:tcW w:w="1283" w:type="dxa"/>
            <w:shd w:val="clear" w:color="auto" w:fill="F2F2F2"/>
            <w:vAlign w:val="center"/>
          </w:tcPr>
          <w:p w14:paraId="4088FE2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p>
        </w:tc>
        <w:tc>
          <w:tcPr>
            <w:tcW w:w="1283" w:type="dxa"/>
            <w:shd w:val="clear" w:color="auto" w:fill="F2F2F2"/>
            <w:vAlign w:val="center"/>
          </w:tcPr>
          <w:p w14:paraId="19317F4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p>
        </w:tc>
        <w:tc>
          <w:tcPr>
            <w:tcW w:w="1283" w:type="dxa"/>
            <w:shd w:val="clear" w:color="auto" w:fill="F2F2F2"/>
            <w:vAlign w:val="center"/>
          </w:tcPr>
          <w:p w14:paraId="5FC26037">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p>
        </w:tc>
        <w:tc>
          <w:tcPr>
            <w:tcW w:w="1283" w:type="dxa"/>
            <w:shd w:val="clear" w:color="auto" w:fill="F2F2F2"/>
            <w:vAlign w:val="center"/>
          </w:tcPr>
          <w:p w14:paraId="399DBFC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p>
        </w:tc>
        <w:tc>
          <w:tcPr>
            <w:tcW w:w="1283" w:type="dxa"/>
            <w:shd w:val="clear" w:color="auto" w:fill="F2F2F2"/>
            <w:vAlign w:val="center"/>
          </w:tcPr>
          <w:p w14:paraId="4503E19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p>
        </w:tc>
        <w:tc>
          <w:tcPr>
            <w:tcW w:w="1287" w:type="dxa"/>
            <w:shd w:val="clear" w:color="auto" w:fill="F2F2F2"/>
            <w:vAlign w:val="center"/>
          </w:tcPr>
          <w:p w14:paraId="06FEBAF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p>
        </w:tc>
      </w:tr>
    </w:tbl>
    <w:p w14:paraId="349AB3CA">
      <w:pPr>
        <w:rPr>
          <w:rFonts w:ascii="微软雅黑" w:hAnsi="微软雅黑"/>
          <w:b/>
          <w:sz w:val="24"/>
          <w:szCs w:val="24"/>
        </w:rPr>
      </w:pPr>
      <w:r>
        <w:rPr>
          <w:rFonts w:hint="eastAsia" w:ascii="微软雅黑" w:hAnsi="微软雅黑"/>
          <w:b/>
          <w:sz w:val="24"/>
          <w:szCs w:val="24"/>
        </w:rPr>
        <w:br w:type="page"/>
      </w:r>
    </w:p>
    <w:p w14:paraId="581013E4">
      <w:pPr>
        <w:numPr>
          <w:ilvl w:val="255"/>
          <w:numId w:val="0"/>
        </w:numPr>
        <w:outlineLvl w:val="0"/>
        <w:rPr>
          <w:rFonts w:ascii="Calibri" w:hAnsi="Calibri" w:cs="Calibri"/>
          <w:color w:val="000000" w:themeColor="text1"/>
          <w:sz w:val="21"/>
          <w:szCs w:val="21"/>
          <w14:textFill>
            <w14:solidFill>
              <w14:schemeClr w14:val="tx1"/>
            </w14:solidFill>
          </w14:textFill>
        </w:rPr>
      </w:pPr>
      <w:bookmarkStart w:id="217" w:name="_Toc8115"/>
      <w:r>
        <w:rPr>
          <w:rFonts w:hint="eastAsia" w:ascii="微软雅黑" w:hAnsi="微软雅黑"/>
          <w:b/>
          <w:color w:val="000000" w:themeColor="text1"/>
          <w:sz w:val="24"/>
          <w:szCs w:val="24"/>
          <w14:textFill>
            <w14:solidFill>
              <w14:schemeClr w14:val="tx1"/>
            </w14:solidFill>
          </w14:textFill>
        </w:rPr>
        <w:t>5. 参考文献</w:t>
      </w:r>
      <w:bookmarkEnd w:id="216"/>
      <w:bookmarkEnd w:id="217"/>
      <w:r>
        <w:commentReference w:id="34"/>
      </w:r>
    </w:p>
    <w:p w14:paraId="12307E77">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PMID:1338691 Somatic mutation of the APC gene in gastric</w:t>
      </w:r>
      <w:bookmarkStart w:id="219" w:name="_GoBack"/>
      <w:bookmarkEnd w:id="219"/>
      <w:r>
        <w:rPr>
          <w:rFonts w:hint="eastAsia" w:ascii="Calibri" w:hAnsi="Calibri" w:eastAsia="宋体" w:cs="Calibri"/>
          <w:sz w:val="21"/>
          <w:szCs w:val="21"/>
        </w:rPr>
        <w:t xml:space="preserve"> cancer: frequent mutations in very well differentiated adenocarcinoma and signet-ring cell carcinoma.</w:t>
      </w:r>
    </w:p>
    <w:p w14:paraId="56C92F72">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PMID:1423316 Frequent somatic mutations of the APC gene in human pancreatic cancer.</w:t>
      </w:r>
    </w:p>
    <w:p w14:paraId="2A7E6538">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PMID:7792600 A single ataxia telangiectasia gene with a product similar to PI-3 kinase.</w:t>
      </w:r>
    </w:p>
    <w:p w14:paraId="48811FA7">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PMID:8033082 Wild-type but not mutant APC associates with the microtubule cytoskeleton.</w:t>
      </w:r>
    </w:p>
    <w:p w14:paraId="6DD6F02F">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PMID:8698812 The adenomatous polyposis coli tumor suppressor protein localizes to plasma membrane sites involved in active cell migration.</w:t>
      </w:r>
    </w:p>
    <w:p w14:paraId="5A713A93">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PMID:9700202 Huntingtin interacts with a family of WW domain proteins.</w:t>
      </w:r>
    </w:p>
    <w:p w14:paraId="1CC5A217">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PMID:10612830 p53 website and analysis of p53 gene mutations in human cancer: forging a link between epidemiology and carcinogenesis.</w:t>
      </w:r>
    </w:p>
    <w:p w14:paraId="466CE2CA">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PMID:10656683 The APC-hDLG complex negatively regulates cell cycle progression from the G0/G1 to S phase.</w:t>
      </w:r>
    </w:p>
    <w:p w14:paraId="7D3062D3">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PMID:10959075 Wnt/beta-catenin signaling.</w:t>
      </w:r>
    </w:p>
    <w:p w14:paraId="76D38F19">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PMID:12378616 Mutation analysis of APC gene in gastric cancer with microsatellite instability.</w:t>
      </w:r>
    </w:p>
    <w:p w14:paraId="0B7D5A79">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PMID:12619105 Significance of TP53 mutations in human cancer: a critical analysis of mutations at CpG dinucleotides.</w:t>
      </w:r>
    </w:p>
    <w:p w14:paraId="62EFA2A6">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PMID:12730288 An epigenetic road map for histone lysine methylation.</w:t>
      </w:r>
    </w:p>
    <w:p w14:paraId="630CE6D4">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PMID:16118227 Identification and characterization of a novel human histone H3 lysine 36-specific methyltransferase.</w:t>
      </w:r>
    </w:p>
    <w:p w14:paraId="6EC2AAAF">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PMID:16618717 KRAS mutation status is predictive of response to cetuximab therapy in colorectal cancer.</w:t>
      </w:r>
    </w:p>
    <w:p w14:paraId="0B6A49FB">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PMID:17154180 EphA2 overexpression is associated with angiogenesis in ovarian cancer.</w:t>
      </w:r>
    </w:p>
    <w:p w14:paraId="4C6879CC">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PMID:17375050 Clinical relevance of KRAS mutation detection in metastatic colorectal cancer treated by Cetuximab plus chemotherapy.</w:t>
      </w:r>
    </w:p>
    <w:p w14:paraId="1A33305F">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PMID:17664471 Expression of epiregulin and amphiregulin and K-ras mutation status predict disease control in metastatic colorectal cancer patients treated with cetuximab.</w:t>
      </w:r>
    </w:p>
    <w:p w14:paraId="5CC0A405">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PMID:18157086 Dynamic histone H3 methylation during gene induction: HYPB/Setd2 mediates all H3K36 trimethylation.</w:t>
      </w:r>
    </w:p>
    <w:p w14:paraId="64D56EAD">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PMID:18593890 C-Myc is a critical mediator of the phenotypes of Apc loss in the intestine.</w:t>
      </w:r>
    </w:p>
    <w:p w14:paraId="032EA036">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PMID:18621636 Association of K-ras mutational status and clinical outcomes in patients with metastatic colorectal cancer receiving panitumumab alone.</w:t>
      </w:r>
    </w:p>
    <w:p w14:paraId="738D0EB2">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PMID:19336573 High incidence of protein-truncating TP53 mutations in BRCA1-related breast cancer.</w:t>
      </w:r>
    </w:p>
    <w:p w14:paraId="4B277050">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PMID:19401449 PI3K pathway activation mediates resistance to MEK inhibitors in KRAS mutant cancers.</w:t>
      </w:r>
    </w:p>
    <w:p w14:paraId="478F24B1">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PMID:19407794 Cytoplasmic functions of the tumour suppressor p53.</w:t>
      </w:r>
    </w:p>
    <w:p w14:paraId="274A2B7D">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PMID:19531623 Expression of the receptor tyrosine kinase EphA2 is increased in smokers and predicts poor survival in non-small cell lung cancer</w:t>
      </w:r>
    </w:p>
    <w:p w14:paraId="79C188E2">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PMID:19810096 Combination of p53 codon 72 polymorphism and inactive p53 mutation predicts chemosensitivity to 5-fluorouracil in colorectal cancer.</w:t>
      </w:r>
    </w:p>
    <w:p w14:paraId="1BDE8ADF">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PMID:20004998 ATM polymorphisms and risk of lung cancer among never smokers.</w:t>
      </w:r>
    </w:p>
    <w:p w14:paraId="1C5B3AE1">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PMID:20100961 Molecular mechanisms of resistance to cetuximab and panitumumab in colorectal cancer.</w:t>
      </w:r>
    </w:p>
    <w:p w14:paraId="226EC603">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PMID:20215549 Phase I pharmacokinetic and pharmacodynamic study of the oral MAPK/ERK kinase inhibitor PD-0325901 in patients with advanced cancers.</w:t>
      </w:r>
    </w:p>
    <w:p w14:paraId="51D0FC6F">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PMID:20501857 Histone methyltransferase gene SETD2 is a novel tumor suppressor gene in clear cell renal cell carcinoma.</w:t>
      </w:r>
    </w:p>
    <w:p w14:paraId="04175773">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PMID:20664172 Deregulation of the PI3K and KRAS signaling pathways in human cancer cells determines their response to everolimus.</w:t>
      </w:r>
    </w:p>
    <w:p w14:paraId="6749A8C7">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PMID:20944102 Evidence for a tumour suppressor function of SETD2 in human breast cancer: a new hypothesis.</w:t>
      </w:r>
    </w:p>
    <w:p w14:paraId="71CA533D">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PMID:21451123 A MEK inhibitor abrogates myeloproliferative disease in Kras mutant mice.</w:t>
      </w:r>
    </w:p>
    <w:p w14:paraId="1225B633">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PMID:21728981 Anti-cancer peptides from ras-p21 and p53 proteins.</w:t>
      </w:r>
    </w:p>
    <w:p w14:paraId="2C31C5DB">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PMID:22753585 Phase I pharmacokinetic/pharmacodynamic study of MLN8237, an investigational, oral, selective aurora a kinase inhibitor, in patients with advanced solid tumors.</w:t>
      </w:r>
    </w:p>
    <w:p w14:paraId="2B462205">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PMID:22810696 Comprehensive molecular characterization of human colon and rectal cancer.</w:t>
      </w:r>
    </w:p>
    <w:p w14:paraId="3CAF63BB">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PMID:22872685 Combination treatment in vitro with Nutlin, a small-molecule antagonist of MDM2, and pegylated interferon-α 2a specifically targets JAK2V617F-positive polycythemia vera cells.</w:t>
      </w:r>
    </w:p>
    <w:p w14:paraId="01174356">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PMID:22965953 Targeting p53 in vivo: a first-in-human study with p53-targeting compound APR-246 in refractory hematologic malignancies and prostate cancer.</w:t>
      </w:r>
    </w:p>
    <w:p w14:paraId="618D131F">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PMID:23066310 KRAS mutation testing in metastatic colorectal cancer.</w:t>
      </w:r>
    </w:p>
    <w:p w14:paraId="23380B77">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PMID:23182985 Mutant KRAS codon 12 and 13 alleles in patients with metastatic colorectal cancer: assessment as prognostic and predictive biomarkers of response to panitumumab.</w:t>
      </w:r>
    </w:p>
    <w:p w14:paraId="0824BD43">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PMID:24170544 Modeling RAS phenotype in colorectal cancer uncovers novel molecular traits of RAS dependency and improves prediction of response to targeted agents in patients.</w:t>
      </w:r>
    </w:p>
    <w:p w14:paraId="2D551227">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PMID:24200292 Exploiting APC function as a novel cancer therapy.</w:t>
      </w:r>
    </w:p>
    <w:p w14:paraId="7C701085">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PMID:24509477 Identification of functional cooperative mutations of SETD2 in human acute leukemia.</w:t>
      </w:r>
    </w:p>
    <w:p w14:paraId="3D196911">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PMID:24576621 Combination PI3K/MEK inhibition promotes tumor apoptosis and regression in PIK3CA wild-type, KRAS mutant colorectal cancer.</w:t>
      </w:r>
    </w:p>
    <w:p w14:paraId="71B5712D">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PMID:24838627 PRIMA-1, a mutant p53 reactivator, induces apoptosis and enhances chemotherapeutic cytotoxicity in pancreatic cancer cell lines.</w:t>
      </w:r>
    </w:p>
    <w:p w14:paraId="70B5F02C">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PMID:24857548 Gain-of-function mutant p53 promotes cell growth and cancer cell metabolism via inhibition of AMPK activation.</w:t>
      </w:r>
    </w:p>
    <w:p w14:paraId="21EBD476">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PMID:25079552 Comprehensive molecular profiling of lung adenocarcinoma.</w:t>
      </w:r>
    </w:p>
    <w:p w14:paraId="58626D77">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PMID:25322874 Phase II study of selumetinib (AZD6244, ARRY-142886) plus irinotecan as second-line therapy in patients with K-RAS mutated colorectal cancer.</w:t>
      </w:r>
    </w:p>
    <w:p w14:paraId="0D01CBAD">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PMID:25987188 Aurora kinase A in gastrointestinal cancers: time to target.</w:t>
      </w:r>
    </w:p>
    <w:p w14:paraId="1EC065DB">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PMID:26086967 APR-246 overcomes resistance to cisplatin and doxorubicin in ovarian cancer cells.</w:t>
      </w:r>
    </w:p>
    <w:p w14:paraId="4EAA582A">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PMID:26282658 Randomized, Double-Blind Phase II Trial With Prospective Classification by ATM Protein Level to Evaluate the Efficacy and Tolerability of Olaparib Plus Paclitaxel in Patients With Recurrent or Metastatic Gastric Cancer.</w:t>
      </w:r>
    </w:p>
    <w:p w14:paraId="3BE81FC1">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PMID:26425688 TP53 Mutational Status and Prediction of Benefit from Adjuvant 5-Fluorouracil in Stage III Colon Cancer Patients.</w:t>
      </w:r>
    </w:p>
    <w:p w14:paraId="2504940F">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PMID:26452133 PRIMA-1met (APR-246) inhibits growth of colorectal cancer cells with different p53 status through distinct mechanisms.</w:t>
      </w:r>
    </w:p>
    <w:p w14:paraId="5717D9A3">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PMID:26510020 DNA-Repair Defects and Olaparib in Metastatic Prostate Cancer.</w:t>
      </w:r>
    </w:p>
    <w:p w14:paraId="408EC04F">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PMID:26666244 A phase I study of selumetinib (AZD6244/ARRY-142866), a MEK1/2 inhibitor, in combination with cetuximab in refractory solid tumors and KRAS mutant colorectal cancer.</w:t>
      </w:r>
    </w:p>
    <w:p w14:paraId="28EC2CE5">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PMID:26870698 Targeting of Mutant p53 and the Cellular Redox Balance by APR-246 as a Strategy for Efficient Cancer Therapy.</w:t>
      </w:r>
    </w:p>
    <w:p w14:paraId="6D639BE6">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PMID:27022037 Clinical Application of Poly(ADP-Ribose) Polymerase Inhibitors in High-Grade Serous Ovarian Cancer.</w:t>
      </w:r>
    </w:p>
    <w:p w14:paraId="0CD2D644">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PMID:27097374 FANCI is a negative regulator of Akt activation.</w:t>
      </w:r>
    </w:p>
    <w:p w14:paraId="228CD56B">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PMID:27167191 Efficacy of the combination of MEK and CDK4/6 inhibitors in vitro and in vivo in KRAS mutant colorectal cancer models.</w:t>
      </w:r>
    </w:p>
    <w:p w14:paraId="213B0E1C">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PMID:27601554 Phase I Study Evaluating WEE1 Inhibitor AZD1775 As Monotherapy and in Combination With Gemcitabine, Cisplatin, or Carboplatin in Patients With Advanced Solid Tumors.</w:t>
      </w:r>
    </w:p>
    <w:p w14:paraId="7593E341">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PMID:28165374 Evaluation of EphA2 and EphB4 as Targets for Image-Guided Colorectal Cancer Surgery.</w:t>
      </w:r>
    </w:p>
    <w:p w14:paraId="7CBA020A">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PMID:28544747 K-Ras mutation and amplification status is predictive of resistance and high basal pAKT is predictive of sensitivity to everolimus in biliary tract cancer cell lines.</w:t>
      </w:r>
    </w:p>
    <w:p w14:paraId="7CE97B51">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PMID:28966234 Emerging and Diverse Functions of the EphA2 Noncanonical Pathway in Cancer Progression</w:t>
      </w:r>
    </w:p>
    <w:p w14:paraId="40C862FD">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PMID:28978051 Mutational status of TP53 defines the efficacy of Wee1 inhibitor AZD1775 in KRAS-mutant non-small cell lung cancer.</w:t>
      </w:r>
    </w:p>
    <w:p w14:paraId="4FF6686E">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PMID:29285035 Biomarkers of Everolimus Sensitivity in Hormone Receptor-Positive Breast Cancer.</w:t>
      </w:r>
    </w:p>
    <w:p w14:paraId="7CF45B62">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PMID:29955114 Synthetic lethal therapies for cancer: what's next after PARP inhibitors?</w:t>
      </w:r>
    </w:p>
    <w:p w14:paraId="620B5D0C">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PMID:30262796 Comprehensive Analysis of Germline Variants in Mexican Patients with Hereditary Breast and Ovarian Cancer Susceptibility.</w:t>
      </w:r>
    </w:p>
    <w:p w14:paraId="2F864E40">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PMID:30755439 Combined Aurora Kinase A (AURKA) and WEE1 Inhibition Demonstrates Synergistic Antitumor Effect in Squamous Cell Carcinoma of the Head and Neck.</w:t>
      </w:r>
    </w:p>
    <w:p w14:paraId="71B35C60">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PMID:31658756 Landscape of Germline Mutations in DNA Repair Genes for Breast Cancer in Latin America: Opportunities for PARP-Like Inhibitors and Immunotherapy.</w:t>
      </w:r>
    </w:p>
    <w:p w14:paraId="6C377EED">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2019 JCO Abstract 5005 TOPARP-B: A phase II randomized trial of the poly(ADP)-ribose polymerase (PARP) inhibitor olaparib for metastatic castration resistant prostate cancers (mCRPC).</w:t>
      </w:r>
    </w:p>
    <w:p w14:paraId="582E9F42">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NCT01682772 https://clinicaltrials.gov.</w:t>
      </w:r>
    </w:p>
    <w:p w14:paraId="319E1C9C">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NCT02022982 https://clinicaltrials.gov.</w:t>
      </w:r>
    </w:p>
    <w:p w14:paraId="14DCFB43">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NCT02079740 https://clinicaltrials.gov.</w:t>
      </w:r>
    </w:p>
    <w:p w14:paraId="54C2EBAF">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NCT02098343 https://clinicaltrials.gov.</w:t>
      </w:r>
    </w:p>
    <w:p w14:paraId="4589C70B">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NCT02286687 https://clinicaltrials.gov.</w:t>
      </w:r>
    </w:p>
    <w:p w14:paraId="5890C69E">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NCT02407509 https://clinicaltrials.gov.</w:t>
      </w:r>
    </w:p>
    <w:p w14:paraId="191E177F">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NCT02576444 https://clinicaltrials.gov.</w:t>
      </w:r>
    </w:p>
    <w:p w14:paraId="51EB5372">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NCT02613650 https://clinicaltrials.gov.</w:t>
      </w:r>
    </w:p>
    <w:p w14:paraId="327EADF3">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NCT02693535 https://clinicaltrials.gov.</w:t>
      </w:r>
    </w:p>
    <w:p w14:paraId="33C45574">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NCT02873975 https://clinicaltrials.gov.</w:t>
      </w:r>
    </w:p>
    <w:p w14:paraId="1CFA36C3">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NCT02906059 https://clinicaltrials.gov.</w:t>
      </w:r>
    </w:p>
    <w:p w14:paraId="252B6D62">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NCT03065387 https://clinicaltrials.gov.</w:t>
      </w:r>
    </w:p>
    <w:p w14:paraId="227D6C5B">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NCT03072043 https://clinicaltrials.gov.</w:t>
      </w:r>
    </w:p>
    <w:p w14:paraId="75A33A86">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NCT03087071 https://clinicaltrials.gov.</w:t>
      </w:r>
    </w:p>
    <w:p w14:paraId="02CAE482">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NCT03207347 https://clinicaltrials.gov.</w:t>
      </w:r>
    </w:p>
    <w:p w14:paraId="39C6B2C5">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NCT03284385 https://clinicaltrials.gov.</w:t>
      </w:r>
    </w:p>
    <w:p w14:paraId="461C1D7F">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NCT03413995 https://clinicaltrials.gov.</w:t>
      </w:r>
    </w:p>
    <w:p w14:paraId="6E7CE826">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NCT03565991 https://clinicaltrials.gov.</w:t>
      </w:r>
    </w:p>
    <w:p w14:paraId="072EB892">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NCT03842228 https://clinicaltrials.gov.</w:t>
      </w:r>
    </w:p>
    <w:p w14:paraId="16641753">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NCT03875820 https://clinicaltrials.gov.</w:t>
      </w:r>
    </w:p>
    <w:p w14:paraId="5494DE4F">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NCT03981614 https://clinicaltrials.gov.</w:t>
      </w:r>
    </w:p>
    <w:p w14:paraId="714153E3">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NCT04111458 https://clinicaltrials.gov.</w:t>
      </w:r>
    </w:p>
    <w:p w14:paraId="11797752">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NCT04276376 https://clinicaltrials.gov.</w:t>
      </w:r>
    </w:p>
    <w:p w14:paraId="1AE4497C">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NCT04625270 https://clinicaltrials.gov.</w:t>
      </w:r>
    </w:p>
    <w:p w14:paraId="41610EDC">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NCT04633902 https://clinicaltrials.gov.</w:t>
      </w:r>
    </w:p>
    <w:p w14:paraId="76D2A7CD">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NCT04965818 https://clinicaltrials.gov.</w:t>
      </w:r>
    </w:p>
    <w:p w14:paraId="416A83CB">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NCT04985721 https://clinicaltrials.gov.</w:t>
      </w:r>
    </w:p>
    <w:p w14:paraId="7C69A44C">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NCT05379985 https://clinicaltrials.gov.</w:t>
      </w:r>
    </w:p>
    <w:p w14:paraId="1A2F2752">
      <w:pPr>
        <w:rPr>
          <w:rFonts w:hint="eastAsia" w:ascii="微软雅黑" w:hAnsi="微软雅黑"/>
          <w:b/>
          <w:color w:val="00C4D8"/>
          <w:sz w:val="28"/>
          <w:szCs w:val="28"/>
        </w:rPr>
      </w:pPr>
      <w:r>
        <w:rPr>
          <w:rFonts w:hint="eastAsia" w:ascii="微软雅黑" w:hAnsi="微软雅黑"/>
          <w:b/>
          <w:color w:val="00C4D8"/>
          <w:sz w:val="28"/>
          <w:szCs w:val="28"/>
        </w:rPr>
        <w:br w:type="page"/>
      </w:r>
    </w:p>
    <w:p w14:paraId="5E529784">
      <w:pPr>
        <w:adjustRightInd/>
        <w:snapToGrid/>
        <w:spacing w:before="200"/>
        <w:rPr>
          <w:rFonts w:ascii="微软雅黑" w:hAnsi="微软雅黑"/>
          <w:b/>
          <w:color w:val="00C4D8"/>
          <w:sz w:val="28"/>
          <w:szCs w:val="28"/>
        </w:rPr>
      </w:pPr>
      <w:r>
        <w:rPr>
          <w:rFonts w:hint="eastAsia" w:ascii="微软雅黑" w:hAnsi="微软雅黑"/>
          <w:b/>
          <w:color w:val="00C4D8"/>
          <w:sz w:val="28"/>
          <w:szCs w:val="28"/>
        </w:rPr>
        <w:t>本次检测质控结果</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8677F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8" w:hRule="exact"/>
        </w:trPr>
        <w:tc>
          <w:tcPr>
            <w:tcW w:w="4261" w:type="dxa"/>
            <w:tcBorders>
              <w:top w:val="single" w:color="00C4D8" w:sz="12" w:space="0"/>
              <w:left w:val="nil"/>
              <w:bottom w:val="single" w:color="00C4D8" w:sz="4" w:space="0"/>
              <w:right w:val="nil"/>
            </w:tcBorders>
            <w:shd w:val="clear" w:color="auto" w:fill="auto"/>
            <w:vAlign w:val="center"/>
          </w:tcPr>
          <w:p w14:paraId="3DC9DEDC">
            <w:pPr>
              <w:keepNext w:val="0"/>
              <w:keepLines w:val="0"/>
              <w:widowControl/>
              <w:suppressLineNumbers w:val="0"/>
              <w:adjustRightInd/>
              <w:snapToGrid/>
              <w:spacing w:before="0" w:beforeAutospacing="0" w:after="0" w:afterAutospacing="0"/>
              <w:ind w:left="0" w:right="0"/>
              <w:jc w:val="center"/>
              <w:rPr>
                <w:rFonts w:hint="default" w:ascii="微软雅黑" w:hAnsi="微软雅黑"/>
                <w:b/>
                <w:color w:val="00C4D8"/>
                <w:kern w:val="2"/>
              </w:rPr>
            </w:pPr>
            <w:r>
              <w:rPr>
                <w:rFonts w:hint="eastAsia" w:ascii="微软雅黑" w:hAnsi="微软雅黑"/>
                <w:b/>
                <w:color w:val="00C4D8"/>
                <w:kern w:val="2"/>
              </w:rPr>
              <w:t>质控项</w:t>
            </w:r>
          </w:p>
        </w:tc>
        <w:tc>
          <w:tcPr>
            <w:tcW w:w="4261" w:type="dxa"/>
            <w:tcBorders>
              <w:top w:val="single" w:color="00C4D8" w:sz="12" w:space="0"/>
              <w:left w:val="nil"/>
              <w:bottom w:val="single" w:color="00C4D8" w:sz="4" w:space="0"/>
              <w:right w:val="nil"/>
            </w:tcBorders>
            <w:shd w:val="clear" w:color="auto" w:fill="auto"/>
            <w:vAlign w:val="center"/>
          </w:tcPr>
          <w:p w14:paraId="458AEC98">
            <w:pPr>
              <w:keepNext w:val="0"/>
              <w:keepLines w:val="0"/>
              <w:widowControl/>
              <w:suppressLineNumbers w:val="0"/>
              <w:adjustRightInd/>
              <w:snapToGrid/>
              <w:spacing w:before="0" w:beforeAutospacing="0" w:after="0" w:afterAutospacing="0"/>
              <w:ind w:left="0" w:right="0"/>
              <w:jc w:val="center"/>
              <w:rPr>
                <w:rFonts w:hint="default" w:ascii="微软雅黑" w:hAnsi="微软雅黑"/>
                <w:b/>
                <w:color w:val="00C4D8"/>
                <w:kern w:val="2"/>
              </w:rPr>
            </w:pPr>
            <w:r>
              <w:rPr>
                <w:rFonts w:hint="eastAsia" w:ascii="微软雅黑" w:hAnsi="微软雅黑"/>
                <w:b/>
                <w:color w:val="00C4D8"/>
                <w:kern w:val="2"/>
              </w:rPr>
              <w:t>质控结果</w:t>
            </w:r>
          </w:p>
        </w:tc>
      </w:tr>
      <w:tr w14:paraId="378F6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exact"/>
        </w:trPr>
        <w:tc>
          <w:tcPr>
            <w:tcW w:w="4261" w:type="dxa"/>
            <w:tcBorders>
              <w:top w:val="single" w:color="00C4D8" w:sz="4" w:space="0"/>
              <w:left w:val="nil"/>
              <w:bottom w:val="single" w:color="00C4D8" w:sz="4" w:space="0"/>
              <w:right w:val="nil"/>
            </w:tcBorders>
            <w:shd w:val="clear" w:color="auto" w:fill="DBEEF3" w:themeFill="accent5" w:themeFillTint="32"/>
            <w:vAlign w:val="center"/>
          </w:tcPr>
          <w:p w14:paraId="0A6B78C5">
            <w:pPr>
              <w:keepNext w:val="0"/>
              <w:keepLines w:val="0"/>
              <w:widowControl/>
              <w:suppressLineNumbers w:val="0"/>
              <w:adjustRightInd/>
              <w:snapToGrid/>
              <w:spacing w:before="0" w:beforeAutospacing="0" w:after="0" w:afterAutospacing="0"/>
              <w:ind w:left="0" w:right="0"/>
              <w:jc w:val="center"/>
              <w:rPr>
                <w:rFonts w:hint="default"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核酸提取与质量控制</w:t>
            </w:r>
          </w:p>
        </w:tc>
        <w:tc>
          <w:tcPr>
            <w:tcW w:w="4261" w:type="dxa"/>
            <w:tcBorders>
              <w:top w:val="single" w:color="00C4D8" w:sz="4" w:space="0"/>
              <w:left w:val="nil"/>
              <w:bottom w:val="single" w:color="00C4D8" w:sz="4" w:space="0"/>
              <w:right w:val="nil"/>
            </w:tcBorders>
            <w:shd w:val="clear" w:color="auto" w:fill="DBEEF3" w:themeFill="accent5" w:themeFillTint="32"/>
            <w:vAlign w:val="center"/>
          </w:tcPr>
          <w:p w14:paraId="50305995">
            <w:pPr>
              <w:keepNext w:val="0"/>
              <w:keepLines w:val="0"/>
              <w:widowControl/>
              <w:suppressLineNumbers w:val="0"/>
              <w:adjustRightInd/>
              <w:snapToGrid/>
              <w:spacing w:before="0" w:beforeAutospacing="0" w:after="0" w:afterAutospacing="0"/>
              <w:ind w:left="0" w:right="0"/>
              <w:jc w:val="center"/>
              <w:rPr>
                <w:rFonts w:hint="default"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合格</w:t>
            </w:r>
          </w:p>
        </w:tc>
      </w:tr>
      <w:tr w14:paraId="6F0B8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exact"/>
        </w:trPr>
        <w:tc>
          <w:tcPr>
            <w:tcW w:w="4261" w:type="dxa"/>
            <w:tcBorders>
              <w:top w:val="single" w:color="00C4D8" w:sz="4" w:space="0"/>
              <w:left w:val="nil"/>
              <w:bottom w:val="single" w:color="00C4D8" w:sz="4" w:space="0"/>
              <w:right w:val="nil"/>
            </w:tcBorders>
            <w:shd w:val="clear" w:color="auto" w:fill="DBEEF3" w:themeFill="accent5" w:themeFillTint="32"/>
            <w:vAlign w:val="center"/>
          </w:tcPr>
          <w:p w14:paraId="194D2627">
            <w:pPr>
              <w:keepNext w:val="0"/>
              <w:keepLines w:val="0"/>
              <w:widowControl/>
              <w:suppressLineNumbers w:val="0"/>
              <w:adjustRightInd/>
              <w:snapToGrid/>
              <w:spacing w:before="0" w:beforeAutospacing="0" w:after="0" w:afterAutospacing="0"/>
              <w:ind w:left="0" w:right="0"/>
              <w:jc w:val="center"/>
              <w:rPr>
                <w:rFonts w:hint="default"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文库构建与质量控制</w:t>
            </w:r>
          </w:p>
        </w:tc>
        <w:tc>
          <w:tcPr>
            <w:tcW w:w="4261" w:type="dxa"/>
            <w:tcBorders>
              <w:top w:val="single" w:color="00C4D8" w:sz="4" w:space="0"/>
              <w:left w:val="nil"/>
              <w:bottom w:val="single" w:color="00C4D8" w:sz="4" w:space="0"/>
              <w:right w:val="nil"/>
            </w:tcBorders>
            <w:shd w:val="clear" w:color="auto" w:fill="DBEEF3" w:themeFill="accent5" w:themeFillTint="32"/>
            <w:vAlign w:val="center"/>
          </w:tcPr>
          <w:p w14:paraId="4F9AA28E">
            <w:pPr>
              <w:keepNext w:val="0"/>
              <w:keepLines w:val="0"/>
              <w:widowControl/>
              <w:suppressLineNumbers w:val="0"/>
              <w:adjustRightInd/>
              <w:snapToGrid/>
              <w:spacing w:before="0" w:beforeAutospacing="0" w:after="0" w:afterAutospacing="0"/>
              <w:ind w:left="0" w:right="0"/>
              <w:jc w:val="center"/>
              <w:rPr>
                <w:rFonts w:hint="default"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合格</w:t>
            </w:r>
          </w:p>
        </w:tc>
      </w:tr>
      <w:tr w14:paraId="1D43F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exact"/>
        </w:trPr>
        <w:tc>
          <w:tcPr>
            <w:tcW w:w="4261" w:type="dxa"/>
            <w:tcBorders>
              <w:top w:val="single" w:color="00C4D8" w:sz="4" w:space="0"/>
              <w:left w:val="nil"/>
              <w:bottom w:val="single" w:color="00C4D8" w:sz="4" w:space="0"/>
              <w:right w:val="nil"/>
            </w:tcBorders>
            <w:shd w:val="clear" w:color="auto" w:fill="DBEEF3" w:themeFill="accent5" w:themeFillTint="32"/>
            <w:vAlign w:val="center"/>
          </w:tcPr>
          <w:p w14:paraId="2FC4B39C">
            <w:pPr>
              <w:keepNext w:val="0"/>
              <w:keepLines w:val="0"/>
              <w:widowControl/>
              <w:suppressLineNumbers w:val="0"/>
              <w:adjustRightInd/>
              <w:snapToGrid/>
              <w:spacing w:before="0" w:beforeAutospacing="0" w:after="0" w:afterAutospacing="0"/>
              <w:ind w:left="0" w:right="0"/>
              <w:jc w:val="center"/>
              <w:rPr>
                <w:rFonts w:hint="default"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上机测序与质量控制</w:t>
            </w:r>
          </w:p>
        </w:tc>
        <w:tc>
          <w:tcPr>
            <w:tcW w:w="4261" w:type="dxa"/>
            <w:tcBorders>
              <w:top w:val="single" w:color="00C4D8" w:sz="4" w:space="0"/>
              <w:left w:val="nil"/>
              <w:bottom w:val="single" w:color="00C4D8" w:sz="4" w:space="0"/>
              <w:right w:val="nil"/>
            </w:tcBorders>
            <w:shd w:val="clear" w:color="auto" w:fill="DBEEF3" w:themeFill="accent5" w:themeFillTint="32"/>
            <w:vAlign w:val="center"/>
          </w:tcPr>
          <w:p w14:paraId="65F74EB9">
            <w:pPr>
              <w:keepNext w:val="0"/>
              <w:keepLines w:val="0"/>
              <w:widowControl/>
              <w:suppressLineNumbers w:val="0"/>
              <w:adjustRightInd/>
              <w:snapToGrid/>
              <w:spacing w:before="0" w:beforeAutospacing="0" w:after="0" w:afterAutospacing="0"/>
              <w:ind w:left="0" w:right="0"/>
              <w:jc w:val="center"/>
              <w:rPr>
                <w:rFonts w:hint="default"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合格</w:t>
            </w:r>
          </w:p>
        </w:tc>
      </w:tr>
      <w:tr w14:paraId="604F9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exact"/>
        </w:trPr>
        <w:tc>
          <w:tcPr>
            <w:tcW w:w="4261" w:type="dxa"/>
            <w:tcBorders>
              <w:top w:val="single" w:color="00C4D8" w:sz="4" w:space="0"/>
              <w:left w:val="nil"/>
              <w:bottom w:val="single" w:color="00C4D8" w:sz="12" w:space="0"/>
              <w:right w:val="nil"/>
            </w:tcBorders>
            <w:shd w:val="clear" w:color="auto" w:fill="DBEEF3" w:themeFill="accent5" w:themeFillTint="32"/>
            <w:vAlign w:val="center"/>
          </w:tcPr>
          <w:p w14:paraId="6A32E683">
            <w:pPr>
              <w:keepNext w:val="0"/>
              <w:keepLines w:val="0"/>
              <w:widowControl/>
              <w:suppressLineNumbers w:val="0"/>
              <w:adjustRightInd/>
              <w:snapToGrid/>
              <w:spacing w:before="0" w:beforeAutospacing="0" w:after="0" w:afterAutospacing="0"/>
              <w:ind w:left="0" w:right="0"/>
              <w:jc w:val="center"/>
              <w:rPr>
                <w:rFonts w:hint="default"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数据分析与质量控制</w:t>
            </w:r>
          </w:p>
        </w:tc>
        <w:tc>
          <w:tcPr>
            <w:tcW w:w="4261" w:type="dxa"/>
            <w:tcBorders>
              <w:top w:val="single" w:color="00C4D8" w:sz="4" w:space="0"/>
              <w:left w:val="nil"/>
              <w:bottom w:val="single" w:color="00C4D8" w:sz="12" w:space="0"/>
              <w:right w:val="nil"/>
            </w:tcBorders>
            <w:shd w:val="clear" w:color="auto" w:fill="DBEEF3" w:themeFill="accent5" w:themeFillTint="32"/>
            <w:vAlign w:val="center"/>
          </w:tcPr>
          <w:p w14:paraId="20249EAA">
            <w:pPr>
              <w:keepNext w:val="0"/>
              <w:keepLines w:val="0"/>
              <w:widowControl/>
              <w:suppressLineNumbers w:val="0"/>
              <w:adjustRightInd/>
              <w:snapToGrid/>
              <w:spacing w:before="0" w:beforeAutospacing="0" w:after="0" w:afterAutospacing="0"/>
              <w:ind w:left="0" w:right="0"/>
              <w:jc w:val="center"/>
              <w:rPr>
                <w:rFonts w:hint="default"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合格</w:t>
            </w:r>
          </w:p>
        </w:tc>
      </w:tr>
    </w:tbl>
    <w:p w14:paraId="4B113556">
      <w:pPr>
        <w:adjustRightInd/>
        <w:snapToGrid/>
        <w:rPr>
          <w:rFonts w:ascii="微软雅黑" w:hAnsi="微软雅黑"/>
          <w:b/>
          <w:color w:val="00C4D8"/>
          <w:sz w:val="28"/>
          <w:szCs w:val="28"/>
        </w:rPr>
      </w:pPr>
      <w:r>
        <w:rPr>
          <w:rFonts w:hint="eastAsia" w:ascii="微软雅黑" w:hAnsi="微软雅黑"/>
          <w:bCs/>
          <w:color w:val="000000" w:themeColor="text1"/>
          <w:sz w:val="16"/>
          <w:szCs w:val="16"/>
          <w14:textFill>
            <w14:solidFill>
              <w14:schemeClr w14:val="tx1"/>
            </w14:solidFill>
          </w14:textFill>
        </w:rPr>
        <w:t>*质控结果分为“合格”和“风险”两个等级，质控结果“风险”可能会影响检测结果的可靠性。</w:t>
      </w:r>
    </w:p>
    <w:p w14:paraId="5D8164DD">
      <w:pPr>
        <w:adjustRightInd/>
        <w:snapToGrid/>
        <w:spacing w:before="200"/>
        <w:rPr>
          <w:rFonts w:ascii="微软雅黑" w:hAnsi="微软雅黑"/>
          <w:b/>
          <w:color w:val="00C4D8"/>
          <w:sz w:val="28"/>
          <w:szCs w:val="28"/>
        </w:rPr>
      </w:pPr>
      <w:r>
        <w:rPr>
          <w:rFonts w:hint="eastAsia" w:ascii="微软雅黑" w:hAnsi="微软雅黑"/>
          <w:b/>
          <w:color w:val="00C4D8"/>
          <w:sz w:val="28"/>
          <w:szCs w:val="28"/>
        </w:rPr>
        <w:t>高通量测序检测方法说明</w:t>
      </w:r>
    </w:p>
    <w:p w14:paraId="25C665DA">
      <w:pPr>
        <w:pStyle w:val="14"/>
        <w:adjustRightInd/>
        <w:snapToGrid/>
        <w:spacing w:beforeAutospacing="0" w:afterAutospacing="0" w:line="288" w:lineRule="auto"/>
        <w:jc w:val="both"/>
        <w:rPr>
          <w:rFonts w:ascii="微软雅黑" w:hAnsi="微软雅黑" w:cs="微软雅黑"/>
          <w:sz w:val="21"/>
          <w:szCs w:val="21"/>
        </w:rPr>
      </w:pPr>
      <w:r>
        <w:rPr>
          <w:rFonts w:hint="eastAsia" w:ascii="微软雅黑" w:hAnsi="微软雅黑" w:cs="微软雅黑"/>
          <w:sz w:val="21"/>
          <w:szCs w:val="21"/>
        </w:rPr>
        <w:t>本检测基于高通量基因测序平台，对肿瘤基因四种变异类型（包括点突变、小片段的插入缺失、拷贝数变异和目前已知的融合基因）进行检测，并结合自主研发的变异检测软件Detex进行分析，兼具准确性与全面性，提供最全面可信的检测结果。本报告所采用的注释软件及数据库版本号：注释软件annovar（单独开发程序进行补充，2018.04.16）、参考基因组（GRCh37）、1000G（2015.08.24）、dbSNP（151）、clinvar（2020.03.16）、EXAC（0.3.1）、cosmic（2020.05.27）、SIFT/LRT/MT/PhyloP /PolyPhen2_HDIV/PolyPhen2_HVAR（2018.09.21）、Esp6500（2014.12.22）、gnomad211_exome（v2.1.1）、gnomad211_genome（v2.1.1）。</w:t>
      </w:r>
    </w:p>
    <w:p w14:paraId="607EA361">
      <w:pPr>
        <w:adjustRightInd/>
        <w:snapToGrid/>
        <w:spacing w:before="200"/>
        <w:rPr>
          <w:rFonts w:ascii="微软雅黑" w:hAnsi="微软雅黑"/>
          <w:b/>
          <w:color w:val="00C4D8"/>
          <w:sz w:val="28"/>
          <w:szCs w:val="28"/>
        </w:rPr>
      </w:pPr>
      <w:r>
        <w:rPr>
          <w:rFonts w:hint="eastAsia" w:ascii="微软雅黑" w:hAnsi="微软雅黑"/>
          <w:b/>
          <w:color w:val="00C4D8"/>
          <w:sz w:val="28"/>
          <w:szCs w:val="28"/>
        </w:rPr>
        <w:t>高通量测序局限性</w:t>
      </w:r>
    </w:p>
    <w:p w14:paraId="65B6D914">
      <w:pPr>
        <w:pStyle w:val="14"/>
        <w:adjustRightInd/>
        <w:snapToGrid/>
        <w:spacing w:beforeAutospacing="0" w:afterAutospacing="0" w:line="300" w:lineRule="auto"/>
        <w:jc w:val="both"/>
        <w:rPr>
          <w:rFonts w:ascii="微软雅黑" w:hAnsi="微软雅黑" w:cs="微软雅黑"/>
          <w:sz w:val="21"/>
          <w:szCs w:val="21"/>
        </w:rPr>
      </w:pPr>
      <w:r>
        <w:rPr>
          <w:rFonts w:hint="eastAsia" w:ascii="微软雅黑" w:hAnsi="微软雅黑" w:cs="微软雅黑"/>
          <w:sz w:val="21"/>
          <w:szCs w:val="21"/>
        </w:rPr>
        <w:t>1. 肿瘤具有异质性，利用小块组织检测到的变异可能无法完全反映病灶部位全部细胞变异情况，并且可能与血液循环DNA检测结果存在一定的差异。</w:t>
      </w:r>
    </w:p>
    <w:p w14:paraId="27F8FD7C">
      <w:pPr>
        <w:pStyle w:val="14"/>
        <w:adjustRightInd/>
        <w:snapToGrid/>
        <w:spacing w:beforeAutospacing="0" w:afterAutospacing="0" w:line="300" w:lineRule="auto"/>
        <w:jc w:val="both"/>
        <w:rPr>
          <w:rFonts w:ascii="微软雅黑" w:hAnsi="微软雅黑" w:cs="微软雅黑"/>
          <w:sz w:val="21"/>
          <w:szCs w:val="21"/>
        </w:rPr>
      </w:pPr>
      <w:r>
        <w:rPr>
          <w:rFonts w:hint="eastAsia" w:ascii="微软雅黑" w:hAnsi="微软雅黑" w:cs="微软雅黑"/>
          <w:sz w:val="21"/>
          <w:szCs w:val="21"/>
        </w:rPr>
        <w:t xml:space="preserve">2. </w:t>
      </w:r>
      <w:bookmarkStart w:id="218" w:name="OLE_LINK45"/>
      <w:r>
        <w:rPr>
          <w:rFonts w:hint="eastAsia" w:ascii="微软雅黑" w:hAnsi="微软雅黑" w:cs="微软雅黑"/>
          <w:sz w:val="21"/>
          <w:szCs w:val="21"/>
        </w:rPr>
        <w:t>血浆中循环肿瘤DNA</w:t>
      </w:r>
      <w:bookmarkEnd w:id="218"/>
      <w:r>
        <w:rPr>
          <w:rFonts w:hint="eastAsia" w:ascii="微软雅黑" w:hAnsi="微软雅黑" w:cs="微软雅黑"/>
          <w:sz w:val="21"/>
          <w:szCs w:val="21"/>
        </w:rPr>
        <w:t>源自病灶部位细胞释放入血液，并非所有病变细胞的变异都能释放入血，因此血浆中可检测到的变异可能无法完全反映病灶部位全部细胞变异情况。</w:t>
      </w:r>
    </w:p>
    <w:p w14:paraId="231E3BE9">
      <w:pPr>
        <w:pStyle w:val="14"/>
        <w:adjustRightInd/>
        <w:snapToGrid/>
        <w:spacing w:beforeAutospacing="0" w:afterAutospacing="0" w:line="300" w:lineRule="auto"/>
        <w:jc w:val="both"/>
        <w:rPr>
          <w:rFonts w:ascii="微软雅黑" w:hAnsi="微软雅黑" w:cs="微软雅黑"/>
          <w:sz w:val="21"/>
          <w:szCs w:val="21"/>
        </w:rPr>
      </w:pPr>
      <w:r>
        <w:rPr>
          <w:rFonts w:hint="eastAsia" w:ascii="微软雅黑" w:hAnsi="微软雅黑" w:cs="微软雅黑"/>
          <w:sz w:val="21"/>
          <w:szCs w:val="21"/>
        </w:rPr>
        <w:t>3. 部分患者不存在明确的靶向药物对应的基因突变，所以并非所有受检者都可以找到对应靶向药物或明确耐药机制。</w:t>
      </w:r>
    </w:p>
    <w:p w14:paraId="32E221EE">
      <w:pPr>
        <w:adjustRightInd/>
        <w:snapToGrid/>
        <w:spacing w:after="0" w:line="300" w:lineRule="auto"/>
        <w:jc w:val="both"/>
        <w:rPr>
          <w:rFonts w:ascii="微软雅黑" w:hAnsi="微软雅黑" w:cs="微软雅黑"/>
          <w:sz w:val="21"/>
          <w:szCs w:val="21"/>
        </w:rPr>
      </w:pPr>
      <w:r>
        <w:rPr>
          <w:rFonts w:hint="eastAsia" w:ascii="微软雅黑" w:hAnsi="微软雅黑" w:cs="微软雅黑"/>
          <w:sz w:val="21"/>
          <w:szCs w:val="21"/>
        </w:rPr>
        <w:t>4. 检测范围外的基因变异和/或药物间相互作用等非基因变异因素均可能影响药物效果等临床表型。</w:t>
      </w:r>
    </w:p>
    <w:p w14:paraId="71BB6E4F">
      <w:pPr>
        <w:adjustRightInd/>
        <w:snapToGrid/>
        <w:spacing w:after="0" w:line="300" w:lineRule="auto"/>
        <w:jc w:val="both"/>
        <w:rPr>
          <w:rFonts w:ascii="微软雅黑" w:hAnsi="微软雅黑"/>
          <w:b/>
          <w:color w:val="00C4D8"/>
          <w:sz w:val="28"/>
          <w:szCs w:val="28"/>
        </w:rPr>
      </w:pPr>
      <w:r>
        <w:rPr>
          <w:rFonts w:hint="eastAsia" w:ascii="微软雅黑" w:hAnsi="微软雅黑" w:cs="微软雅黑"/>
          <w:sz w:val="21"/>
          <w:szCs w:val="21"/>
        </w:rPr>
        <w:t>5. 部分基因与药物对应关系，目前仅限于临床试验科学研究阶段，尚未进入临床指南，需临床医生酌情参考。</w:t>
      </w:r>
      <w:r>
        <w:rPr>
          <w:rFonts w:hint="eastAsia" w:ascii="微软雅黑" w:hAnsi="微软雅黑"/>
          <w:b/>
          <w:color w:val="00C4D8"/>
          <w:sz w:val="28"/>
          <w:szCs w:val="28"/>
        </w:rPr>
        <w:br w:type="page"/>
      </w:r>
    </w:p>
    <w:p w14:paraId="655AF3BB">
      <w:pPr>
        <w:pStyle w:val="44"/>
        <w:spacing w:line="300" w:lineRule="auto"/>
        <w:ind w:firstLine="0" w:firstLineChars="0"/>
        <w:rPr>
          <w:b/>
          <w:sz w:val="28"/>
          <w:szCs w:val="28"/>
        </w:rPr>
      </w:pPr>
    </w:p>
    <w:p w14:paraId="2239844C">
      <w:pPr>
        <w:adjustRightInd/>
        <w:snapToGrid/>
        <w:spacing w:before="200"/>
        <w:rPr>
          <w:rFonts w:ascii="微软雅黑" w:hAnsi="微软雅黑"/>
          <w:b/>
          <w:color w:val="00C4D8"/>
          <w:sz w:val="28"/>
          <w:szCs w:val="28"/>
        </w:rPr>
      </w:pPr>
      <w:r>
        <w:rPr>
          <w:rFonts w:hint="eastAsia" w:ascii="微软雅黑" w:hAnsi="微软雅黑"/>
          <w:b/>
          <w:color w:val="00C4D8"/>
          <w:sz w:val="28"/>
          <w:szCs w:val="28"/>
        </w:rPr>
        <w:t>脉络医学检验简介</w:t>
      </w:r>
    </w:p>
    <w:p w14:paraId="737C9F02">
      <w:pPr>
        <w:spacing w:line="300"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脉络医学检验有限公司（以下简称脉络医学检验）是一家以精准医学为导向，以二代测序、数字PCR和医学人工智能为技术核心，集研发、生产和检验服务为一体的创新型高科技医疗机构。脉络医学检验秉承精准、卓越、诚信、为民的企业精神，以科技服务人类健康为宗旨，以打造国际一流的精准医疗大平台为目标，不断创新并努力成为国际一流的一站式精准医疗专业服务机构。</w:t>
      </w:r>
    </w:p>
    <w:p w14:paraId="1B15E9D3">
      <w:pPr>
        <w:spacing w:line="300"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脉络医学检验位于天津市南开区凌奥创意产业园，拥有7000平方米实验室，配备了国际先进的研发设备，基于PCR、FISH和二代测序技术组建了一流的生物医学分析软硬件平台，拥有国际领先水平的分子诊断及病理检测平台，涵盖基因组学、转录组学、蛋白组学、免疫组学及代谢组学等技术领域。</w:t>
      </w:r>
    </w:p>
    <w:p w14:paraId="6A44D11D">
      <w:pPr>
        <w:spacing w:line="300"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脉络医学检验以癌症诊疗为核心，检测服务覆盖肿瘤全周期，包括肿瘤遗传风险评估、早期筛查、诊断分型、用药指导、预后评估、复发监测等。脉络医学检验不断进行技术创新和产品优化，联合全国知名医疗机构、高校和企业，整合科学研究、产业开发和临床应用资源，助力我国肿瘤精准医学的发展。</w:t>
      </w:r>
    </w:p>
    <w:p w14:paraId="60754AD9">
      <w:pPr>
        <w:spacing w:line="300" w:lineRule="auto"/>
        <w:ind w:firstLine="420" w:firstLineChars="200"/>
        <w:jc w:val="both"/>
        <w:rPr>
          <w:sz w:val="21"/>
          <w:szCs w:val="21"/>
        </w:rPr>
      </w:pPr>
    </w:p>
    <w:p w14:paraId="518F6E57">
      <w:pPr>
        <w:spacing w:line="300" w:lineRule="auto"/>
        <w:ind w:firstLine="420" w:firstLineChars="200"/>
        <w:jc w:val="both"/>
        <w:rPr>
          <w:sz w:val="21"/>
          <w:szCs w:val="21"/>
        </w:rPr>
      </w:pPr>
    </w:p>
    <w:p w14:paraId="4CBD88B1">
      <w:pPr>
        <w:ind w:firstLine="420" w:firstLineChars="200"/>
        <w:rPr>
          <w:rFonts w:ascii="微软雅黑" w:hAnsi="微软雅黑" w:cs="微软雅黑"/>
          <w:sz w:val="18"/>
          <w:szCs w:val="18"/>
        </w:rPr>
      </w:pPr>
      <w:r>
        <w:rPr>
          <w:sz w:val="21"/>
          <w:szCs w:val="21"/>
        </w:rPr>
        <w:drawing>
          <wp:anchor distT="0" distB="0" distL="114300" distR="114300" simplePos="0" relativeHeight="251667456" behindDoc="0" locked="0" layoutInCell="1" allowOverlap="1">
            <wp:simplePos x="0" y="0"/>
            <wp:positionH relativeFrom="column">
              <wp:posOffset>3543300</wp:posOffset>
            </wp:positionH>
            <wp:positionV relativeFrom="paragraph">
              <wp:posOffset>296545</wp:posOffset>
            </wp:positionV>
            <wp:extent cx="1292860" cy="1292225"/>
            <wp:effectExtent l="0" t="0" r="2540" b="3175"/>
            <wp:wrapSquare wrapText="bothSides"/>
            <wp:docPr id="1048"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 name="图片 1" descr="IMG_256"/>
                    <pic:cNvPicPr>
                      <a:picLocks noChangeAspect="1"/>
                    </pic:cNvPicPr>
                  </pic:nvPicPr>
                  <pic:blipFill>
                    <a:blip r:embed="rId49" cstate="print"/>
                    <a:stretch>
                      <a:fillRect/>
                    </a:stretch>
                  </pic:blipFill>
                  <pic:spPr>
                    <a:xfrm>
                      <a:off x="0" y="0"/>
                      <a:ext cx="1292860" cy="1292225"/>
                    </a:xfrm>
                    <a:prstGeom prst="rect">
                      <a:avLst/>
                    </a:prstGeom>
                    <a:solidFill>
                      <a:srgbClr val="79CED5"/>
                    </a:solidFill>
                    <a:ln w="9525">
                      <a:noFill/>
                    </a:ln>
                  </pic:spPr>
                </pic:pic>
              </a:graphicData>
            </a:graphic>
          </wp:anchor>
        </w:drawing>
      </w:r>
    </w:p>
    <w:p w14:paraId="58DB6AD4">
      <w:pPr>
        <w:ind w:firstLine="360" w:firstLineChars="200"/>
        <w:rPr>
          <w:rFonts w:ascii="微软雅黑" w:hAnsi="微软雅黑" w:cs="微软雅黑"/>
          <w:sz w:val="18"/>
          <w:szCs w:val="18"/>
        </w:rPr>
      </w:pPr>
      <w:r>
        <w:rPr>
          <w:rFonts w:hint="eastAsia" w:ascii="微软雅黑" w:hAnsi="微软雅黑" w:cs="微软雅黑"/>
          <w:sz w:val="18"/>
          <w:szCs w:val="18"/>
        </w:rPr>
        <w:t>地址：天津市南开区凌奥创意产业园三期二号综合楼脉络大厦</w:t>
      </w:r>
    </w:p>
    <w:p w14:paraId="0DB51C51">
      <w:pPr>
        <w:ind w:firstLine="360" w:firstLineChars="200"/>
        <w:rPr>
          <w:rFonts w:ascii="微软雅黑" w:hAnsi="微软雅黑" w:cs="微软雅黑"/>
          <w:sz w:val="18"/>
          <w:szCs w:val="18"/>
        </w:rPr>
      </w:pPr>
      <w:r>
        <w:rPr>
          <w:rFonts w:hint="eastAsia" w:ascii="微软雅黑" w:hAnsi="微软雅黑" w:cs="微软雅黑"/>
          <w:sz w:val="18"/>
          <w:szCs w:val="18"/>
        </w:rPr>
        <w:t>电话：022-87190699</w:t>
      </w:r>
    </w:p>
    <w:p w14:paraId="6BC1D133">
      <w:pPr>
        <w:ind w:firstLine="360" w:firstLineChars="200"/>
        <w:rPr>
          <w:rFonts w:ascii="微软雅黑" w:hAnsi="微软雅黑" w:cs="微软雅黑"/>
          <w:sz w:val="18"/>
          <w:szCs w:val="18"/>
        </w:rPr>
      </w:pPr>
      <w:r>
        <w:rPr>
          <w:rFonts w:hint="eastAsia" w:ascii="微软雅黑" w:hAnsi="微软雅黑" w:cs="微软雅黑"/>
          <w:sz w:val="18"/>
          <w:szCs w:val="18"/>
        </w:rPr>
        <w:t>邮箱：marvel@marvelbio.com</w:t>
      </w:r>
    </w:p>
    <w:p w14:paraId="1E24AFF3">
      <w:pPr>
        <w:spacing w:line="300" w:lineRule="auto"/>
        <w:ind w:firstLine="360" w:firstLineChars="200"/>
        <w:jc w:val="both"/>
        <w:rPr>
          <w:sz w:val="21"/>
          <w:szCs w:val="21"/>
        </w:rPr>
      </w:pPr>
      <w:r>
        <w:rPr>
          <w:rFonts w:hint="eastAsia" w:ascii="微软雅黑" w:hAnsi="微软雅黑" w:cs="微软雅黑"/>
          <w:sz w:val="18"/>
          <w:szCs w:val="18"/>
        </w:rPr>
        <w:t>网站：www.marvelbio.com</w:t>
      </w:r>
    </w:p>
    <w:p w14:paraId="062B67DE">
      <w:pPr>
        <w:spacing w:line="300" w:lineRule="auto"/>
        <w:ind w:firstLine="420" w:firstLineChars="200"/>
        <w:jc w:val="both"/>
        <w:rPr>
          <w:sz w:val="21"/>
          <w:szCs w:val="21"/>
        </w:rPr>
      </w:pPr>
    </w:p>
    <w:p w14:paraId="18B36913">
      <w:pPr>
        <w:spacing w:line="300" w:lineRule="auto"/>
        <w:ind w:firstLine="440" w:firstLineChars="200"/>
        <w:jc w:val="both"/>
        <w:rPr>
          <w:sz w:val="21"/>
          <w:szCs w:val="21"/>
        </w:rPr>
      </w:pPr>
      <w:r>
        <w:rPr>
          <w:rFonts w:hint="eastAsia"/>
        </w:rPr>
        <w:t xml:space="preserve">  </w:t>
      </w:r>
    </w:p>
    <w:p w14:paraId="21E9B78E">
      <w:pPr>
        <w:spacing w:line="300" w:lineRule="auto"/>
        <w:rPr>
          <w:sz w:val="21"/>
          <w:szCs w:val="21"/>
        </w:rPr>
        <w:sectPr>
          <w:headerReference r:id="rId11" w:type="default"/>
          <w:footerReference r:id="rId12" w:type="default"/>
          <w:pgSz w:w="11906" w:h="16838"/>
          <w:pgMar w:top="1440" w:right="1800" w:bottom="1440" w:left="1800" w:header="709" w:footer="708" w:gutter="0"/>
          <w:cols w:space="708" w:num="1"/>
          <w:docGrid w:linePitch="360" w:charSpace="0"/>
        </w:sectPr>
      </w:pPr>
    </w:p>
    <w:bookmarkEnd w:id="14"/>
    <w:bookmarkEnd w:id="15"/>
    <w:p w14:paraId="77177A48">
      <w:pPr>
        <w:spacing w:after="0"/>
        <w:jc w:val="center"/>
      </w:pPr>
      <w:r>
        <w:rPr>
          <w:rFonts w:hint="eastAsia" w:ascii="微软雅黑" w:hAnsi="微软雅黑" w:cs="微软雅黑"/>
          <w:b/>
          <w:sz w:val="21"/>
          <w:szCs w:val="21"/>
        </w:rPr>
        <w:drawing>
          <wp:anchor distT="0" distB="0" distL="114300" distR="114300" simplePos="0" relativeHeight="251689984" behindDoc="0" locked="0" layoutInCell="1" allowOverlap="1">
            <wp:simplePos x="0" y="0"/>
            <wp:positionH relativeFrom="column">
              <wp:posOffset>-448945</wp:posOffset>
            </wp:positionH>
            <wp:positionV relativeFrom="paragraph">
              <wp:posOffset>-1076325</wp:posOffset>
            </wp:positionV>
            <wp:extent cx="7547610" cy="10774680"/>
            <wp:effectExtent l="0" t="0" r="15240" b="7620"/>
            <wp:wrapNone/>
            <wp:docPr id="1049" name="图片 49" descr="报告末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 name="图片 49" descr="报告末页"/>
                    <pic:cNvPicPr>
                      <a:picLocks noChangeAspect="1"/>
                    </pic:cNvPicPr>
                  </pic:nvPicPr>
                  <pic:blipFill>
                    <a:blip r:embed="rId50"/>
                    <a:stretch>
                      <a:fillRect/>
                    </a:stretch>
                  </pic:blipFill>
                  <pic:spPr>
                    <a:xfrm>
                      <a:off x="0" y="0"/>
                      <a:ext cx="7547610" cy="10774680"/>
                    </a:xfrm>
                    <a:prstGeom prst="rect">
                      <a:avLst/>
                    </a:prstGeom>
                  </pic:spPr>
                </pic:pic>
              </a:graphicData>
            </a:graphic>
          </wp:anchor>
        </w:drawing>
      </w:r>
    </w:p>
    <w:p w14:paraId="0C013770"/>
    <w:sectPr>
      <w:headerReference r:id="rId15" w:type="first"/>
      <w:headerReference r:id="rId13" w:type="default"/>
      <w:footerReference r:id="rId16" w:type="default"/>
      <w:headerReference r:id="rId14" w:type="even"/>
      <w:pgSz w:w="11906" w:h="16838"/>
      <w:pgMar w:top="720" w:right="720" w:bottom="720" w:left="720" w:header="709" w:footer="708" w:gutter="0"/>
      <w:cols w:space="708"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依米" w:date="2025-12-10T10:05:23Z" w:initials="">
    <w:p w14:paraId="5F1366DF">
      <w:pPr>
        <w:pStyle w:val="5"/>
        <w:rPr>
          <w:rFonts w:hint="default" w:eastAsia="微软雅黑"/>
          <w:lang w:val="en-US" w:eastAsia="zh-CN"/>
        </w:rPr>
      </w:pPr>
      <w:r>
        <w:rPr>
          <w:rFonts w:hint="eastAsia"/>
          <w:lang w:val="en-US" w:eastAsia="zh-CN"/>
        </w:rPr>
        <w:t xml:space="preserve">基本信息来源： </w:t>
      </w:r>
    </w:p>
    <w:p w14:paraId="767700B1">
      <w:pPr>
        <w:pStyle w:val="5"/>
      </w:pPr>
      <w:r>
        <w:drawing>
          <wp:inline distT="0" distB="0" distL="114300" distR="114300">
            <wp:extent cx="5260340" cy="3848735"/>
            <wp:effectExtent l="0" t="0" r="10160" b="1206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
                    <a:stretch>
                      <a:fillRect/>
                    </a:stretch>
                  </pic:blipFill>
                  <pic:spPr>
                    <a:xfrm>
                      <a:off x="0" y="0"/>
                      <a:ext cx="5260340" cy="3848735"/>
                    </a:xfrm>
                    <a:prstGeom prst="rect">
                      <a:avLst/>
                    </a:prstGeom>
                    <a:noFill/>
                    <a:ln>
                      <a:noFill/>
                    </a:ln>
                  </pic:spPr>
                </pic:pic>
              </a:graphicData>
            </a:graphic>
          </wp:inline>
        </w:drawing>
      </w:r>
    </w:p>
  </w:comment>
  <w:comment w:id="1" w:author="依米" w:date="2025-12-10T10:06:28Z" w:initials="">
    <w:p w14:paraId="4CB439CE">
      <w:pPr>
        <w:pStyle w:val="5"/>
      </w:pPr>
      <w:r>
        <w:drawing>
          <wp:inline distT="0" distB="0" distL="114300" distR="114300">
            <wp:extent cx="5271135" cy="1843405"/>
            <wp:effectExtent l="0" t="0" r="12065" b="1079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2"/>
                    <a:stretch>
                      <a:fillRect/>
                    </a:stretch>
                  </pic:blipFill>
                  <pic:spPr>
                    <a:xfrm>
                      <a:off x="0" y="0"/>
                      <a:ext cx="5271135" cy="1843405"/>
                    </a:xfrm>
                    <a:prstGeom prst="rect">
                      <a:avLst/>
                    </a:prstGeom>
                    <a:noFill/>
                    <a:ln>
                      <a:noFill/>
                    </a:ln>
                  </pic:spPr>
                </pic:pic>
              </a:graphicData>
            </a:graphic>
          </wp:inline>
        </w:drawing>
      </w:r>
    </w:p>
  </w:comment>
  <w:comment w:id="2" w:author="依米" w:date="2025-12-10T10:06:42Z" w:initials="">
    <w:p w14:paraId="61DCC780">
      <w:pPr>
        <w:pStyle w:val="5"/>
      </w:pPr>
      <w:r>
        <w:drawing>
          <wp:inline distT="0" distB="0" distL="114300" distR="114300">
            <wp:extent cx="5266690" cy="911225"/>
            <wp:effectExtent l="0" t="0" r="3810" b="317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3"/>
                    <a:stretch>
                      <a:fillRect/>
                    </a:stretch>
                  </pic:blipFill>
                  <pic:spPr>
                    <a:xfrm>
                      <a:off x="0" y="0"/>
                      <a:ext cx="5266690" cy="911225"/>
                    </a:xfrm>
                    <a:prstGeom prst="rect">
                      <a:avLst/>
                    </a:prstGeom>
                    <a:noFill/>
                    <a:ln>
                      <a:noFill/>
                    </a:ln>
                  </pic:spPr>
                </pic:pic>
              </a:graphicData>
            </a:graphic>
          </wp:inline>
        </w:drawing>
      </w:r>
    </w:p>
  </w:comment>
  <w:comment w:id="3" w:author="依米" w:date="2025-12-10T10:10:00Z" w:initials="">
    <w:p w14:paraId="4C3E55B6">
      <w:pPr>
        <w:pStyle w:val="5"/>
      </w:pPr>
      <w:r>
        <w:rPr>
          <w:rFonts w:hint="eastAsia"/>
          <w:lang w:val="en-US" w:eastAsia="zh-CN"/>
        </w:rPr>
        <w:t>我们会在表单A列中标注出</w:t>
      </w:r>
      <w:r>
        <w:rPr>
          <w:rFonts w:hint="eastAsia" w:ascii="微软雅黑" w:hAnsi="微软雅黑"/>
          <w:sz w:val="18"/>
        </w:rPr>
        <w:t>Ⅰ类</w:t>
      </w:r>
      <w:r>
        <w:rPr>
          <w:rFonts w:hint="eastAsia" w:ascii="微软雅黑" w:hAnsi="微软雅黑"/>
          <w:sz w:val="18"/>
          <w:lang w:eastAsia="zh-CN"/>
        </w:rPr>
        <w:t>、</w:t>
      </w:r>
      <w:r>
        <w:rPr>
          <w:rFonts w:hint="eastAsia" w:ascii="微软雅黑" w:hAnsi="微软雅黑"/>
          <w:sz w:val="18"/>
        </w:rPr>
        <w:t>Ⅱ类</w:t>
      </w:r>
      <w:r>
        <w:rPr>
          <w:rFonts w:hint="eastAsia" w:ascii="微软雅黑" w:hAnsi="微软雅黑"/>
          <w:sz w:val="18"/>
          <w:lang w:eastAsia="zh-CN"/>
        </w:rPr>
        <w:t>、</w:t>
      </w:r>
      <w:r>
        <w:rPr>
          <w:rFonts w:hint="eastAsia" w:ascii="微软雅黑" w:hAnsi="微软雅黑"/>
          <w:sz w:val="18"/>
        </w:rPr>
        <w:t>Ⅲ类</w:t>
      </w:r>
      <w:r>
        <w:rPr>
          <w:rFonts w:hint="eastAsia" w:ascii="微软雅黑" w:hAnsi="微软雅黑"/>
          <w:sz w:val="18"/>
          <w:lang w:eastAsia="zh-CN"/>
        </w:rPr>
        <w:t>，</w:t>
      </w:r>
      <w:r>
        <w:rPr>
          <w:rFonts w:hint="eastAsia" w:ascii="微软雅黑" w:hAnsi="微软雅黑"/>
          <w:sz w:val="18"/>
          <w:lang w:val="en-US" w:eastAsia="zh-CN"/>
        </w:rPr>
        <w:t>这个表格中只要出现</w:t>
      </w:r>
      <w:r>
        <w:rPr>
          <w:rFonts w:hint="eastAsia" w:ascii="微软雅黑" w:hAnsi="微软雅黑"/>
          <w:sz w:val="18"/>
        </w:rPr>
        <w:t>Ⅰ类</w:t>
      </w:r>
      <w:r>
        <w:rPr>
          <w:rFonts w:hint="eastAsia" w:ascii="微软雅黑" w:hAnsi="微软雅黑"/>
          <w:sz w:val="18"/>
          <w:lang w:eastAsia="zh-CN"/>
        </w:rPr>
        <w:t>、</w:t>
      </w:r>
      <w:r>
        <w:rPr>
          <w:rFonts w:hint="eastAsia" w:ascii="微软雅黑" w:hAnsi="微软雅黑"/>
          <w:sz w:val="18"/>
        </w:rPr>
        <w:t>Ⅱ类</w:t>
      </w:r>
      <w:r>
        <w:rPr>
          <w:rFonts w:hint="eastAsia" w:ascii="微软雅黑" w:hAnsi="微软雅黑"/>
          <w:sz w:val="18"/>
          <w:lang w:val="en-US" w:eastAsia="zh-CN"/>
        </w:rPr>
        <w:t>的基因即可</w:t>
      </w:r>
      <w:r>
        <w:drawing>
          <wp:inline distT="0" distB="0" distL="114300" distR="114300">
            <wp:extent cx="5266055" cy="3505200"/>
            <wp:effectExtent l="0" t="0" r="4445" b="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4"/>
                    <a:stretch>
                      <a:fillRect/>
                    </a:stretch>
                  </pic:blipFill>
                  <pic:spPr>
                    <a:xfrm>
                      <a:off x="0" y="0"/>
                      <a:ext cx="5266055" cy="3505200"/>
                    </a:xfrm>
                    <a:prstGeom prst="rect">
                      <a:avLst/>
                    </a:prstGeom>
                    <a:noFill/>
                    <a:ln>
                      <a:noFill/>
                    </a:ln>
                  </pic:spPr>
                </pic:pic>
              </a:graphicData>
            </a:graphic>
          </wp:inline>
        </w:drawing>
      </w:r>
    </w:p>
  </w:comment>
  <w:comment w:id="4" w:author="依米" w:date="2025-12-10T10:11:49Z" w:initials="">
    <w:p w14:paraId="42F07B02">
      <w:pPr>
        <w:pStyle w:val="5"/>
        <w:rPr>
          <w:rFonts w:hint="default" w:eastAsia="微软雅黑"/>
          <w:lang w:val="en-US" w:eastAsia="zh-CN"/>
        </w:rPr>
      </w:pPr>
      <w:r>
        <w:rPr>
          <w:rFonts w:hint="eastAsia"/>
          <w:lang w:val="en-US" w:eastAsia="zh-CN"/>
        </w:rPr>
        <w:t>这一列是表单中E、F列的组合，中间用英文逗号与换行 隔开即可</w:t>
      </w:r>
    </w:p>
  </w:comment>
  <w:comment w:id="5" w:author="依米" w:date="2025-12-10T10:12:43Z" w:initials="">
    <w:p w14:paraId="26DEDF26">
      <w:pPr>
        <w:pStyle w:val="5"/>
        <w:rPr>
          <w:rFonts w:hint="default" w:eastAsia="微软雅黑"/>
          <w:lang w:val="en-US" w:eastAsia="zh-CN"/>
        </w:rPr>
      </w:pPr>
      <w:r>
        <w:rPr>
          <w:rFonts w:hint="eastAsia"/>
        </w:rPr>
        <w:t>潜在获益靶向药物</w:t>
      </w:r>
      <w:r>
        <w:rPr>
          <w:rFonts w:hint="eastAsia"/>
          <w:lang w:val="en-US" w:eastAsia="zh-CN"/>
        </w:rPr>
        <w:t xml:space="preserve"> 与 可能耐药或慎重药物，这一列 需要辛苦杨经理帮我们调取一下既往报告中的内容（格式的话 文件中有一个：+++自建肠癌基因数据库 可以参考）</w:t>
      </w:r>
    </w:p>
  </w:comment>
  <w:comment w:id="6" w:author="依米" w:date="2025-12-10T10:15:54Z" w:initials="">
    <w:p w14:paraId="02EDBBFE">
      <w:pPr>
        <w:pStyle w:val="5"/>
        <w:rPr>
          <w:rFonts w:hint="default" w:eastAsia="微软雅黑"/>
          <w:lang w:val="en-US" w:eastAsia="zh-CN"/>
        </w:rPr>
      </w:pPr>
      <w:r>
        <w:rPr>
          <w:rFonts w:hint="eastAsia"/>
          <w:lang w:val="en-US" w:eastAsia="zh-CN"/>
        </w:rPr>
        <w:t>这部分内容不用动</w:t>
      </w:r>
    </w:p>
  </w:comment>
  <w:comment w:id="7" w:author="依米" w:date="2025-12-10T10:16:30Z" w:initials="">
    <w:p w14:paraId="2F16F1E3">
      <w:pPr>
        <w:pStyle w:val="5"/>
        <w:rPr>
          <w:rFonts w:hint="eastAsia"/>
          <w:lang w:val="en-US" w:eastAsia="zh-CN"/>
        </w:rPr>
      </w:pPr>
      <w:r>
        <w:rPr>
          <w:rFonts w:hint="eastAsia"/>
          <w:lang w:val="en-US" w:eastAsia="zh-CN"/>
        </w:rPr>
        <w:t>这部分内容是 上面</w:t>
      </w:r>
      <w:r>
        <w:rPr>
          <w:rFonts w:hint="eastAsia"/>
        </w:rPr>
        <w:t>潜在获益靶向药物</w:t>
      </w:r>
      <w:r>
        <w:rPr>
          <w:rFonts w:hint="eastAsia"/>
          <w:lang w:val="en-US" w:eastAsia="zh-CN"/>
        </w:rPr>
        <w:t xml:space="preserve"> 与 可能耐药或慎重药物 出现的药物 加上商品名的汇总，这部分 请您看下从报告中提取方便与否？</w:t>
      </w:r>
    </w:p>
    <w:p w14:paraId="3D1941FD">
      <w:pPr>
        <w:pStyle w:val="5"/>
        <w:rPr>
          <w:rFonts w:hint="default"/>
          <w:lang w:val="en-US" w:eastAsia="zh-CN"/>
        </w:rPr>
      </w:pPr>
      <w:r>
        <w:rPr>
          <w:rFonts w:hint="eastAsia"/>
          <w:lang w:val="en-US" w:eastAsia="zh-CN"/>
        </w:rPr>
        <w:t>不好弄的话 我们这边 可以汇总一下 所有药物的商品名发您</w:t>
      </w:r>
    </w:p>
  </w:comment>
  <w:comment w:id="8" w:author="依米" w:date="2025-12-10T10:18:35Z" w:initials="">
    <w:p w14:paraId="1ABDD75B">
      <w:pPr>
        <w:pStyle w:val="5"/>
      </w:pPr>
      <w:r>
        <w:rPr>
          <w:rFonts w:hint="eastAsia"/>
          <w:lang w:val="en-US" w:eastAsia="zh-CN"/>
        </w:rPr>
        <w:t>数值来源：</w:t>
      </w:r>
      <w:r>
        <w:drawing>
          <wp:inline distT="0" distB="0" distL="114300" distR="114300">
            <wp:extent cx="2520315" cy="2988310"/>
            <wp:effectExtent l="0" t="0" r="6985" b="8890"/>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5"/>
                    <a:stretch>
                      <a:fillRect/>
                    </a:stretch>
                  </pic:blipFill>
                  <pic:spPr>
                    <a:xfrm>
                      <a:off x="0" y="0"/>
                      <a:ext cx="2520315" cy="2988310"/>
                    </a:xfrm>
                    <a:prstGeom prst="rect">
                      <a:avLst/>
                    </a:prstGeom>
                    <a:noFill/>
                    <a:ln>
                      <a:noFill/>
                    </a:ln>
                  </pic:spPr>
                </pic:pic>
              </a:graphicData>
            </a:graphic>
          </wp:inline>
        </w:drawing>
      </w:r>
    </w:p>
  </w:comment>
  <w:comment w:id="9" w:author="依米" w:date="2025-12-10T10:18:51Z" w:initials="">
    <w:p w14:paraId="6491F8D1">
      <w:pPr>
        <w:pStyle w:val="5"/>
        <w:rPr>
          <w:rFonts w:hint="default" w:eastAsia="微软雅黑"/>
          <w:lang w:val="en-US" w:eastAsia="zh-CN"/>
        </w:rPr>
      </w:pPr>
      <w:r>
        <w:rPr>
          <w:rFonts w:hint="eastAsia"/>
          <w:lang w:val="en-US" w:eastAsia="zh-CN"/>
        </w:rPr>
        <w:t>参考值 看样本类型，组织就是10；血液是16</w:t>
      </w:r>
    </w:p>
  </w:comment>
  <w:comment w:id="10" w:author="依米" w:date="2025-12-10T10:19:13Z" w:initials="">
    <w:p w14:paraId="1529B33D">
      <w:pPr>
        <w:pStyle w:val="5"/>
        <w:rPr>
          <w:rFonts w:hint="default" w:eastAsia="微软雅黑"/>
          <w:lang w:val="en-US" w:eastAsia="zh-CN"/>
        </w:rPr>
      </w:pPr>
      <w:r>
        <w:rPr>
          <w:rFonts w:hint="eastAsia"/>
          <w:lang w:val="en-US" w:eastAsia="zh-CN"/>
        </w:rPr>
        <w:t>用药提示 是根据癌种变动的，肠癌都是一致的</w:t>
      </w:r>
    </w:p>
  </w:comment>
  <w:comment w:id="11" w:author="依米" w:date="2025-12-10T10:20:07Z" w:initials="">
    <w:p w14:paraId="0551283D">
      <w:pPr>
        <w:pStyle w:val="5"/>
      </w:pPr>
      <w:r>
        <w:drawing>
          <wp:inline distT="0" distB="0" distL="114300" distR="114300">
            <wp:extent cx="3245485" cy="2427605"/>
            <wp:effectExtent l="0" t="0" r="5715" b="10795"/>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6"/>
                    <a:stretch>
                      <a:fillRect/>
                    </a:stretch>
                  </pic:blipFill>
                  <pic:spPr>
                    <a:xfrm>
                      <a:off x="0" y="0"/>
                      <a:ext cx="3245485" cy="2427605"/>
                    </a:xfrm>
                    <a:prstGeom prst="rect">
                      <a:avLst/>
                    </a:prstGeom>
                    <a:noFill/>
                    <a:ln>
                      <a:noFill/>
                    </a:ln>
                  </pic:spPr>
                </pic:pic>
              </a:graphicData>
            </a:graphic>
          </wp:inline>
        </w:drawing>
      </w:r>
    </w:p>
  </w:comment>
  <w:comment w:id="12" w:author="依米" w:date="2025-12-10T10:20:23Z" w:initials="">
    <w:p w14:paraId="3C7AEDB7">
      <w:pPr>
        <w:pStyle w:val="5"/>
        <w:rPr>
          <w:rFonts w:hint="eastAsia" w:eastAsia="微软雅黑"/>
          <w:lang w:val="en-US" w:eastAsia="zh-CN"/>
        </w:rPr>
      </w:pPr>
      <w:r>
        <w:rPr>
          <w:rFonts w:hint="eastAsia"/>
          <w:lang w:val="en-US" w:eastAsia="zh-CN"/>
        </w:rPr>
        <w:t>免疫相关基因这里 我可以跟您提供一个表，只要出现了 这些基因的Ⅰ类、Ⅱ类突变 就放在这里，</w:t>
      </w:r>
      <w:r>
        <w:rPr>
          <w:rFonts w:hint="eastAsia" w:ascii="微软雅黑" w:hAnsi="微软雅黑"/>
          <w:sz w:val="18"/>
        </w:rPr>
        <w:t>Ⅲ类</w:t>
      </w:r>
      <w:r>
        <w:rPr>
          <w:rFonts w:hint="eastAsia" w:ascii="微软雅黑" w:hAnsi="微软雅黑"/>
          <w:sz w:val="18"/>
          <w:lang w:val="en-US" w:eastAsia="zh-CN"/>
        </w:rPr>
        <w:t>不用</w:t>
      </w:r>
    </w:p>
  </w:comment>
  <w:comment w:id="13" w:author="依米" w:date="2025-12-10T10:22:05Z" w:initials="">
    <w:p w14:paraId="71FF9A26">
      <w:pPr>
        <w:pStyle w:val="5"/>
        <w:rPr>
          <w:rFonts w:hint="default" w:eastAsia="微软雅黑"/>
          <w:lang w:val="en-US" w:eastAsia="zh-CN"/>
        </w:rPr>
      </w:pPr>
      <w:r>
        <w:rPr>
          <w:rFonts w:hint="eastAsia"/>
          <w:lang w:val="en-US" w:eastAsia="zh-CN"/>
        </w:rPr>
        <w:t>肠癌 TMB-L写法都是固定的，TMB-H的 见肖振娟报告</w:t>
      </w:r>
    </w:p>
  </w:comment>
  <w:comment w:id="14" w:author="依米" w:date="2025-12-10T10:26:03Z" w:initials="">
    <w:p w14:paraId="749841AF">
      <w:pPr>
        <w:pStyle w:val="5"/>
      </w:pPr>
      <w:r>
        <w:drawing>
          <wp:inline distT="0" distB="0" distL="114300" distR="114300">
            <wp:extent cx="1061085" cy="1819910"/>
            <wp:effectExtent l="0" t="0" r="5715" b="8890"/>
            <wp:docPr id="1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8"/>
                    <pic:cNvPicPr>
                      <a:picLocks noChangeAspect="1"/>
                    </pic:cNvPicPr>
                  </pic:nvPicPr>
                  <pic:blipFill>
                    <a:blip r:embed="rId7"/>
                    <a:stretch>
                      <a:fillRect/>
                    </a:stretch>
                  </pic:blipFill>
                  <pic:spPr>
                    <a:xfrm>
                      <a:off x="0" y="0"/>
                      <a:ext cx="1061085" cy="1819910"/>
                    </a:xfrm>
                    <a:prstGeom prst="rect">
                      <a:avLst/>
                    </a:prstGeom>
                    <a:noFill/>
                    <a:ln>
                      <a:noFill/>
                    </a:ln>
                  </pic:spPr>
                </pic:pic>
              </a:graphicData>
            </a:graphic>
          </wp:inline>
        </w:drawing>
      </w:r>
    </w:p>
  </w:comment>
  <w:comment w:id="15" w:author="依米" w:date="2025-12-10T10:25:40Z" w:initials="">
    <w:p w14:paraId="34C83E15">
      <w:pPr>
        <w:pStyle w:val="5"/>
      </w:pPr>
      <w:r>
        <w:rPr>
          <w:rFonts w:hint="eastAsia"/>
          <w:lang w:val="en-US" w:eastAsia="zh-CN"/>
        </w:rPr>
        <w:t>对应：</w:t>
      </w:r>
      <w:r>
        <w:drawing>
          <wp:inline distT="0" distB="0" distL="114300" distR="114300">
            <wp:extent cx="5269865" cy="1452880"/>
            <wp:effectExtent l="0" t="0" r="635" b="7620"/>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8"/>
                    <a:stretch>
                      <a:fillRect/>
                    </a:stretch>
                  </pic:blipFill>
                  <pic:spPr>
                    <a:xfrm>
                      <a:off x="0" y="0"/>
                      <a:ext cx="5269865" cy="1452880"/>
                    </a:xfrm>
                    <a:prstGeom prst="rect">
                      <a:avLst/>
                    </a:prstGeom>
                    <a:noFill/>
                    <a:ln>
                      <a:noFill/>
                    </a:ln>
                  </pic:spPr>
                </pic:pic>
              </a:graphicData>
            </a:graphic>
          </wp:inline>
        </w:drawing>
      </w:r>
    </w:p>
  </w:comment>
  <w:comment w:id="16" w:author="依米" w:date="2025-12-10T10:26:19Z" w:initials="">
    <w:p w14:paraId="0B9130EC">
      <w:pPr>
        <w:pStyle w:val="5"/>
        <w:rPr>
          <w:rFonts w:hint="default" w:eastAsia="微软雅黑"/>
          <w:lang w:val="en-US" w:eastAsia="zh-CN"/>
        </w:rPr>
      </w:pPr>
      <w:r>
        <w:rPr>
          <w:rFonts w:hint="eastAsia"/>
          <w:lang w:val="en-US" w:eastAsia="zh-CN"/>
        </w:rPr>
        <w:t>这个是看c.格式来的，del是缺失，dup重复，ins插入，delins确实插入</w:t>
      </w:r>
    </w:p>
  </w:comment>
  <w:comment w:id="17" w:author="依米" w:date="2025-12-10T10:27:47Z" w:initials="">
    <w:p w14:paraId="4E3E2976">
      <w:pPr>
        <w:pStyle w:val="5"/>
        <w:rPr>
          <w:rFonts w:hint="default" w:eastAsia="微软雅黑"/>
          <w:lang w:val="en-US" w:eastAsia="zh-CN"/>
        </w:rPr>
      </w:pPr>
      <w:r>
        <w:rPr>
          <w:rFonts w:hint="eastAsia"/>
          <w:lang w:val="en-US" w:eastAsia="zh-CN"/>
        </w:rPr>
        <w:t>下面这些未见突变的 也是根据癌种不同来的，我们之后提供给您一个 各癌症重要基因的表</w:t>
      </w:r>
    </w:p>
  </w:comment>
  <w:comment w:id="18" w:author="依米" w:date="2025-12-10T10:29:18Z" w:initials="">
    <w:p w14:paraId="3C2331E9">
      <w:pPr>
        <w:pStyle w:val="5"/>
        <w:rPr>
          <w:rFonts w:hint="default" w:eastAsia="微软雅黑"/>
          <w:lang w:val="en-US" w:eastAsia="zh-CN"/>
        </w:rPr>
      </w:pPr>
      <w:r>
        <w:rPr>
          <w:rFonts w:hint="eastAsia"/>
          <w:lang w:val="en-US" w:eastAsia="zh-CN"/>
        </w:rPr>
        <w:t>肠癌 固定用这个就好</w:t>
      </w:r>
    </w:p>
  </w:comment>
  <w:comment w:id="19" w:author="依米" w:date="2025-12-10T10:29:45Z" w:initials="">
    <w:p w14:paraId="4848C197">
      <w:pPr>
        <w:pStyle w:val="5"/>
        <w:rPr>
          <w:rFonts w:hint="eastAsia"/>
          <w:lang w:val="en-US" w:eastAsia="zh-CN"/>
        </w:rPr>
      </w:pPr>
      <w:r>
        <w:rPr>
          <w:rFonts w:hint="eastAsia"/>
          <w:lang w:val="en-US" w:eastAsia="zh-CN"/>
        </w:rPr>
        <w:t>这个表，根据 我们筛选出来的基因 Ⅰ类、</w:t>
      </w:r>
      <w:r>
        <w:rPr>
          <w:rFonts w:hint="eastAsia" w:ascii="微软雅黑" w:hAnsi="微软雅黑"/>
          <w:sz w:val="18"/>
        </w:rPr>
        <w:t>Ⅱ类</w:t>
      </w:r>
      <w:r>
        <w:rPr>
          <w:rFonts w:hint="eastAsia"/>
          <w:lang w:val="en-US" w:eastAsia="zh-CN"/>
        </w:rPr>
        <w:t>符合条件的话 填进去就好；</w:t>
      </w:r>
    </w:p>
    <w:p w14:paraId="56E9E01E">
      <w:pPr>
        <w:pStyle w:val="5"/>
        <w:rPr>
          <w:rFonts w:hint="default" w:eastAsia="微软雅黑"/>
          <w:lang w:val="en-US" w:eastAsia="zh-CN"/>
        </w:rPr>
      </w:pPr>
      <w:r>
        <w:rPr>
          <w:rFonts w:hint="eastAsia" w:ascii="微软雅黑" w:hAnsi="微软雅黑"/>
          <w:sz w:val="18"/>
        </w:rPr>
        <w:t>Ⅲ类</w:t>
      </w:r>
      <w:r>
        <w:rPr>
          <w:rFonts w:hint="eastAsia" w:ascii="微软雅黑" w:hAnsi="微软雅黑"/>
          <w:sz w:val="18"/>
          <w:lang w:val="en-US" w:eastAsia="zh-CN"/>
        </w:rPr>
        <w:t>需要填进去 同时加上（意义未明突变）</w:t>
      </w:r>
    </w:p>
  </w:comment>
  <w:comment w:id="20" w:author="依米" w:date="2025-12-10T10:31:19Z" w:initials="">
    <w:p w14:paraId="244A014F">
      <w:pPr>
        <w:pStyle w:val="5"/>
        <w:rPr>
          <w:rFonts w:hint="default" w:eastAsia="微软雅黑"/>
          <w:lang w:val="en-US" w:eastAsia="zh-CN"/>
        </w:rPr>
      </w:pPr>
      <w:r>
        <w:rPr>
          <w:rFonts w:hint="eastAsia"/>
          <w:lang w:val="en-US" w:eastAsia="zh-CN"/>
        </w:rPr>
        <w:t>肠癌 固定就好</w:t>
      </w:r>
    </w:p>
  </w:comment>
  <w:comment w:id="21" w:author="依米" w:date="2025-12-10T10:31:44Z" w:initials="">
    <w:p w14:paraId="5EBB139C">
      <w:pPr>
        <w:pStyle w:val="5"/>
        <w:rPr>
          <w:rFonts w:hint="default" w:eastAsia="微软雅黑"/>
          <w:lang w:val="en-US" w:eastAsia="zh-CN"/>
        </w:rPr>
      </w:pPr>
      <w:r>
        <w:rPr>
          <w:rFonts w:hint="eastAsia"/>
          <w:lang w:val="en-US" w:eastAsia="zh-CN"/>
        </w:rPr>
        <w:t>TMB与上面表单来源一致</w:t>
      </w:r>
    </w:p>
  </w:comment>
  <w:comment w:id="22" w:author="依米" w:date="2025-12-10T10:32:09Z" w:initials="">
    <w:p w14:paraId="29B9BA9D">
      <w:pPr>
        <w:pStyle w:val="5"/>
        <w:rPr>
          <w:rFonts w:hint="default" w:eastAsia="微软雅黑"/>
          <w:lang w:val="en-US" w:eastAsia="zh-CN"/>
        </w:rPr>
      </w:pPr>
      <w:r>
        <w:rPr>
          <w:rFonts w:hint="eastAsia"/>
          <w:lang w:val="en-US" w:eastAsia="zh-CN"/>
        </w:rPr>
        <w:t>MSI与上面表单来源一致</w:t>
      </w:r>
    </w:p>
    <w:p w14:paraId="5BCF2CDC">
      <w:pPr>
        <w:pStyle w:val="5"/>
      </w:pPr>
    </w:p>
  </w:comment>
  <w:comment w:id="23" w:author="依米" w:date="2025-12-10T10:32:31Z" w:initials="">
    <w:p w14:paraId="6342564D">
      <w:pPr>
        <w:pStyle w:val="5"/>
        <w:rPr>
          <w:rFonts w:hint="default" w:eastAsia="微软雅黑"/>
          <w:lang w:val="en-US" w:eastAsia="zh-CN"/>
        </w:rPr>
      </w:pPr>
      <w:r>
        <w:rPr>
          <w:rFonts w:hint="eastAsia"/>
          <w:lang w:val="en-US" w:eastAsia="zh-CN"/>
        </w:rPr>
        <w:t>此处逻辑 与上表一致</w:t>
      </w:r>
    </w:p>
  </w:comment>
  <w:comment w:id="24" w:author="依米" w:date="2025-12-10T10:33:13Z" w:initials="">
    <w:p w14:paraId="6D2D3BF3">
      <w:pPr>
        <w:pStyle w:val="5"/>
        <w:rPr>
          <w:rFonts w:hint="default" w:eastAsia="微软雅黑"/>
          <w:lang w:val="en-US" w:eastAsia="zh-CN"/>
        </w:rPr>
      </w:pPr>
      <w:r>
        <w:rPr>
          <w:rFonts w:hint="eastAsia"/>
          <w:lang w:val="en-US" w:eastAsia="zh-CN"/>
        </w:rPr>
        <w:t>基因变异 大部分内容根据基因走的（未标注部分 该基因的所有癌种 均一致）；需要变动的如下：</w:t>
      </w:r>
    </w:p>
  </w:comment>
  <w:comment w:id="25" w:author="依米" w:date="2025-12-10T10:34:11Z" w:initials="">
    <w:p w14:paraId="04948B9B">
      <w:pPr>
        <w:pStyle w:val="5"/>
        <w:rPr>
          <w:rFonts w:hint="default" w:eastAsia="微软雅黑"/>
          <w:lang w:val="en-US" w:eastAsia="zh-CN"/>
        </w:rPr>
      </w:pPr>
      <w:r>
        <w:rPr>
          <w:rFonts w:hint="eastAsia"/>
          <w:lang w:val="en-US" w:eastAsia="zh-CN"/>
        </w:rPr>
        <w:t>来源C E F I列</w:t>
      </w:r>
    </w:p>
  </w:comment>
  <w:comment w:id="26" w:author="依米" w:date="2025-12-10T10:34:35Z" w:initials="">
    <w:p w14:paraId="562B8DBC">
      <w:pPr>
        <w:pStyle w:val="5"/>
        <w:rPr>
          <w:rFonts w:hint="default" w:eastAsia="微软雅黑"/>
          <w:lang w:val="en-US" w:eastAsia="zh-CN"/>
        </w:rPr>
      </w:pPr>
      <w:r>
        <w:rPr>
          <w:rFonts w:hint="eastAsia"/>
          <w:lang w:val="en-US" w:eastAsia="zh-CN"/>
        </w:rPr>
        <w:t>需要根据位点实际情况编写 自动化</w:t>
      </w:r>
    </w:p>
  </w:comment>
  <w:comment w:id="27" w:author="依米" w:date="2025-12-10T10:35:31Z" w:initials="">
    <w:p w14:paraId="6B462666">
      <w:pPr>
        <w:pStyle w:val="5"/>
        <w:rPr>
          <w:rFonts w:hint="default" w:eastAsia="微软雅黑"/>
          <w:lang w:val="en-US" w:eastAsia="zh-CN"/>
        </w:rPr>
      </w:pPr>
      <w:r>
        <w:rPr>
          <w:rFonts w:hint="eastAsia"/>
          <w:lang w:val="en-US" w:eastAsia="zh-CN"/>
        </w:rPr>
        <w:t>这句话 可以先帮我们收集已有的，未出现过的 我们可以后续录入</w:t>
      </w:r>
    </w:p>
  </w:comment>
  <w:comment w:id="28" w:author="依米" w:date="2025-12-10T10:36:50Z" w:initials="">
    <w:p w14:paraId="375E1E97">
      <w:pPr>
        <w:pStyle w:val="5"/>
        <w:rPr>
          <w:rFonts w:hint="default" w:eastAsia="微软雅黑"/>
          <w:lang w:val="en-US" w:eastAsia="zh-CN"/>
        </w:rPr>
      </w:pPr>
      <w:r>
        <w:rPr>
          <w:rFonts w:hint="eastAsia"/>
          <w:lang w:val="en-US" w:eastAsia="zh-CN"/>
        </w:rPr>
        <w:t>不同癌种会有区别，肠癌均一致</w:t>
      </w:r>
    </w:p>
  </w:comment>
  <w:comment w:id="29" w:author="依米" w:date="2025-12-10T10:58:52Z" w:initials="">
    <w:p w14:paraId="1D07F3FF">
      <w:pPr>
        <w:pStyle w:val="5"/>
        <w:rPr>
          <w:rFonts w:hint="default" w:eastAsia="微软雅黑"/>
          <w:lang w:val="en-US" w:eastAsia="zh-CN"/>
        </w:rPr>
      </w:pPr>
      <w:r>
        <w:rPr>
          <w:rFonts w:hint="eastAsia"/>
          <w:lang w:val="en-US" w:eastAsia="zh-CN"/>
        </w:rPr>
        <w:t>固定即可</w:t>
      </w:r>
    </w:p>
  </w:comment>
  <w:comment w:id="30" w:author="依米" w:date="2025-12-10T10:59:08Z" w:initials="">
    <w:p w14:paraId="6CFDDFCD">
      <w:pPr>
        <w:pStyle w:val="5"/>
      </w:pPr>
      <w:r>
        <w:rPr>
          <w:rFonts w:hint="eastAsia"/>
          <w:lang w:val="en-US" w:eastAsia="zh-CN"/>
        </w:rPr>
        <w:t>固定即可</w:t>
      </w:r>
    </w:p>
  </w:comment>
  <w:comment w:id="31" w:author="依米" w:date="2025-12-10T10:59:15Z" w:initials="">
    <w:p w14:paraId="747489A6">
      <w:pPr>
        <w:pStyle w:val="5"/>
        <w:rPr>
          <w:rFonts w:hint="default" w:eastAsia="微软雅黑"/>
          <w:lang w:val="en-US" w:eastAsia="zh-CN"/>
        </w:rPr>
      </w:pPr>
      <w:r>
        <w:rPr>
          <w:rFonts w:hint="eastAsia"/>
          <w:lang w:val="en-US" w:eastAsia="zh-CN"/>
        </w:rPr>
        <w:t>根据癌种走的，肠癌固定这个就好</w:t>
      </w:r>
    </w:p>
  </w:comment>
  <w:comment w:id="32" w:author="依米" w:date="2025-12-10T10:59:47Z" w:initials="">
    <w:p w14:paraId="5A49E899">
      <w:pPr>
        <w:pStyle w:val="5"/>
        <w:rPr>
          <w:rFonts w:hint="eastAsia" w:eastAsia="微软雅黑"/>
          <w:lang w:val="en-US" w:eastAsia="zh-CN"/>
        </w:rPr>
      </w:pPr>
      <w:r>
        <w:rPr>
          <w:rFonts w:hint="eastAsia"/>
          <w:lang w:val="en-US" w:eastAsia="zh-CN"/>
        </w:rPr>
        <w:t>固定即可</w:t>
      </w:r>
    </w:p>
  </w:comment>
  <w:comment w:id="33" w:author="依米" w:date="2025-12-10T11:01:46Z" w:initials="">
    <w:p w14:paraId="2FE1BE32">
      <w:pPr>
        <w:pStyle w:val="5"/>
        <w:rPr>
          <w:rFonts w:hint="default" w:eastAsia="微软雅黑"/>
          <w:lang w:val="en-US" w:eastAsia="zh-CN"/>
        </w:rPr>
      </w:pPr>
      <w:r>
        <w:rPr>
          <w:rFonts w:hint="eastAsia"/>
          <w:lang w:val="en-US" w:eastAsia="zh-CN"/>
        </w:rPr>
        <w:t>跟检测数目相关</w:t>
      </w:r>
    </w:p>
  </w:comment>
  <w:comment w:id="34" w:author="依米" w:date="2025-12-10T11:02:29Z" w:initials="">
    <w:p w14:paraId="5EF177E3">
      <w:pPr>
        <w:pStyle w:val="5"/>
        <w:rPr>
          <w:rFonts w:hint="default" w:eastAsia="微软雅黑"/>
          <w:lang w:val="en-US" w:eastAsia="zh-CN"/>
        </w:rPr>
      </w:pPr>
      <w:r>
        <w:rPr>
          <w:rFonts w:hint="eastAsia"/>
          <w:lang w:val="en-US" w:eastAsia="zh-CN"/>
        </w:rPr>
        <w:t>根据基因简介+药物 两个模块中出现的参考文献，通过PubMed查找。https://pubmed.ncbi.nlm.nih.gov/</w:t>
      </w:r>
      <w:r>
        <w:drawing>
          <wp:inline distT="0" distB="0" distL="114300" distR="114300">
            <wp:extent cx="3968750" cy="2550160"/>
            <wp:effectExtent l="0" t="0" r="6350" b="2540"/>
            <wp:docPr id="1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9"/>
                    <pic:cNvPicPr>
                      <a:picLocks noChangeAspect="1"/>
                    </pic:cNvPicPr>
                  </pic:nvPicPr>
                  <pic:blipFill>
                    <a:blip r:embed="rId9"/>
                    <a:stretch>
                      <a:fillRect/>
                    </a:stretch>
                  </pic:blipFill>
                  <pic:spPr>
                    <a:xfrm>
                      <a:off x="0" y="0"/>
                      <a:ext cx="3968750" cy="2550160"/>
                    </a:xfrm>
                    <a:prstGeom prst="rect">
                      <a:avLst/>
                    </a:prstGeom>
                    <a:noFill/>
                    <a:ln>
                      <a:noFill/>
                    </a:ln>
                  </pic:spPr>
                </pic:pic>
              </a:graphicData>
            </a:graphic>
          </wp:inline>
        </w:drawing>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767700B1" w15:done="0"/>
  <w15:commentEx w15:paraId="4CB439CE" w15:done="0"/>
  <w15:commentEx w15:paraId="61DCC780" w15:done="0"/>
  <w15:commentEx w15:paraId="4C3E55B6" w15:done="0"/>
  <w15:commentEx w15:paraId="42F07B02" w15:done="0"/>
  <w15:commentEx w15:paraId="26DEDF26" w15:done="0"/>
  <w15:commentEx w15:paraId="02EDBBFE" w15:done="0"/>
  <w15:commentEx w15:paraId="3D1941FD" w15:done="0"/>
  <w15:commentEx w15:paraId="1ABDD75B" w15:done="0"/>
  <w15:commentEx w15:paraId="6491F8D1" w15:done="0"/>
  <w15:commentEx w15:paraId="1529B33D" w15:done="0"/>
  <w15:commentEx w15:paraId="0551283D" w15:done="0"/>
  <w15:commentEx w15:paraId="3C7AEDB7" w15:done="0"/>
  <w15:commentEx w15:paraId="71FF9A26" w15:done="0"/>
  <w15:commentEx w15:paraId="749841AF" w15:done="0"/>
  <w15:commentEx w15:paraId="34C83E15" w15:done="0"/>
  <w15:commentEx w15:paraId="0B9130EC" w15:done="0"/>
  <w15:commentEx w15:paraId="4E3E2976" w15:done="0"/>
  <w15:commentEx w15:paraId="3C2331E9" w15:done="0"/>
  <w15:commentEx w15:paraId="56E9E01E" w15:done="0"/>
  <w15:commentEx w15:paraId="244A014F" w15:done="0"/>
  <w15:commentEx w15:paraId="5EBB139C" w15:done="0"/>
  <w15:commentEx w15:paraId="5BCF2CDC" w15:done="0"/>
  <w15:commentEx w15:paraId="6342564D" w15:done="0"/>
  <w15:commentEx w15:paraId="6D2D3BF3" w15:done="0"/>
  <w15:commentEx w15:paraId="04948B9B" w15:done="0"/>
  <w15:commentEx w15:paraId="562B8DBC" w15:done="0"/>
  <w15:commentEx w15:paraId="6B462666" w15:done="0"/>
  <w15:commentEx w15:paraId="375E1E97" w15:done="0"/>
  <w15:commentEx w15:paraId="1D07F3FF" w15:done="0"/>
  <w15:commentEx w15:paraId="6CFDDFCD" w15:done="0"/>
  <w15:commentEx w15:paraId="747489A6" w15:done="0"/>
  <w15:commentEx w15:paraId="5A49E899" w15:done="0"/>
  <w15:commentEx w15:paraId="2FE1BE32" w15:done="0"/>
  <w15:commentEx w15:paraId="5EF177E3"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0"/>
    <w:family w:val="auto"/>
    <w:pitch w:val="default"/>
    <w:sig w:usb0="E0002EFF" w:usb1="C000785B" w:usb2="00000009" w:usb3="00000000" w:csb0="400001FF" w:csb1="FFFF0000"/>
  </w:font>
  <w:font w:name="宋体">
    <w:panose1 w:val="02010600030101010101"/>
    <w:charset w:val="8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ACF3C50" w:usb2="00000016" w:usb3="00000000" w:csb0="0004001F" w:csb1="00000000"/>
  </w:font>
  <w:font w:name="TimesNewRomanPSMT">
    <w:altName w:val="Times New Roman"/>
    <w:panose1 w:val="00000000000000000000"/>
    <w:charset w:val="00"/>
    <w:family w:val="roman"/>
    <w:pitch w:val="default"/>
    <w:sig w:usb0="00000000" w:usb1="00000000" w:usb2="00000010" w:usb3="00000000" w:csb0="00040001" w:csb1="00000000"/>
  </w:font>
  <w:font w:name="ArialUnicodeM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imesNewRomanPS-ItalicMT">
    <w:altName w:val="Segoe Print"/>
    <w:panose1 w:val="00000000000000000000"/>
    <w:charset w:val="00"/>
    <w:family w:val="auto"/>
    <w:pitch w:val="default"/>
    <w:sig w:usb0="00000000" w:usb1="00000000" w:usb2="00000000" w:usb3="00000000" w:csb0="00000000" w:csb1="00000000"/>
  </w:font>
  <w:font w:name="Arial Unicode MS">
    <w:altName w:val="宋体"/>
    <w:panose1 w:val="020B0604020202020204"/>
    <w:charset w:val="86"/>
    <w:family w:val="swiss"/>
    <w:pitch w:val="default"/>
    <w:sig w:usb0="00000000" w:usb1="00000000" w:usb2="0000003F" w:usb3="00000000" w:csb0="603F01FF" w:csb1="FFFF0000"/>
  </w:font>
  <w:font w:name="LPJNJT+Arial Unicode MS">
    <w:altName w:val="SimSun-ExtB"/>
    <w:panose1 w:val="00000000000000000000"/>
    <w:charset w:val="01"/>
    <w:family w:val="swiss"/>
    <w:pitch w:val="default"/>
    <w:sig w:usb0="00000000" w:usb1="00000000" w:usb2="0000003F" w:usb3="00000000" w:csb0="603F01FF" w:csb1="FFFF0000"/>
  </w:font>
  <w:font w:name="SimSun-ExtB">
    <w:panose1 w:val="02010609060101010101"/>
    <w:charset w:val="86"/>
    <w:family w:val="auto"/>
    <w:pitch w:val="default"/>
    <w:sig w:usb0="00000001" w:usb1="02000000" w:usb2="00000000" w:usb3="00000000" w:csb0="00040001" w:csb1="00000000"/>
  </w:font>
  <w:font w:name="OSTASS+åæä¸­å®">
    <w:altName w:val="微软雅黑"/>
    <w:panose1 w:val="00000000000000000000"/>
    <w:charset w:val="01"/>
    <w:family w:val="auto"/>
    <w:pitch w:val="default"/>
    <w:sig w:usb0="00000000" w:usb1="00000000" w:usb2="00000000" w:usb3="00000000" w:csb0="0004009F" w:csb1="DFD70000"/>
  </w:font>
  <w:font w:name="幼圆">
    <w:panose1 w:val="02010509060101010101"/>
    <w:charset w:val="86"/>
    <w:family w:val="modern"/>
    <w:pitch w:val="default"/>
    <w:sig w:usb0="00000001" w:usb1="080E0000" w:usb2="00000000" w:usb3="00000000" w:csb0="00040000" w:csb1="00000000"/>
  </w:font>
  <w:font w:name="Helvetica">
    <w:altName w:val="Arial"/>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E56BA6">
    <w:pPr>
      <w:pStyle w:val="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A09AA7">
    <w:pPr>
      <w:pStyle w:val="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FC4ECB">
    <w:pPr>
      <w:pStyle w:val="8"/>
      <w:pBdr>
        <w:top w:val="single" w:color="auto" w:sz="4" w:space="0"/>
      </w:pBdr>
      <w:jc w:val="center"/>
      <w:rPr>
        <w:sz w:val="21"/>
        <w:szCs w:val="21"/>
      </w:rPr>
    </w:pPr>
    <w:r>
      <w:rPr>
        <w:sz w:val="21"/>
      </w:rPr>
      <mc:AlternateContent>
        <mc:Choice Requires="wps">
          <w:drawing>
            <wp:anchor distT="0" distB="0" distL="114300" distR="114300" simplePos="0" relativeHeight="2516858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3"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a:effectLst/>
                    </wps:spPr>
                    <wps:txbx>
                      <w:txbxContent>
                        <w:p w14:paraId="26548C6F">
                          <w:pPr>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1</w:t>
                          </w:r>
                          <w:r>
                            <w:rPr>
                              <w:rFonts w:hint="eastAsia"/>
                              <w:sz w:val="18"/>
                            </w:rPr>
                            <w:fldChar w:fldCharType="end"/>
                          </w:r>
                        </w:p>
                      </w:txbxContent>
                    </wps:txbx>
                    <wps:bodyPr wrap="none" lIns="0" tIns="0" rIns="0" bIns="0">
                      <a:spAutoFit/>
                    </wps:bodyPr>
                  </wps:wsp>
                </a:graphicData>
              </a:graphic>
            </wp:anchor>
          </w:drawing>
        </mc:Choice>
        <mc:Fallback>
          <w:pict>
            <v:shape id="文本框 4" o:spid="_x0000_s1026" o:spt="202" type="#_x0000_t202" style="position:absolute;left:0pt;margin-top:0pt;height:144pt;width:144pt;mso-position-horizontal:center;mso-position-horizontal-relative:margin;mso-wrap-style:none;z-index:251685888;mso-width-relative:page;mso-height-relative:page;" filled="f" stroked="f" coordsize="21600,21600" o:gfxdata="UEsDBAoAAAAAAIdO4kAAAAAAAAAAAAAAAAAEAAAAZHJzL1BLAwQUAAAACACHTuJAzql5uc8AAAAF AQAADwAAAGRycy9kb3ducmV2LnhtbE2PMWvDMBCF90L/g7hAt0ZOhtY4ljMEsnRLWgrdFOtimUgn IymO/e9zLYV2Oe7xjnffq7eTd2LEmPpAClbLAgRSG0xPnYKP9/1zCSJlTUa7QKhgxgTb5vGh1pUJ NzrgeMyd4BBKlVZgcx4qKVNr0eu0DAMSe+cQvc4sYydN1DcO906ui+JFet0Tf7B6wJ3F9nK8egWv 02fAIeEOv85jG20/l+5tVuppsSo2IDJO+e8YvvEZHRpmOoUrmSScAi6SfyZ767JkefpdZFPL//TN HVBLAwQUAAAACACHTuJAlIdXtdIBAAClAwAADgAAAGRycy9lMm9Eb2MueG1srVNLbtswEN0XyB0I 7mspalI4guWghZGiQNEWSHoAmiItAvyBQ1vyBdobdNVN9z2Xz5EhJTlFusmiG2qGM/M4781odTsY TQ4igHK2oZeLkhJhuWuV3TX028Pd6yUlEJltmXZWNPQogN6uL16tel+LynVOtyIQBLFQ976hXYy+ LgrgnTAMFs4Li0HpgmER3bAr2sB6RDe6qMrybdG70PrguADA280YpBNieAmgk1JxsXF8b4SNI2oQ mkWkBJ3yQNe5WykFj1+kBBGJbigyjfnER9DeprNYr1i9C8x3ik8tsJe08IyTYcrio2eoDYuM7IP6 B8ooHhw4GRfcmWIkkhVBFpflM23uO+ZF5oJSgz+LDv8Pln8+fA1EtQ2t3lBimcGJn37+OP36c/r9 nVwlfXoPNabde0yMw3s34NbM94CXifYgg0lfJEQwjuoez+qKIRKeipbVclliiGNsdhC/eCr3AeIH 4QxJRkMDji+ryg6fII6pc0p6zbo7pXUeobakb+jNdXWdC84RBNc25Yq8DBNMojS2nqw4bIeJ59a1 R6TZ40I01OL+U6I/WtQ77c5shNnYTkbCB/9uH7Gf3GZCHaGQXnJwepnotGlpPf72c9bT37V+BFBL AwQKAAAAAACHTuJAAAAAAAAAAAAAAAAABgAAAF9yZWxzL1BLAwQUAAAACACHTuJAihRmPNEAAACU AQAACwAAAF9yZWxzLy5yZWxzpZDBasMwDIbvg72D0X1xmsMYo04vo9Br6R7A2IpjGltGMtn69vMO g2X0tqN+oe8T//7wmRa1IkukbGDX9aAwO/IxBwPvl+PTCyipNnu7UEYDNxQ4jI8P+zMutrYjmWMR 1ShZDMy1lletxc2YrHRUMLfNRJxsbSMHXay72oB66Ptnzb8ZMG6Y6uQN8MkPoC630sx/2Ck6JqGp do6SpmmK7h5VB7Zlju7INuEbuUazHLAa8CwaB2pZ134EfV+/+6fe00c+47rVfoeM649Xb7ocvwBQ SwMEFAAAAAgAh07iQH7m5SD3AAAA4QEAABMAAABbQ29udGVudF9UeXBlc10ueG1slZFBTsMwEEX3 SNzB8hYlTrtACCXpgrRLQKgcYGRPEotkbHlMaG+Pk7YbRJFY2jP/vye73BzGQUwY2Dqq5CovpEDS zljqKvm+32UPUnAEMjA4wkoekeWmvr0p90ePLFKauJJ9jP5RKdY9jsC580hp0rowQkzH0CkP+gM6 VOuiuFfaUUSKWZw7ZF022MLnEMX2kK5PJgEHluLptDizKgneD1ZDTKZqIvODkp0JeUouO9xbz3dJ Q6pfCfPkOuCce0lPE6xB8QohPsOYNJQJrIz7ooBT/nfJbDly5trWasybwE2KveF0sbrWjmvXOP3f 8u2SunSr5YPqb1BLAQIUABQAAAAIAIdO4kB+5uUg9wAAAOEBAAATAAAAAAAAAAEAIAAAADoEAABb Q29udGVudF9UeXBlc10ueG1sUEsBAhQACgAAAAAAh07iQAAAAAAAAAAAAAAAAAYAAAAAAAAAAAAQ AAAAHAMAAF9yZWxzL1BLAQIUABQAAAAIAIdO4kCKFGY80QAAAJQBAAALAAAAAAAAAAEAIAAAAEAD AABfcmVscy8ucmVsc1BLAQIUAAoAAAAAAIdO4kAAAAAAAAAAAAAAAAAEAAAAAAAAAAAAEAAAAAAA AABkcnMvUEsBAhQAFAAAAAgAh07iQM6pebnPAAAABQEAAA8AAAAAAAAAAQAgAAAAIgAAAGRycy9k b3ducmV2LnhtbFBLAQIUABQAAAAIAIdO4kCUh1e10gEAAKUDAAAOAAAAAAAAAAEAIAAAAB4BAABk cnMvZTJvRG9jLnhtbFBLBQYAAAAABgAGAFkBAABiBQAAAAA= ">
              <v:fill on="f" focussize="0,0"/>
              <v:stroke on="f"/>
              <v:imagedata o:title=""/>
              <o:lock v:ext="edit" aspectratio="f"/>
              <v:textbox inset="0mm,0mm,0mm,0mm" style="mso-fit-shape-to-text:t;">
                <w:txbxContent>
                  <w:p w14:paraId="26548C6F">
                    <w:pPr>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1</w:t>
                    </w:r>
                    <w:r>
                      <w:rPr>
                        <w:rFonts w:hint="eastAsia"/>
                        <w:sz w:val="18"/>
                      </w:rPr>
                      <w:fldChar w:fldCharType="end"/>
                    </w:r>
                  </w:p>
                </w:txbxContent>
              </v:textbox>
            </v:shape>
          </w:pict>
        </mc:Fallback>
      </mc:AlternateContent>
    </w:r>
  </w:p>
  <w:p w14:paraId="0F1C7660">
    <w:pPr>
      <w:pStyle w:val="8"/>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42489D">
    <w:pPr>
      <w:pStyle w:val="8"/>
      <w:pBdr>
        <w:top w:val="single" w:color="auto" w:sz="4" w:space="0"/>
      </w:pBdr>
      <w:jc w:val="center"/>
      <w:rPr>
        <w:sz w:val="21"/>
        <w:szCs w:val="21"/>
      </w:rPr>
    </w:pPr>
    <w:r>
      <w:rPr>
        <w:sz w:val="21"/>
      </w:rPr>
      <mc:AlternateContent>
        <mc:Choice Requires="wps">
          <w:drawing>
            <wp:anchor distT="0" distB="0" distL="114300" distR="114300" simplePos="0" relativeHeight="251683840" behindDoc="0" locked="0" layoutInCell="1" allowOverlap="1">
              <wp:simplePos x="0" y="0"/>
              <wp:positionH relativeFrom="margin">
                <wp:align>center</wp:align>
              </wp:positionH>
              <wp:positionV relativeFrom="paragraph">
                <wp:posOffset>0</wp:posOffset>
              </wp:positionV>
              <wp:extent cx="1828800" cy="1828800"/>
              <wp:effectExtent l="0" t="0" r="0" b="0"/>
              <wp:wrapNone/>
              <wp:docPr id="16" name="文本框 5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a:effectLst/>
                    </wps:spPr>
                    <wps:txbx>
                      <w:txbxContent>
                        <w:p w14:paraId="62357160">
                          <w:pPr>
                            <w:rPr>
                              <w:sz w:val="21"/>
                              <w:szCs w:val="21"/>
                            </w:rPr>
                          </w:pPr>
                          <w:r>
                            <w:rPr>
                              <w:rFonts w:hint="eastAsia"/>
                              <w:sz w:val="21"/>
                              <w:szCs w:val="21"/>
                            </w:rPr>
                            <w:fldChar w:fldCharType="begin"/>
                          </w:r>
                          <w:r>
                            <w:rPr>
                              <w:rFonts w:hint="eastAsia"/>
                              <w:sz w:val="21"/>
                              <w:szCs w:val="21"/>
                            </w:rPr>
                            <w:instrText xml:space="preserve"> PAGE  \* MERGEFORMAT </w:instrText>
                          </w:r>
                          <w:r>
                            <w:rPr>
                              <w:rFonts w:hint="eastAsia"/>
                              <w:sz w:val="21"/>
                              <w:szCs w:val="21"/>
                            </w:rPr>
                            <w:fldChar w:fldCharType="separate"/>
                          </w:r>
                          <w:r>
                            <w:t>38</w:t>
                          </w:r>
                          <w:r>
                            <w:rPr>
                              <w:rFonts w:hint="eastAsia"/>
                              <w:sz w:val="21"/>
                              <w:szCs w:val="21"/>
                            </w:rPr>
                            <w:fldChar w:fldCharType="end"/>
                          </w:r>
                        </w:p>
                      </w:txbxContent>
                    </wps:txbx>
                    <wps:bodyPr wrap="none" lIns="0" tIns="0" rIns="0" bIns="0">
                      <a:spAutoFit/>
                    </wps:bodyPr>
                  </wps:wsp>
                </a:graphicData>
              </a:graphic>
            </wp:anchor>
          </w:drawing>
        </mc:Choice>
        <mc:Fallback>
          <w:pict>
            <v:shape id="文本框 51" o:spid="_x0000_s1026" o:spt="202" type="#_x0000_t202" style="position:absolute;left:0pt;margin-top:0pt;height:144pt;width:144pt;mso-position-horizontal:center;mso-position-horizontal-relative:margin;mso-wrap-style:none;z-index:251683840;mso-width-relative:page;mso-height-relative:page;" filled="f" stroked="f" coordsize="21600,21600" o:gfxdata="UEsDBAoAAAAAAIdO4kAAAAAAAAAAAAAAAAAEAAAAZHJzL1BLAwQUAAAACACHTuJAzql5uc8AAAAF AQAADwAAAGRycy9kb3ducmV2LnhtbE2PMWvDMBCF90L/g7hAt0ZOhtY4ljMEsnRLWgrdFOtimUgn IymO/e9zLYV2Oe7xjnffq7eTd2LEmPpAClbLAgRSG0xPnYKP9/1zCSJlTUa7QKhgxgTb5vGh1pUJ NzrgeMyd4BBKlVZgcx4qKVNr0eu0DAMSe+cQvc4sYydN1DcO906ui+JFet0Tf7B6wJ3F9nK8egWv 02fAIeEOv85jG20/l+5tVuppsSo2IDJO+e8YvvEZHRpmOoUrmSScAi6SfyZ767JkefpdZFPL//TN HVBLAwQUAAAACACHTuJALv33YtIBAACmAwAADgAAAGRycy9lMm9Eb2MueG1srVNLbtswEN0XyB0I 7mPJBhy4guUggZGiQJEWSHsAmiItAvyBQ1vyBZobdNVN9z2Xz9EhJTlFusmiG3KGM3yc92a4vu2N JkcRQDlb0/mspERY7hpl9zX99vXhekUJRGYbpp0VNT0JoLebq3frzldi4VqnGxEIglioOl/TNkZf FQXwVhgGM+eFxaB0wbCIbtgXTWAdohtdLMrypuhcaHxwXADg6XYI0hExvAXQSam42Dp+MMLGATUI zSJSglZ5oJtcrZSCx89SgohE1xSZxrziI2jv0lps1qzaB+ZbxccS2FtKeMXJMGXx0QvUlkVGDkH9 A2UUDw6cjDPuTDEQyYogi3n5SpunlnmRuaDU4C+iw/+D5Y/HL4GoBifhhhLLDHb8/OP5/PP3+dd3 spwngToPFeY9ecyM/b3rMXk6BzxMvHsZTNqREcE4ynu6yCv6SHi6tFqsViWGOMYmB/GLl+s+QPwg nCHJqGnA/mVZ2fETxCF1SkmvWfegtM491JZ0NX2/XCzzhUsEwbVNuSJPwwiTKA2lJyv2u37kuXPN CWl2OBE1tfgBKNEfLQqehmcywmTsRiPhg787RKwnl5lQByiklxxsXyY6jlqaj7/9nPXyvTZ/AFBL AwQKAAAAAACHTuJAAAAAAAAAAAAAAAAABgAAAF9yZWxzL1BLAwQUAAAACACHTuJAihRmPNEAAACU AQAACwAAAF9yZWxzLy5yZWxzpZDBasMwDIbvg72D0X1xmsMYo04vo9Br6R7A2IpjGltGMtn69vMO g2X0tqN+oe8T//7wmRa1IkukbGDX9aAwO/IxBwPvl+PTCyipNnu7UEYDNxQ4jI8P+zMutrYjmWMR 1ShZDMy1lletxc2YrHRUMLfNRJxsbSMHXay72oB66Ptnzb8ZMG6Y6uQN8MkPoC630sx/2Ck6JqGp do6SpmmK7h5VB7Zlju7INuEbuUazHLAa8CwaB2pZ134EfV+/+6fe00c+47rVfoeM649Xb7ocvwBQ SwMEFAAAAAgAh07iQH7m5SD3AAAA4QEAABMAAABbQ29udGVudF9UeXBlc10ueG1slZFBTsMwEEX3 SNzB8hYlTrtACCXpgrRLQKgcYGRPEotkbHlMaG+Pk7YbRJFY2jP/vye73BzGQUwY2Dqq5CovpEDS zljqKvm+32UPUnAEMjA4wkoekeWmvr0p90ePLFKauJJ9jP5RKdY9jsC580hp0rowQkzH0CkP+gM6 VOuiuFfaUUSKWZw7ZF022MLnEMX2kK5PJgEHluLptDizKgneD1ZDTKZqIvODkp0JeUouO9xbz3dJ Q6pfCfPkOuCce0lPE6xB8QohPsOYNJQJrIz7ooBT/nfJbDly5trWasybwE2KveF0sbrWjmvXOP3f 8u2SunSr5YPqb1BLAQIUABQAAAAIAIdO4kB+5uUg9wAAAOEBAAATAAAAAAAAAAEAIAAAADoEAABb Q29udGVudF9UeXBlc10ueG1sUEsBAhQACgAAAAAAh07iQAAAAAAAAAAAAAAAAAYAAAAAAAAAAAAQ AAAAHAMAAF9yZWxzL1BLAQIUABQAAAAIAIdO4kCKFGY80QAAAJQBAAALAAAAAAAAAAEAIAAAAEAD AABfcmVscy8ucmVsc1BLAQIUAAoAAAAAAIdO4kAAAAAAAAAAAAAAAAAEAAAAAAAAAAAAEAAAAAAA AABkcnMvUEsBAhQAFAAAAAgAh07iQM6pebnPAAAABQEAAA8AAAAAAAAAAQAgAAAAIgAAAGRycy9k b3ducmV2LnhtbFBLAQIUABQAAAAIAIdO4kAu/fdi0gEAAKYDAAAOAAAAAAAAAAEAIAAAAB4BAABk cnMvZTJvRG9jLnhtbFBLBQYAAAAABgAGAFkBAABiBQAAAAA= ">
              <v:fill on="f" focussize="0,0"/>
              <v:stroke on="f"/>
              <v:imagedata o:title=""/>
              <o:lock v:ext="edit" aspectratio="f"/>
              <v:textbox inset="0mm,0mm,0mm,0mm" style="mso-fit-shape-to-text:t;">
                <w:txbxContent>
                  <w:p w14:paraId="62357160">
                    <w:pPr>
                      <w:rPr>
                        <w:sz w:val="21"/>
                        <w:szCs w:val="21"/>
                      </w:rPr>
                    </w:pPr>
                    <w:r>
                      <w:rPr>
                        <w:rFonts w:hint="eastAsia"/>
                        <w:sz w:val="21"/>
                        <w:szCs w:val="21"/>
                      </w:rPr>
                      <w:fldChar w:fldCharType="begin"/>
                    </w:r>
                    <w:r>
                      <w:rPr>
                        <w:rFonts w:hint="eastAsia"/>
                        <w:sz w:val="21"/>
                        <w:szCs w:val="21"/>
                      </w:rPr>
                      <w:instrText xml:space="preserve"> PAGE  \* MERGEFORMAT </w:instrText>
                    </w:r>
                    <w:r>
                      <w:rPr>
                        <w:rFonts w:hint="eastAsia"/>
                        <w:sz w:val="21"/>
                        <w:szCs w:val="21"/>
                      </w:rPr>
                      <w:fldChar w:fldCharType="separate"/>
                    </w:r>
                    <w:r>
                      <w:t>38</w:t>
                    </w:r>
                    <w:r>
                      <w:rPr>
                        <w:rFonts w:hint="eastAsia"/>
                        <w:sz w:val="21"/>
                        <w:szCs w:val="21"/>
                      </w:rPr>
                      <w:fldChar w:fldCharType="end"/>
                    </w:r>
                  </w:p>
                </w:txbxContent>
              </v:textbox>
            </v:shape>
          </w:pict>
        </mc:Fallback>
      </mc:AlternateContent>
    </w:r>
  </w:p>
  <w:p w14:paraId="0186F737">
    <w:pPr>
      <w:pStyle w:val="8"/>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09F26A">
    <w:pPr>
      <w:pStyle w:val="8"/>
      <w:jc w:val="center"/>
    </w:pPr>
    <w:r>
      <mc:AlternateContent>
        <mc:Choice Requires="wps">
          <w:drawing>
            <wp:anchor distT="0" distB="0" distL="114300" distR="114300" simplePos="0" relativeHeight="251681792" behindDoc="0" locked="0" layoutInCell="1" allowOverlap="1">
              <wp:simplePos x="0" y="0"/>
              <wp:positionH relativeFrom="margin">
                <wp:align>center</wp:align>
              </wp:positionH>
              <wp:positionV relativeFrom="paragraph">
                <wp:posOffset>0</wp:posOffset>
              </wp:positionV>
              <wp:extent cx="1828800" cy="1828800"/>
              <wp:effectExtent l="0" t="0" r="0" b="0"/>
              <wp:wrapNone/>
              <wp:docPr id="29" name="文本框 5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a:effectLst/>
                    </wps:spPr>
                    <wps:txbx>
                      <w:txbxContent>
                        <w:p w14:paraId="10A1741F">
                          <w:pPr>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t>69</w:t>
                          </w:r>
                          <w:r>
                            <w:rPr>
                              <w:rFonts w:hint="eastAsia"/>
                              <w:sz w:val="18"/>
                            </w:rPr>
                            <w:fldChar w:fldCharType="end"/>
                          </w:r>
                        </w:p>
                      </w:txbxContent>
                    </wps:txbx>
                    <wps:bodyPr wrap="none" lIns="0" tIns="0" rIns="0" bIns="0">
                      <a:spAutoFit/>
                    </wps:bodyPr>
                  </wps:wsp>
                </a:graphicData>
              </a:graphic>
            </wp:anchor>
          </w:drawing>
        </mc:Choice>
        <mc:Fallback>
          <w:pict>
            <v:shape id="文本框 52" o:spid="_x0000_s1026" o:spt="202" type="#_x0000_t202" style="position:absolute;left:0pt;margin-top:0pt;height:144pt;width:144pt;mso-position-horizontal:center;mso-position-horizontal-relative:margin;mso-wrap-style:none;z-index:251681792;mso-width-relative:page;mso-height-relative:page;" filled="f" stroked="f" coordsize="21600,21600" o:gfxdata="UEsDBAoAAAAAAIdO4kAAAAAAAAAAAAAAAAAEAAAAZHJzL1BLAwQUAAAACACHTuJAzql5uc8AAAAF AQAADwAAAGRycy9kb3ducmV2LnhtbE2PMWvDMBCF90L/g7hAt0ZOhtY4ljMEsnRLWgrdFOtimUgn IymO/e9zLYV2Oe7xjnffq7eTd2LEmPpAClbLAgRSG0xPnYKP9/1zCSJlTUa7QKhgxgTb5vGh1pUJ NzrgeMyd4BBKlVZgcx4qKVNr0eu0DAMSe+cQvc4sYydN1DcO906ui+JFet0Tf7B6wJ3F9nK8egWv 02fAIeEOv85jG20/l+5tVuppsSo2IDJO+e8YvvEZHRpmOoUrmSScAi6SfyZ767JkefpdZFPL//TN HVBLAwQUAAAACACHTuJABbUZDtIBAACmAwAADgAAAGRycy9lMm9Eb2MueG1srVNLbtswEN0X6B0I 7mspAhw4guWghZGiQNAWSHsAmiItAvyBQ1vyBdobdNVN9zmXz5EhJTlFusmiG3KGM3yc92a4vh2M JkcRQDnb0KtFSYmw3LXK7hv6/dvduxUlEJltmXZWNPQkgN5u3r5Z974WleucbkUgCGKh7n1Duxh9 XRTAO2EYLJwXFoPSBcMiumFftIH1iG50UZXlddG70PrguADA0+0YpBNieA2gk1JxsXX8YISNI2oQ mkWkBJ3yQDe5WikFj1+kBBGJbigyjXnFR9DepbXYrFm9D8x3ik8lsNeU8IKTYcrioxeoLYuMHIL6 B8ooHhw4GRfcmWIkkhVBFlflC20eOuZF5oJSg7+IDv8Pln8+fg1EtQ2tbiixzGDHz79+nn8/nv/8 IMsqCdR7qDHvwWNmHD64AcdmPgc8TLwHGUzakRHBOMp7usgrhkh4urSqVqsSQxxjs4P4xfN1HyB+ FM6QZDQ0YP+yrOx4D3FMnVPSa9bdKa1zD7UlfUNvltUyX7hEEFzblCvyNEwwidJYerLisBsmnjvX npBmjxPRUIsfgBL9yaLgaXhmI8zGbjISPvj3h4j15DIT6giF9JKD7ctEp1FL8/G3n7Oev9fmCVBL AwQKAAAAAACHTuJAAAAAAAAAAAAAAAAABgAAAF9yZWxzL1BLAwQUAAAACACHTuJAihRmPNEAAACU AQAACwAAAF9yZWxzLy5yZWxzpZDBasMwDIbvg72D0X1xmsMYo04vo9Br6R7A2IpjGltGMtn69vMO g2X0tqN+oe8T//7wmRa1IkukbGDX9aAwO/IxBwPvl+PTCyipNnu7UEYDNxQ4jI8P+zMutrYjmWMR 1ShZDMy1lletxc2YrHRUMLfNRJxsbSMHXay72oB66Ptnzb8ZMG6Y6uQN8MkPoC630sx/2Ck6JqGp do6SpmmK7h5VB7Zlju7INuEbuUazHLAa8CwaB2pZ134EfV+/+6fe00c+47rVfoeM649Xb7ocvwBQ SwMEFAAAAAgAh07iQH7m5SD3AAAA4QEAABMAAABbQ29udGVudF9UeXBlc10ueG1slZFBTsMwEEX3 SNzB8hYlTrtACCXpgrRLQKgcYGRPEotkbHlMaG+Pk7YbRJFY2jP/vye73BzGQUwY2Dqq5CovpEDS zljqKvm+32UPUnAEMjA4wkoekeWmvr0p90ePLFKauJJ9jP5RKdY9jsC580hp0rowQkzH0CkP+gM6 VOuiuFfaUUSKWZw7ZF022MLnEMX2kK5PJgEHluLptDizKgneD1ZDTKZqIvODkp0JeUouO9xbz3dJ Q6pfCfPkOuCce0lPE6xB8QohPsOYNJQJrIz7ooBT/nfJbDly5trWasybwE2KveF0sbrWjmvXOP3f 8u2SunSr5YPqb1BLAQIUABQAAAAIAIdO4kB+5uUg9wAAAOEBAAATAAAAAAAAAAEAIAAAADoEAABb Q29udGVudF9UeXBlc10ueG1sUEsBAhQACgAAAAAAh07iQAAAAAAAAAAAAAAAAAYAAAAAAAAAAAAQ AAAAHAMAAF9yZWxzL1BLAQIUABQAAAAIAIdO4kCKFGY80QAAAJQBAAALAAAAAAAAAAEAIAAAAEAD AABfcmVscy8ucmVsc1BLAQIUAAoAAAAAAIdO4kAAAAAAAAAAAAAAAAAEAAAAAAAAAAAAEAAAAAAA AABkcnMvUEsBAhQAFAAAAAgAh07iQM6pebnPAAAABQEAAA8AAAAAAAAAAQAgAAAAIgAAAGRycy9k b3ducmV2LnhtbFBLAQIUABQAAAAIAIdO4kAFtRkO0gEAAKYDAAAOAAAAAAAAAAEAIAAAAB4BAABk cnMvZTJvRG9jLnhtbFBLBQYAAAAABgAGAFkBAABiBQAAAAA= ">
              <v:fill on="f" focussize="0,0"/>
              <v:stroke on="f"/>
              <v:imagedata o:title=""/>
              <o:lock v:ext="edit" aspectratio="f"/>
              <v:textbox inset="0mm,0mm,0mm,0mm" style="mso-fit-shape-to-text:t;">
                <w:txbxContent>
                  <w:p w14:paraId="10A1741F">
                    <w:pPr>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t>69</w:t>
                    </w:r>
                    <w:r>
                      <w:rPr>
                        <w:rFonts w:hint="eastAsia"/>
                        <w:sz w:val="18"/>
                      </w:rPr>
                      <w:fldChar w:fldCharType="end"/>
                    </w:r>
                  </w:p>
                </w:txbxContent>
              </v:textbox>
            </v:shape>
          </w:pict>
        </mc:Fallback>
      </mc:AlternateContent>
    </w:r>
  </w:p>
  <w:p w14:paraId="5BD0DC04">
    <w:pPr>
      <w:pStyle w:val="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9CBD37">
    <w:pPr>
      <w:pStyle w:val="9"/>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64920F">
    <w:pPr>
      <w:pStyle w:val="9"/>
      <w:tabs>
        <w:tab w:val="left" w:pos="6558"/>
        <w:tab w:val="clear" w:pos="4153"/>
        <w:tab w:val="clear" w:pos="8306"/>
      </w:tabs>
      <w:spacing w:after="0"/>
      <w:jc w:val="left"/>
      <w:rPr>
        <w:rFonts w:ascii="幼圆" w:hAnsi="幼圆" w:eastAsia="幼圆" w:cs="幼圆"/>
        <w:sz w:val="21"/>
        <w:szCs w:val="21"/>
      </w:rPr>
    </w:pPr>
    <w:r>
      <w:drawing>
        <wp:anchor distT="0" distB="0" distL="114300" distR="114300" simplePos="0" relativeHeight="251687936" behindDoc="0" locked="0" layoutInCell="1" allowOverlap="1">
          <wp:simplePos x="0" y="0"/>
          <wp:positionH relativeFrom="page">
            <wp:posOffset>1158240</wp:posOffset>
          </wp:positionH>
          <wp:positionV relativeFrom="page">
            <wp:posOffset>523240</wp:posOffset>
          </wp:positionV>
          <wp:extent cx="1040130" cy="280035"/>
          <wp:effectExtent l="0" t="0" r="7620" b="5715"/>
          <wp:wrapTopAndBottom/>
          <wp:docPr id="1428163793" name="图片 1428163793" descr="捕获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163793" name="图片 1428163793" descr="捕获1"/>
                  <pic:cNvPicPr>
                    <a:picLocks noChangeAspect="1"/>
                  </pic:cNvPicPr>
                </pic:nvPicPr>
                <pic:blipFill>
                  <a:blip r:embed="rId1"/>
                  <a:srcRect b="-3521"/>
                  <a:stretch>
                    <a:fillRect/>
                  </a:stretch>
                </pic:blipFill>
                <pic:spPr>
                  <a:xfrm>
                    <a:off x="0" y="0"/>
                    <a:ext cx="1040130" cy="280035"/>
                  </a:xfrm>
                  <a:prstGeom prst="rect">
                    <a:avLst/>
                  </a:prstGeom>
                </pic:spPr>
              </pic:pic>
            </a:graphicData>
          </a:graphic>
        </wp:anchor>
      </w:drawing>
    </w:r>
    <w:r>
      <w:rPr>
        <w:rFonts w:hint="eastAsia" w:ascii="幼圆" w:hAnsi="幼圆" w:eastAsia="幼圆" w:cs="幼圆"/>
        <w:sz w:val="21"/>
        <w:szCs w:val="21"/>
      </w:rPr>
      <w:t xml:space="preserve"> </w:t>
    </w:r>
    <w:r>
      <w:drawing>
        <wp:anchor distT="0" distB="0" distL="114300" distR="114300" simplePos="0" relativeHeight="251688960" behindDoc="0" locked="0" layoutInCell="1" allowOverlap="1">
          <wp:simplePos x="0" y="0"/>
          <wp:positionH relativeFrom="column">
            <wp:posOffset>15240</wp:posOffset>
          </wp:positionH>
          <wp:positionV relativeFrom="paragraph">
            <wp:posOffset>83820</wp:posOffset>
          </wp:positionV>
          <wp:extent cx="1040130" cy="280035"/>
          <wp:effectExtent l="0" t="0" r="7620" b="5715"/>
          <wp:wrapTopAndBottom/>
          <wp:docPr id="61517925" name="图片 61517925" descr="捕获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17925" name="图片 61517925" descr="捕获1"/>
                  <pic:cNvPicPr>
                    <a:picLocks noChangeAspect="1"/>
                  </pic:cNvPicPr>
                </pic:nvPicPr>
                <pic:blipFill>
                  <a:blip r:embed="rId1"/>
                  <a:srcRect b="-3521"/>
                  <a:stretch>
                    <a:fillRect/>
                  </a:stretch>
                </pic:blipFill>
                <pic:spPr>
                  <a:xfrm>
                    <a:off x="0" y="0"/>
                    <a:ext cx="1040130" cy="280035"/>
                  </a:xfrm>
                  <a:prstGeom prst="rect">
                    <a:avLst/>
                  </a:prstGeom>
                </pic:spPr>
              </pic:pic>
            </a:graphicData>
          </a:graphic>
        </wp:anchor>
      </w:drawing>
    </w:r>
  </w:p>
  <w:p w14:paraId="42DAE758">
    <w:pPr>
      <w:pStyle w:val="9"/>
      <w:tabs>
        <w:tab w:val="left" w:pos="6558"/>
        <w:tab w:val="clear" w:pos="4153"/>
        <w:tab w:val="clear" w:pos="8306"/>
      </w:tabs>
      <w:spacing w:after="0"/>
      <w:ind w:firstLine="3570" w:firstLineChars="1700"/>
      <w:jc w:val="left"/>
      <w:rPr>
        <w:rFonts w:ascii="幼圆" w:hAnsi="幼圆" w:eastAsia="幼圆" w:cs="幼圆"/>
        <w:sz w:val="21"/>
        <w:szCs w:val="21"/>
      </w:rPr>
    </w:pPr>
    <w:r>
      <w:rPr>
        <w:rFonts w:hint="eastAsia" w:ascii="幼圆" w:hAnsi="幼圆" w:eastAsia="幼圆" w:cs="幼圆"/>
        <w:sz w:val="21"/>
        <w:szCs w:val="21"/>
      </w:rPr>
      <w:drawing>
        <wp:anchor distT="0" distB="0" distL="114300" distR="114300" simplePos="0" relativeHeight="251686912" behindDoc="0" locked="0" layoutInCell="1" allowOverlap="1">
          <wp:simplePos x="0" y="0"/>
          <wp:positionH relativeFrom="margin">
            <wp:posOffset>988695</wp:posOffset>
          </wp:positionH>
          <wp:positionV relativeFrom="margin">
            <wp:posOffset>2148840</wp:posOffset>
          </wp:positionV>
          <wp:extent cx="3599815" cy="3599815"/>
          <wp:effectExtent l="0" t="0" r="0" b="0"/>
          <wp:wrapNone/>
          <wp:docPr id="1227019455" name="WordPictureWatermark382153015"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019455" name="WordPictureWatermark382153015" descr="脉络生物-单色LOGO"/>
                  <pic:cNvPicPr>
                    <a:picLocks noChangeAspect="1"/>
                  </pic:cNvPicPr>
                </pic:nvPicPr>
                <pic:blipFill>
                  <a:blip r:embed="rId2">
                    <a:lum bright="70000" contrast="-70000"/>
                  </a:blip>
                  <a:stretch>
                    <a:fillRect/>
                  </a:stretch>
                </pic:blipFill>
                <pic:spPr>
                  <a:xfrm>
                    <a:off x="0" y="0"/>
                    <a:ext cx="3599815" cy="3599815"/>
                  </a:xfrm>
                  <a:prstGeom prst="rect">
                    <a:avLst/>
                  </a:prstGeom>
                </pic:spPr>
              </pic:pic>
            </a:graphicData>
          </a:graphic>
        </wp:anchor>
      </w:drawing>
    </w:r>
    <w:r>
      <w:rPr>
        <w:rFonts w:hint="eastAsia" w:ascii="幼圆" w:hAnsi="幼圆" w:eastAsia="幼圆" w:cs="幼圆"/>
        <w:sz w:val="21"/>
        <w:szCs w:val="21"/>
      </w:rPr>
      <w:t>姓名：</w:t>
    </w:r>
    <w:r>
      <w:rPr>
        <w:rFonts w:hint="eastAsia" w:ascii="幼圆" w:hAnsi="幼圆" w:eastAsia="幼圆" w:cs="幼圆"/>
        <w:sz w:val="21"/>
        <w:szCs w:val="21"/>
        <w:lang w:eastAsia="zh-CN"/>
      </w:rPr>
      <w:t>苏雨起</w:t>
    </w:r>
    <w:r>
      <w:rPr>
        <w:rFonts w:hint="eastAsia" w:ascii="幼圆" w:hAnsi="幼圆" w:eastAsia="幼圆" w:cs="幼圆"/>
        <w:sz w:val="21"/>
        <w:szCs w:val="21"/>
      </w:rPr>
      <w:t xml:space="preserve">              科技服务人类健康</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32744F">
    <w:pPr>
      <w:pStyle w:val="9"/>
      <w:tabs>
        <w:tab w:val="left" w:pos="6558"/>
        <w:tab w:val="clear" w:pos="4153"/>
        <w:tab w:val="clear" w:pos="8306"/>
      </w:tabs>
      <w:spacing w:after="0" w:line="360" w:lineRule="auto"/>
      <w:jc w:val="left"/>
    </w:pPr>
    <w:r>
      <w:drawing>
        <wp:anchor distT="0" distB="0" distL="114300" distR="114300" simplePos="0" relativeHeight="251682816" behindDoc="0" locked="0" layoutInCell="1" allowOverlap="1">
          <wp:simplePos x="0" y="0"/>
          <wp:positionH relativeFrom="column">
            <wp:posOffset>9525</wp:posOffset>
          </wp:positionH>
          <wp:positionV relativeFrom="paragraph">
            <wp:posOffset>111125</wp:posOffset>
          </wp:positionV>
          <wp:extent cx="1040130" cy="280035"/>
          <wp:effectExtent l="0" t="0" r="11430" b="9525"/>
          <wp:wrapTopAndBottom/>
          <wp:docPr id="1534663380" name="图片 1534663380" descr="捕获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663380" name="图片 1534663380" descr="捕获1"/>
                  <pic:cNvPicPr>
                    <a:picLocks noChangeAspect="1"/>
                  </pic:cNvPicPr>
                </pic:nvPicPr>
                <pic:blipFill>
                  <a:blip r:embed="rId1"/>
                  <a:srcRect b="-3521"/>
                  <a:stretch>
                    <a:fillRect/>
                  </a:stretch>
                </pic:blipFill>
                <pic:spPr>
                  <a:xfrm>
                    <a:off x="0" y="0"/>
                    <a:ext cx="1040130" cy="280035"/>
                  </a:xfrm>
                  <a:prstGeom prst="rect">
                    <a:avLst/>
                  </a:prstGeom>
                </pic:spPr>
              </pic:pic>
            </a:graphicData>
          </a:graphic>
        </wp:anchor>
      </w:drawing>
    </w:r>
  </w:p>
  <w:p w14:paraId="394883B0">
    <w:pPr>
      <w:pStyle w:val="9"/>
      <w:tabs>
        <w:tab w:val="left" w:pos="6558"/>
        <w:tab w:val="clear" w:pos="4153"/>
        <w:tab w:val="clear" w:pos="8306"/>
      </w:tabs>
      <w:spacing w:after="0"/>
      <w:ind w:firstLine="3570" w:firstLineChars="1700"/>
      <w:jc w:val="left"/>
      <w:rPr>
        <w:rFonts w:ascii="幼圆" w:hAnsi="幼圆" w:eastAsia="幼圆" w:cs="幼圆"/>
        <w:sz w:val="21"/>
        <w:szCs w:val="21"/>
      </w:rPr>
    </w:pPr>
    <w:r>
      <w:rPr>
        <w:rFonts w:hint="eastAsia" w:ascii="幼圆" w:hAnsi="幼圆" w:eastAsia="幼圆" w:cs="幼圆"/>
        <w:sz w:val="21"/>
        <w:szCs w:val="21"/>
      </w:rPr>
      <w:t>姓名：</w:t>
    </w:r>
    <w:r>
      <w:rPr>
        <w:rFonts w:hint="eastAsia" w:ascii="幼圆" w:hAnsi="幼圆" w:eastAsia="幼圆" w:cs="幼圆"/>
        <w:sz w:val="21"/>
        <w:szCs w:val="21"/>
        <w:lang w:eastAsia="zh-CN"/>
      </w:rPr>
      <w:t>苏雨起</w:t>
    </w:r>
    <w:r>
      <w:rPr>
        <w:rFonts w:hint="eastAsia" w:ascii="幼圆" w:hAnsi="幼圆" w:eastAsia="幼圆" w:cs="幼圆"/>
        <w:sz w:val="21"/>
        <w:szCs w:val="21"/>
      </w:rPr>
      <w:t xml:space="preserve">              </w:t>
    </w:r>
    <w:r>
      <w:drawing>
        <wp:anchor distT="0" distB="0" distL="114300" distR="114300" simplePos="0" relativeHeight="251684864" behindDoc="0" locked="0" layoutInCell="1" allowOverlap="1">
          <wp:simplePos x="0" y="0"/>
          <wp:positionH relativeFrom="margin">
            <wp:posOffset>769620</wp:posOffset>
          </wp:positionH>
          <wp:positionV relativeFrom="margin">
            <wp:posOffset>1929765</wp:posOffset>
          </wp:positionV>
          <wp:extent cx="3599815" cy="3599815"/>
          <wp:effectExtent l="0" t="0" r="0" b="0"/>
          <wp:wrapNone/>
          <wp:docPr id="522175556" name="WordPictureWatermark382153015"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175556" name="WordPictureWatermark382153015" descr="脉络生物-单色LOGO"/>
                  <pic:cNvPicPr>
                    <a:picLocks noChangeAspect="1"/>
                  </pic:cNvPicPr>
                </pic:nvPicPr>
                <pic:blipFill>
                  <a:blip r:embed="rId2">
                    <a:lum bright="70000" contrast="-70000"/>
                  </a:blip>
                  <a:stretch>
                    <a:fillRect/>
                  </a:stretch>
                </pic:blipFill>
                <pic:spPr>
                  <a:xfrm>
                    <a:off x="0" y="0"/>
                    <a:ext cx="3599815" cy="3599815"/>
                  </a:xfrm>
                  <a:prstGeom prst="rect">
                    <a:avLst/>
                  </a:prstGeom>
                </pic:spPr>
              </pic:pic>
            </a:graphicData>
          </a:graphic>
        </wp:anchor>
      </w:drawing>
    </w:r>
    <w:r>
      <w:rPr>
        <w:rFonts w:hint="eastAsia" w:ascii="幼圆" w:hAnsi="幼圆" w:eastAsia="幼圆" w:cs="幼圆"/>
        <w:sz w:val="21"/>
        <w:szCs w:val="21"/>
      </w:rPr>
      <w:t>科技服务人类健康</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0FA414">
    <w:pPr>
      <w:pStyle w:val="9"/>
      <w:pBdr>
        <w:bottom w:val="none" w:color="auto" w:sz="0" w:space="0"/>
      </w:pBdr>
      <w:tabs>
        <w:tab w:val="left" w:pos="1773"/>
        <w:tab w:val="clear" w:pos="4153"/>
        <w:tab w:val="clear" w:pos="8306"/>
      </w:tabs>
      <w:jc w:val="left"/>
    </w:pPr>
  </w:p>
  <w:p w14:paraId="115D8346">
    <w:pPr>
      <w:pStyle w:val="9"/>
      <w:pBdr>
        <w:bottom w:val="none" w:color="auto" w:sz="0" w:space="0"/>
      </w:pBdr>
      <w:tabs>
        <w:tab w:val="left" w:pos="1773"/>
        <w:tab w:val="clear" w:pos="4153"/>
        <w:tab w:val="clear" w:pos="8306"/>
      </w:tabs>
      <w:jc w:val="left"/>
    </w:pPr>
    <w:r>
      <w:tab/>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EB974E">
    <w:pPr>
      <w:pStyle w:val="9"/>
    </w:pPr>
    <w:r>
      <w:drawing>
        <wp:anchor distT="0" distB="0" distL="114300" distR="114300" simplePos="0" relativeHeight="251676672" behindDoc="1" locked="0" layoutInCell="0" allowOverlap="1">
          <wp:simplePos x="0" y="0"/>
          <wp:positionH relativeFrom="margin">
            <wp:align>center</wp:align>
          </wp:positionH>
          <wp:positionV relativeFrom="margin">
            <wp:align>center</wp:align>
          </wp:positionV>
          <wp:extent cx="5255895" cy="4579620"/>
          <wp:effectExtent l="0" t="0" r="1905" b="11430"/>
          <wp:wrapNone/>
          <wp:docPr id="20" name="WordPictureWatermark334104431" descr="脉络生物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WordPictureWatermark334104431" descr="脉络生物logo"/>
                  <pic:cNvPicPr>
                    <a:picLocks noChangeAspect="1"/>
                  </pic:cNvPicPr>
                </pic:nvPicPr>
                <pic:blipFill>
                  <a:blip r:embed="rId1">
                    <a:lum bright="70001" contrast="-70000"/>
                  </a:blip>
                  <a:stretch>
                    <a:fillRect/>
                  </a:stretch>
                </pic:blipFill>
                <pic:spPr>
                  <a:xfrm>
                    <a:off x="0" y="0"/>
                    <a:ext cx="5255895" cy="4579620"/>
                  </a:xfrm>
                  <a:prstGeom prst="rect">
                    <a:avLst/>
                  </a:prstGeom>
                  <a:noFill/>
                  <a:ln w="9525">
                    <a:noFill/>
                  </a:ln>
                </pic:spPr>
              </pic:pic>
            </a:graphicData>
          </a:graphic>
        </wp:anchor>
      </w:drawing>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38603C">
    <w:pPr>
      <w:pStyle w:val="9"/>
    </w:pPr>
    <w:r>
      <w:drawing>
        <wp:anchor distT="0" distB="0" distL="114300" distR="114300" simplePos="0" relativeHeight="251675648" behindDoc="1" locked="0" layoutInCell="0" allowOverlap="1">
          <wp:simplePos x="0" y="0"/>
          <wp:positionH relativeFrom="margin">
            <wp:align>center</wp:align>
          </wp:positionH>
          <wp:positionV relativeFrom="margin">
            <wp:align>center</wp:align>
          </wp:positionV>
          <wp:extent cx="5255895" cy="4579620"/>
          <wp:effectExtent l="0" t="0" r="1905" b="11430"/>
          <wp:wrapNone/>
          <wp:docPr id="13" name="WordPictureWatermark334104430" descr="脉络生物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ordPictureWatermark334104430" descr="脉络生物logo"/>
                  <pic:cNvPicPr>
                    <a:picLocks noChangeAspect="1"/>
                  </pic:cNvPicPr>
                </pic:nvPicPr>
                <pic:blipFill>
                  <a:blip r:embed="rId1">
                    <a:lum bright="70001" contrast="-70000"/>
                  </a:blip>
                  <a:stretch>
                    <a:fillRect/>
                  </a:stretch>
                </pic:blipFill>
                <pic:spPr>
                  <a:xfrm>
                    <a:off x="0" y="0"/>
                    <a:ext cx="5255895" cy="4579620"/>
                  </a:xfrm>
                  <a:prstGeom prst="rect">
                    <a:avLst/>
                  </a:prstGeom>
                  <a:noFill/>
                  <a:ln w="9525">
                    <a:noFill/>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B0EEA1"/>
    <w:multiLevelType w:val="singleLevel"/>
    <w:tmpl w:val="8CB0EEA1"/>
    <w:lvl w:ilvl="0" w:tentative="0">
      <w:start w:val="1"/>
      <w:numFmt w:val="decimal"/>
      <w:suff w:val="space"/>
      <w:lvlText w:val="%1."/>
      <w:lvlJc w:val="left"/>
    </w:lvl>
  </w:abstractNum>
  <w:abstractNum w:abstractNumId="1">
    <w:nsid w:val="96F3FE71"/>
    <w:multiLevelType w:val="singleLevel"/>
    <w:tmpl w:val="96F3FE71"/>
    <w:lvl w:ilvl="0" w:tentative="0">
      <w:start w:val="1"/>
      <w:numFmt w:val="bullet"/>
      <w:lvlText w:val=""/>
      <w:lvlJc w:val="left"/>
      <w:pPr>
        <w:ind w:left="420" w:hanging="420"/>
      </w:pPr>
      <w:rPr>
        <w:rFonts w:hint="default" w:ascii="Wingdings" w:hAnsi="Wingdings"/>
      </w:rPr>
    </w:lvl>
  </w:abstractNum>
  <w:abstractNum w:abstractNumId="2">
    <w:nsid w:val="D0E6CCF0"/>
    <w:multiLevelType w:val="singleLevel"/>
    <w:tmpl w:val="D0E6CCF0"/>
    <w:lvl w:ilvl="0" w:tentative="0">
      <w:start w:val="1"/>
      <w:numFmt w:val="bullet"/>
      <w:lvlText w:val=""/>
      <w:lvlJc w:val="left"/>
      <w:pPr>
        <w:ind w:left="420" w:hanging="420"/>
      </w:pPr>
      <w:rPr>
        <w:rFonts w:hint="default" w:ascii="Wingdings" w:hAnsi="Wingdings"/>
        <w:sz w:val="16"/>
      </w:rPr>
    </w:lvl>
  </w:abstractNum>
  <w:abstractNum w:abstractNumId="3">
    <w:nsid w:val="D0ED028C"/>
    <w:multiLevelType w:val="singleLevel"/>
    <w:tmpl w:val="D0ED028C"/>
    <w:lvl w:ilvl="0" w:tentative="0">
      <w:start w:val="1"/>
      <w:numFmt w:val="bullet"/>
      <w:lvlText w:val=""/>
      <w:lvlJc w:val="left"/>
      <w:pPr>
        <w:ind w:left="420" w:hanging="420"/>
      </w:pPr>
      <w:rPr>
        <w:rFonts w:hint="default" w:ascii="Wingdings" w:hAnsi="Wingdings"/>
      </w:rPr>
    </w:lvl>
  </w:abstractNum>
  <w:abstractNum w:abstractNumId="4">
    <w:nsid w:val="20FA1379"/>
    <w:multiLevelType w:val="singleLevel"/>
    <w:tmpl w:val="20FA1379"/>
    <w:lvl w:ilvl="0" w:tentative="0">
      <w:start w:val="1"/>
      <w:numFmt w:val="decimal"/>
      <w:suff w:val="space"/>
      <w:lvlText w:val="%1."/>
      <w:lvlJc w:val="left"/>
    </w:lvl>
  </w:abstractNum>
  <w:abstractNum w:abstractNumId="5">
    <w:nsid w:val="2280F4A5"/>
    <w:multiLevelType w:val="singleLevel"/>
    <w:tmpl w:val="2280F4A5"/>
    <w:lvl w:ilvl="0" w:tentative="0">
      <w:start w:val="1"/>
      <w:numFmt w:val="bullet"/>
      <w:lvlText w:val=""/>
      <w:lvlJc w:val="left"/>
      <w:pPr>
        <w:ind w:left="420" w:hanging="420"/>
      </w:pPr>
      <w:rPr>
        <w:rFonts w:hint="default" w:ascii="Wingdings" w:hAnsi="Wingdings"/>
      </w:rPr>
    </w:lvl>
  </w:abstractNum>
  <w:abstractNum w:abstractNumId="6">
    <w:nsid w:val="44F50995"/>
    <w:multiLevelType w:val="multilevel"/>
    <w:tmpl w:val="44F50995"/>
    <w:lvl w:ilvl="0" w:tentative="0">
      <w:start w:val="1"/>
      <w:numFmt w:val="decimal"/>
      <w:suff w:val="space"/>
      <w:lvlText w:val="%1."/>
      <w:lvlJc w:val="left"/>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7">
    <w:nsid w:val="4951CAF1"/>
    <w:multiLevelType w:val="singleLevel"/>
    <w:tmpl w:val="4951CAF1"/>
    <w:lvl w:ilvl="0" w:tentative="0">
      <w:start w:val="1"/>
      <w:numFmt w:val="decimal"/>
      <w:suff w:val="space"/>
      <w:lvlText w:val="[%1]"/>
      <w:lvlJc w:val="left"/>
    </w:lvl>
  </w:abstractNum>
  <w:abstractNum w:abstractNumId="8">
    <w:nsid w:val="50234680"/>
    <w:multiLevelType w:val="singleLevel"/>
    <w:tmpl w:val="50234680"/>
    <w:lvl w:ilvl="0" w:tentative="0">
      <w:start w:val="1"/>
      <w:numFmt w:val="bullet"/>
      <w:lvlText w:val=""/>
      <w:lvlJc w:val="left"/>
      <w:pPr>
        <w:ind w:left="420" w:hanging="420"/>
      </w:pPr>
      <w:rPr>
        <w:rFonts w:hint="default" w:ascii="Wingdings" w:hAnsi="Wingdings"/>
      </w:rPr>
    </w:lvl>
  </w:abstractNum>
  <w:abstractNum w:abstractNumId="9">
    <w:nsid w:val="596585E1"/>
    <w:multiLevelType w:val="multilevel"/>
    <w:tmpl w:val="596585E1"/>
    <w:lvl w:ilvl="0" w:tentative="0">
      <w:start w:val="1"/>
      <w:numFmt w:val="bullet"/>
      <w:lvlText w:val=""/>
      <w:lvlJc w:val="left"/>
      <w:pPr>
        <w:ind w:left="420" w:hanging="420"/>
      </w:pPr>
      <w:rPr>
        <w:rFonts w:hint="default" w:ascii="Wingdings" w:hAnsi="Wingdings"/>
        <w:color w:val="auto"/>
      </w:rPr>
    </w:lvl>
    <w:lvl w:ilvl="1" w:tentative="0">
      <w:start w:val="1"/>
      <w:numFmt w:val="decimal"/>
      <w:lvlText w:val=""/>
      <w:lvlJc w:val="left"/>
    </w:lvl>
    <w:lvl w:ilvl="2" w:tentative="0">
      <w:start w:val="1"/>
      <w:numFmt w:val="decimal"/>
      <w:lvlText w:val=""/>
      <w:lvlJc w:val="left"/>
    </w:lvl>
    <w:lvl w:ilvl="3" w:tentative="0">
      <w:start w:val="1"/>
      <w:numFmt w:val="decimal"/>
      <w:lvlText w:val=""/>
      <w:lvlJc w:val="left"/>
    </w:lvl>
    <w:lvl w:ilvl="4" w:tentative="0">
      <w:start w:val="1"/>
      <w:numFmt w:val="decimal"/>
      <w:lvlText w:val=""/>
      <w:lvlJc w:val="left"/>
    </w:lvl>
    <w:lvl w:ilvl="5" w:tentative="0">
      <w:start w:val="1"/>
      <w:numFmt w:val="decimal"/>
      <w:lvlText w:val=""/>
      <w:lvlJc w:val="left"/>
    </w:lvl>
    <w:lvl w:ilvl="6" w:tentative="0">
      <w:start w:val="1"/>
      <w:numFmt w:val="decimal"/>
      <w:lvlText w:val=""/>
      <w:lvlJc w:val="left"/>
    </w:lvl>
    <w:lvl w:ilvl="7" w:tentative="0">
      <w:start w:val="1"/>
      <w:numFmt w:val="decimal"/>
      <w:lvlText w:val=""/>
      <w:lvlJc w:val="left"/>
    </w:lvl>
    <w:lvl w:ilvl="8" w:tentative="0">
      <w:start w:val="1"/>
      <w:numFmt w:val="decimal"/>
      <w:lvlText w:val=""/>
      <w:lvlJc w:val="left"/>
    </w:lvl>
  </w:abstractNum>
  <w:abstractNum w:abstractNumId="10">
    <w:nsid w:val="5979611E"/>
    <w:multiLevelType w:val="singleLevel"/>
    <w:tmpl w:val="5979611E"/>
    <w:lvl w:ilvl="0" w:tentative="0">
      <w:start w:val="1"/>
      <w:numFmt w:val="bullet"/>
      <w:lvlText w:val=""/>
      <w:lvlJc w:val="left"/>
      <w:pPr>
        <w:ind w:left="420" w:hanging="420"/>
      </w:pPr>
      <w:rPr>
        <w:rFonts w:hint="default" w:ascii="Wingdings" w:hAnsi="Wingdings"/>
        <w:color w:val="000000" w:themeColor="text1"/>
        <w14:textFill>
          <w14:solidFill>
            <w14:schemeClr w14:val="tx1"/>
          </w14:solidFill>
        </w14:textFill>
      </w:rPr>
    </w:lvl>
  </w:abstractNum>
  <w:abstractNum w:abstractNumId="11">
    <w:nsid w:val="598D22D3"/>
    <w:multiLevelType w:val="singleLevel"/>
    <w:tmpl w:val="598D22D3"/>
    <w:lvl w:ilvl="0" w:tentative="0">
      <w:start w:val="1"/>
      <w:numFmt w:val="bullet"/>
      <w:lvlText w:val=""/>
      <w:lvlJc w:val="left"/>
      <w:pPr>
        <w:ind w:left="420" w:hanging="420"/>
      </w:pPr>
      <w:rPr>
        <w:rFonts w:hint="default" w:ascii="Wingdings" w:hAnsi="Wingdings"/>
        <w:color w:val="000000" w:themeColor="text1"/>
        <w14:textFill>
          <w14:solidFill>
            <w14:schemeClr w14:val="tx1"/>
          </w14:solidFill>
        </w14:textFill>
      </w:rPr>
    </w:lvl>
  </w:abstractNum>
  <w:abstractNum w:abstractNumId="12">
    <w:nsid w:val="59ED5FBC"/>
    <w:multiLevelType w:val="singleLevel"/>
    <w:tmpl w:val="59ED5FBC"/>
    <w:lvl w:ilvl="0" w:tentative="0">
      <w:start w:val="1"/>
      <w:numFmt w:val="bullet"/>
      <w:lvlText w:val=""/>
      <w:lvlJc w:val="left"/>
      <w:pPr>
        <w:ind w:left="420" w:hanging="420"/>
      </w:pPr>
      <w:rPr>
        <w:rFonts w:hint="default" w:ascii="Wingdings" w:hAnsi="Wingdings"/>
      </w:rPr>
    </w:lvl>
  </w:abstractNum>
  <w:abstractNum w:abstractNumId="13">
    <w:nsid w:val="5B10DDC0"/>
    <w:multiLevelType w:val="singleLevel"/>
    <w:tmpl w:val="5B10DDC0"/>
    <w:lvl w:ilvl="0" w:tentative="0">
      <w:start w:val="1"/>
      <w:numFmt w:val="decimal"/>
      <w:suff w:val="space"/>
      <w:lvlText w:val="[%1]"/>
      <w:lvlJc w:val="left"/>
    </w:lvl>
  </w:abstractNum>
  <w:abstractNum w:abstractNumId="14">
    <w:nsid w:val="5D46DBD0"/>
    <w:multiLevelType w:val="singleLevel"/>
    <w:tmpl w:val="5D46DBD0"/>
    <w:lvl w:ilvl="0" w:tentative="0">
      <w:start w:val="1"/>
      <w:numFmt w:val="bullet"/>
      <w:lvlText w:val=""/>
      <w:lvlJc w:val="left"/>
      <w:pPr>
        <w:ind w:left="420" w:hanging="137"/>
      </w:pPr>
      <w:rPr>
        <w:rFonts w:hint="default" w:ascii="Wingdings" w:hAnsi="Wingdings"/>
      </w:rPr>
    </w:lvl>
  </w:abstractNum>
  <w:abstractNum w:abstractNumId="15">
    <w:nsid w:val="67D83E66"/>
    <w:multiLevelType w:val="multilevel"/>
    <w:tmpl w:val="67D83E66"/>
    <w:lvl w:ilvl="0" w:tentative="0">
      <w:start w:val="1"/>
      <w:numFmt w:val="decimal"/>
      <w:suff w:val="space"/>
      <w:lvlText w:val="%1."/>
      <w:lvlJc w:val="left"/>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16">
    <w:nsid w:val="712E346B"/>
    <w:multiLevelType w:val="multilevel"/>
    <w:tmpl w:val="712E346B"/>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7">
    <w:nsid w:val="73A48B0C"/>
    <w:multiLevelType w:val="singleLevel"/>
    <w:tmpl w:val="73A48B0C"/>
    <w:lvl w:ilvl="0" w:tentative="0">
      <w:start w:val="1"/>
      <w:numFmt w:val="decimal"/>
      <w:suff w:val="space"/>
      <w:lvlText w:val="[%1]"/>
      <w:lvlJc w:val="left"/>
    </w:lvl>
  </w:abstractNum>
  <w:abstractNum w:abstractNumId="18">
    <w:nsid w:val="7515515F"/>
    <w:multiLevelType w:val="singleLevel"/>
    <w:tmpl w:val="7515515F"/>
    <w:lvl w:ilvl="0" w:tentative="0">
      <w:start w:val="1"/>
      <w:numFmt w:val="decimal"/>
      <w:suff w:val="space"/>
      <w:lvlText w:val="%1."/>
      <w:lvlJc w:val="left"/>
    </w:lvl>
  </w:abstractNum>
  <w:abstractNum w:abstractNumId="19">
    <w:nsid w:val="7673DC0A"/>
    <w:multiLevelType w:val="singleLevel"/>
    <w:tmpl w:val="7673DC0A"/>
    <w:lvl w:ilvl="0" w:tentative="0">
      <w:start w:val="1"/>
      <w:numFmt w:val="bullet"/>
      <w:lvlText w:val=""/>
      <w:lvlJc w:val="left"/>
      <w:pPr>
        <w:ind w:left="420" w:hanging="420"/>
      </w:pPr>
      <w:rPr>
        <w:rFonts w:hint="default" w:ascii="Wingdings" w:hAnsi="Wingdings"/>
      </w:rPr>
    </w:lvl>
  </w:abstractNum>
  <w:abstractNum w:abstractNumId="20">
    <w:nsid w:val="77F00E20"/>
    <w:multiLevelType w:val="singleLevel"/>
    <w:tmpl w:val="77F00E20"/>
    <w:lvl w:ilvl="0" w:tentative="0">
      <w:start w:val="1"/>
      <w:numFmt w:val="bullet"/>
      <w:lvlText w:val=""/>
      <w:lvlJc w:val="left"/>
      <w:pPr>
        <w:ind w:left="420" w:hanging="420"/>
      </w:pPr>
      <w:rPr>
        <w:rFonts w:hint="default" w:ascii="Wingdings" w:hAnsi="Wingdings"/>
        <w:sz w:val="16"/>
      </w:rPr>
    </w:lvl>
  </w:abstractNum>
  <w:abstractNum w:abstractNumId="21">
    <w:nsid w:val="78AFFE8A"/>
    <w:multiLevelType w:val="multilevel"/>
    <w:tmpl w:val="78AFFE8A"/>
    <w:lvl w:ilvl="0" w:tentative="0">
      <w:start w:val="1"/>
      <w:numFmt w:val="bullet"/>
      <w:lvlText w:val=""/>
      <w:lvlJc w:val="left"/>
      <w:pPr>
        <w:ind w:left="420" w:hanging="420"/>
      </w:pPr>
      <w:rPr>
        <w:rFonts w:hint="default" w:ascii="Wingdings" w:hAnsi="Wingdings"/>
        <w:color w:val="FF0000"/>
      </w:rPr>
    </w:lvl>
    <w:lvl w:ilvl="1" w:tentative="0">
      <w:start w:val="1"/>
      <w:numFmt w:val="decimal"/>
      <w:lvlText w:val=""/>
      <w:lvlJc w:val="left"/>
    </w:lvl>
    <w:lvl w:ilvl="2" w:tentative="0">
      <w:start w:val="1"/>
      <w:numFmt w:val="decimal"/>
      <w:lvlText w:val=""/>
      <w:lvlJc w:val="left"/>
    </w:lvl>
    <w:lvl w:ilvl="3" w:tentative="0">
      <w:start w:val="1"/>
      <w:numFmt w:val="decimal"/>
      <w:lvlText w:val=""/>
      <w:lvlJc w:val="left"/>
    </w:lvl>
    <w:lvl w:ilvl="4" w:tentative="0">
      <w:start w:val="1"/>
      <w:numFmt w:val="decimal"/>
      <w:lvlText w:val=""/>
      <w:lvlJc w:val="left"/>
    </w:lvl>
    <w:lvl w:ilvl="5" w:tentative="0">
      <w:start w:val="1"/>
      <w:numFmt w:val="decimal"/>
      <w:lvlText w:val=""/>
      <w:lvlJc w:val="left"/>
    </w:lvl>
    <w:lvl w:ilvl="6" w:tentative="0">
      <w:start w:val="1"/>
      <w:numFmt w:val="decimal"/>
      <w:lvlText w:val=""/>
      <w:lvlJc w:val="left"/>
    </w:lvl>
    <w:lvl w:ilvl="7" w:tentative="0">
      <w:start w:val="1"/>
      <w:numFmt w:val="decimal"/>
      <w:lvlText w:val=""/>
      <w:lvlJc w:val="left"/>
    </w:lvl>
    <w:lvl w:ilvl="8" w:tentative="0">
      <w:start w:val="1"/>
      <w:numFmt w:val="decimal"/>
      <w:lvlText w:val=""/>
      <w:lvlJc w:val="left"/>
    </w:lvl>
  </w:abstractNum>
  <w:abstractNum w:abstractNumId="22">
    <w:nsid w:val="7DBAAF7A"/>
    <w:multiLevelType w:val="singleLevel"/>
    <w:tmpl w:val="7DBAAF7A"/>
    <w:lvl w:ilvl="0" w:tentative="0">
      <w:start w:val="1"/>
      <w:numFmt w:val="bullet"/>
      <w:lvlText w:val=""/>
      <w:lvlJc w:val="left"/>
      <w:pPr>
        <w:ind w:left="420" w:hanging="420"/>
      </w:pPr>
      <w:rPr>
        <w:rFonts w:hint="default" w:ascii="Wingdings" w:hAnsi="Wingdings"/>
        <w:color w:val="00C4D8"/>
        <w:sz w:val="16"/>
      </w:rPr>
    </w:lvl>
  </w:abstractNum>
  <w:num w:numId="1">
    <w:abstractNumId w:val="18"/>
  </w:num>
  <w:num w:numId="2">
    <w:abstractNumId w:val="3"/>
  </w:num>
  <w:num w:numId="3">
    <w:abstractNumId w:val="22"/>
  </w:num>
  <w:num w:numId="4">
    <w:abstractNumId w:val="17"/>
  </w:num>
  <w:num w:numId="5">
    <w:abstractNumId w:val="12"/>
  </w:num>
  <w:num w:numId="6">
    <w:abstractNumId w:val="15"/>
  </w:num>
  <w:num w:numId="7">
    <w:abstractNumId w:val="7"/>
  </w:num>
  <w:num w:numId="8">
    <w:abstractNumId w:val="16"/>
  </w:num>
  <w:num w:numId="9">
    <w:abstractNumId w:val="6"/>
  </w:num>
  <w:num w:numId="10">
    <w:abstractNumId w:val="8"/>
  </w:num>
  <w:num w:numId="11">
    <w:abstractNumId w:val="21"/>
  </w:num>
  <w:num w:numId="12">
    <w:abstractNumId w:val="10"/>
  </w:num>
  <w:num w:numId="13">
    <w:abstractNumId w:val="9"/>
  </w:num>
  <w:num w:numId="14">
    <w:abstractNumId w:val="5"/>
  </w:num>
  <w:num w:numId="15">
    <w:abstractNumId w:val="1"/>
  </w:num>
  <w:num w:numId="16">
    <w:abstractNumId w:val="11"/>
  </w:num>
  <w:num w:numId="17">
    <w:abstractNumId w:val="19"/>
  </w:num>
  <w:num w:numId="18">
    <w:abstractNumId w:val="2"/>
  </w:num>
  <w:num w:numId="19">
    <w:abstractNumId w:val="20"/>
  </w:num>
  <w:num w:numId="20">
    <w:abstractNumId w:val="0"/>
  </w:num>
  <w:num w:numId="21">
    <w:abstractNumId w:val="14"/>
  </w:num>
  <w:num w:numId="22">
    <w:abstractNumId w:val="13"/>
  </w:num>
  <w:num w:numId="23">
    <w:abstractNumId w:val="4"/>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依米">
    <w15:presenceInfo w15:providerId="WPS Office" w15:userId="249540600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hideSpellingErrors/>
  <w:documentProtection w:enforcement="0"/>
  <w:defaultTabStop w:val="495"/>
  <w:drawingGridHorizontalSpacing w:val="110"/>
  <w:displayHorizontalDrawingGridEvery w:val="1"/>
  <w:displayVerticalDrawingGridEvery w:val="1"/>
  <w:noPunctuationKerning w:val="1"/>
  <w:characterSpacingControl w:val="doNotCompress"/>
  <w:footnotePr>
    <w:footnote w:id="0"/>
    <w:footnote w:id="1"/>
  </w:footnotePr>
  <w:compat>
    <w:balanceSingleByteDoubleByteWidth/>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U4YWNjN2M0YWIwZThlNjNlMjViYzAyZGY5NjMwZDkifQ=="/>
  </w:docVars>
  <w:rsids>
    <w:rsidRoot w:val="00172A27"/>
    <w:rsid w:val="00000A1D"/>
    <w:rsid w:val="00000A9F"/>
    <w:rsid w:val="00000CC2"/>
    <w:rsid w:val="000013F8"/>
    <w:rsid w:val="000015D8"/>
    <w:rsid w:val="000017BF"/>
    <w:rsid w:val="00002200"/>
    <w:rsid w:val="000026F7"/>
    <w:rsid w:val="00002ABA"/>
    <w:rsid w:val="00004D20"/>
    <w:rsid w:val="00006B49"/>
    <w:rsid w:val="00006EDB"/>
    <w:rsid w:val="00007624"/>
    <w:rsid w:val="00013370"/>
    <w:rsid w:val="00014CA9"/>
    <w:rsid w:val="00016416"/>
    <w:rsid w:val="000164C7"/>
    <w:rsid w:val="00017281"/>
    <w:rsid w:val="00017FDA"/>
    <w:rsid w:val="0002180A"/>
    <w:rsid w:val="00021BC6"/>
    <w:rsid w:val="00021EB4"/>
    <w:rsid w:val="0002255E"/>
    <w:rsid w:val="00022FF6"/>
    <w:rsid w:val="000233B0"/>
    <w:rsid w:val="0002343E"/>
    <w:rsid w:val="0002355E"/>
    <w:rsid w:val="00025126"/>
    <w:rsid w:val="000267F5"/>
    <w:rsid w:val="0002753C"/>
    <w:rsid w:val="00027934"/>
    <w:rsid w:val="00030054"/>
    <w:rsid w:val="00033691"/>
    <w:rsid w:val="00033EFE"/>
    <w:rsid w:val="00034934"/>
    <w:rsid w:val="000349D5"/>
    <w:rsid w:val="00035026"/>
    <w:rsid w:val="000353FC"/>
    <w:rsid w:val="00036CCB"/>
    <w:rsid w:val="00037C01"/>
    <w:rsid w:val="00041C6F"/>
    <w:rsid w:val="00042783"/>
    <w:rsid w:val="000446AA"/>
    <w:rsid w:val="00044A1E"/>
    <w:rsid w:val="000459B2"/>
    <w:rsid w:val="000459B7"/>
    <w:rsid w:val="000505BB"/>
    <w:rsid w:val="000515CC"/>
    <w:rsid w:val="00051681"/>
    <w:rsid w:val="000566EA"/>
    <w:rsid w:val="00057A52"/>
    <w:rsid w:val="00057FA4"/>
    <w:rsid w:val="000605F5"/>
    <w:rsid w:val="0006170D"/>
    <w:rsid w:val="0006260F"/>
    <w:rsid w:val="00063AD9"/>
    <w:rsid w:val="0006504A"/>
    <w:rsid w:val="0006577C"/>
    <w:rsid w:val="000658B7"/>
    <w:rsid w:val="00066E14"/>
    <w:rsid w:val="00070298"/>
    <w:rsid w:val="000715A7"/>
    <w:rsid w:val="00073B3C"/>
    <w:rsid w:val="00076911"/>
    <w:rsid w:val="00076947"/>
    <w:rsid w:val="00076EE4"/>
    <w:rsid w:val="00081028"/>
    <w:rsid w:val="00081F82"/>
    <w:rsid w:val="000821B6"/>
    <w:rsid w:val="00082C5E"/>
    <w:rsid w:val="00083BB9"/>
    <w:rsid w:val="00085AAB"/>
    <w:rsid w:val="00086593"/>
    <w:rsid w:val="0009132B"/>
    <w:rsid w:val="0009370A"/>
    <w:rsid w:val="00093718"/>
    <w:rsid w:val="000937B5"/>
    <w:rsid w:val="0009446B"/>
    <w:rsid w:val="00094C62"/>
    <w:rsid w:val="00094FBA"/>
    <w:rsid w:val="0009641F"/>
    <w:rsid w:val="000A00C7"/>
    <w:rsid w:val="000A1458"/>
    <w:rsid w:val="000A1B3C"/>
    <w:rsid w:val="000A3C30"/>
    <w:rsid w:val="000A3C92"/>
    <w:rsid w:val="000A4C4F"/>
    <w:rsid w:val="000A72B3"/>
    <w:rsid w:val="000B0049"/>
    <w:rsid w:val="000B1CE6"/>
    <w:rsid w:val="000B34C7"/>
    <w:rsid w:val="000B52F8"/>
    <w:rsid w:val="000B5550"/>
    <w:rsid w:val="000B5EB3"/>
    <w:rsid w:val="000B639D"/>
    <w:rsid w:val="000C23C6"/>
    <w:rsid w:val="000C34E2"/>
    <w:rsid w:val="000C4279"/>
    <w:rsid w:val="000C4BFF"/>
    <w:rsid w:val="000C613F"/>
    <w:rsid w:val="000C7EB6"/>
    <w:rsid w:val="000D01B1"/>
    <w:rsid w:val="000D08A1"/>
    <w:rsid w:val="000D0DDE"/>
    <w:rsid w:val="000D1307"/>
    <w:rsid w:val="000D131D"/>
    <w:rsid w:val="000D2CB5"/>
    <w:rsid w:val="000D4C20"/>
    <w:rsid w:val="000D4D42"/>
    <w:rsid w:val="000E032D"/>
    <w:rsid w:val="000E036E"/>
    <w:rsid w:val="000E18AD"/>
    <w:rsid w:val="000E1CBE"/>
    <w:rsid w:val="000E3D1E"/>
    <w:rsid w:val="000E5654"/>
    <w:rsid w:val="000E598A"/>
    <w:rsid w:val="000E6BCB"/>
    <w:rsid w:val="000E7055"/>
    <w:rsid w:val="000E76A6"/>
    <w:rsid w:val="000E7F79"/>
    <w:rsid w:val="000F03A5"/>
    <w:rsid w:val="000F1B29"/>
    <w:rsid w:val="000F24A8"/>
    <w:rsid w:val="000F3776"/>
    <w:rsid w:val="000F5BA3"/>
    <w:rsid w:val="000F6278"/>
    <w:rsid w:val="000F728B"/>
    <w:rsid w:val="000F76AB"/>
    <w:rsid w:val="000F776C"/>
    <w:rsid w:val="00101661"/>
    <w:rsid w:val="00101E20"/>
    <w:rsid w:val="00102832"/>
    <w:rsid w:val="001039B4"/>
    <w:rsid w:val="0010456E"/>
    <w:rsid w:val="00105287"/>
    <w:rsid w:val="00105BB3"/>
    <w:rsid w:val="00105DBC"/>
    <w:rsid w:val="001078C9"/>
    <w:rsid w:val="00107996"/>
    <w:rsid w:val="0011253D"/>
    <w:rsid w:val="001141EC"/>
    <w:rsid w:val="0011438A"/>
    <w:rsid w:val="001155D6"/>
    <w:rsid w:val="001156C7"/>
    <w:rsid w:val="00116046"/>
    <w:rsid w:val="0011691D"/>
    <w:rsid w:val="00116A46"/>
    <w:rsid w:val="00117040"/>
    <w:rsid w:val="001206F7"/>
    <w:rsid w:val="0012087D"/>
    <w:rsid w:val="00121010"/>
    <w:rsid w:val="001227BE"/>
    <w:rsid w:val="00122BA4"/>
    <w:rsid w:val="00122D07"/>
    <w:rsid w:val="0012476B"/>
    <w:rsid w:val="00125B8A"/>
    <w:rsid w:val="001304F9"/>
    <w:rsid w:val="00131162"/>
    <w:rsid w:val="00131A69"/>
    <w:rsid w:val="001326B3"/>
    <w:rsid w:val="001336B9"/>
    <w:rsid w:val="00135662"/>
    <w:rsid w:val="00135FE5"/>
    <w:rsid w:val="0013618C"/>
    <w:rsid w:val="001416F2"/>
    <w:rsid w:val="001425F7"/>
    <w:rsid w:val="0014318A"/>
    <w:rsid w:val="00144E22"/>
    <w:rsid w:val="00145FFA"/>
    <w:rsid w:val="00150E4A"/>
    <w:rsid w:val="0015112F"/>
    <w:rsid w:val="001516C0"/>
    <w:rsid w:val="001519FA"/>
    <w:rsid w:val="00151AEF"/>
    <w:rsid w:val="001526C5"/>
    <w:rsid w:val="00152A48"/>
    <w:rsid w:val="00153D49"/>
    <w:rsid w:val="001566C9"/>
    <w:rsid w:val="00156C65"/>
    <w:rsid w:val="00160357"/>
    <w:rsid w:val="00160C56"/>
    <w:rsid w:val="0016313D"/>
    <w:rsid w:val="0016350D"/>
    <w:rsid w:val="001635DD"/>
    <w:rsid w:val="00165B7D"/>
    <w:rsid w:val="00166811"/>
    <w:rsid w:val="00170A35"/>
    <w:rsid w:val="00172A27"/>
    <w:rsid w:val="00172C7E"/>
    <w:rsid w:val="00172F4E"/>
    <w:rsid w:val="0017407B"/>
    <w:rsid w:val="001746CE"/>
    <w:rsid w:val="001748F3"/>
    <w:rsid w:val="00174DC5"/>
    <w:rsid w:val="00174E3E"/>
    <w:rsid w:val="001755C0"/>
    <w:rsid w:val="001764A6"/>
    <w:rsid w:val="00181E02"/>
    <w:rsid w:val="00183BF8"/>
    <w:rsid w:val="001842EA"/>
    <w:rsid w:val="00184E3C"/>
    <w:rsid w:val="001857B1"/>
    <w:rsid w:val="001857B6"/>
    <w:rsid w:val="001869C0"/>
    <w:rsid w:val="00187C8E"/>
    <w:rsid w:val="00191D00"/>
    <w:rsid w:val="001921A1"/>
    <w:rsid w:val="00192D62"/>
    <w:rsid w:val="0019415E"/>
    <w:rsid w:val="00194816"/>
    <w:rsid w:val="00194AA4"/>
    <w:rsid w:val="00194D9E"/>
    <w:rsid w:val="001958C0"/>
    <w:rsid w:val="00196185"/>
    <w:rsid w:val="00196221"/>
    <w:rsid w:val="00197B15"/>
    <w:rsid w:val="001A0886"/>
    <w:rsid w:val="001A1F1E"/>
    <w:rsid w:val="001A31A4"/>
    <w:rsid w:val="001A4BBA"/>
    <w:rsid w:val="001A72E0"/>
    <w:rsid w:val="001B22DC"/>
    <w:rsid w:val="001B2BD4"/>
    <w:rsid w:val="001B2FB7"/>
    <w:rsid w:val="001B4304"/>
    <w:rsid w:val="001B66E2"/>
    <w:rsid w:val="001B6945"/>
    <w:rsid w:val="001B74E6"/>
    <w:rsid w:val="001C166C"/>
    <w:rsid w:val="001C1FE5"/>
    <w:rsid w:val="001C215F"/>
    <w:rsid w:val="001C3348"/>
    <w:rsid w:val="001C5121"/>
    <w:rsid w:val="001C7E8C"/>
    <w:rsid w:val="001D0048"/>
    <w:rsid w:val="001D030E"/>
    <w:rsid w:val="001D1AA0"/>
    <w:rsid w:val="001D1D3A"/>
    <w:rsid w:val="001D23D5"/>
    <w:rsid w:val="001D5537"/>
    <w:rsid w:val="001D5AF9"/>
    <w:rsid w:val="001D60E2"/>
    <w:rsid w:val="001D7B07"/>
    <w:rsid w:val="001E101D"/>
    <w:rsid w:val="001E4284"/>
    <w:rsid w:val="001E4288"/>
    <w:rsid w:val="001E4BE6"/>
    <w:rsid w:val="001E4DF3"/>
    <w:rsid w:val="001E51CF"/>
    <w:rsid w:val="001E563B"/>
    <w:rsid w:val="001E7FC1"/>
    <w:rsid w:val="001F164B"/>
    <w:rsid w:val="001F1938"/>
    <w:rsid w:val="001F2F96"/>
    <w:rsid w:val="001F37BD"/>
    <w:rsid w:val="001F4B28"/>
    <w:rsid w:val="001F6DA1"/>
    <w:rsid w:val="001F7D14"/>
    <w:rsid w:val="00201AF5"/>
    <w:rsid w:val="0020214F"/>
    <w:rsid w:val="002027C5"/>
    <w:rsid w:val="002048E5"/>
    <w:rsid w:val="00206335"/>
    <w:rsid w:val="002104F7"/>
    <w:rsid w:val="00210BCF"/>
    <w:rsid w:val="00210D66"/>
    <w:rsid w:val="002110D4"/>
    <w:rsid w:val="00212891"/>
    <w:rsid w:val="00213785"/>
    <w:rsid w:val="00213FE8"/>
    <w:rsid w:val="00214B3C"/>
    <w:rsid w:val="00214D4C"/>
    <w:rsid w:val="002169EB"/>
    <w:rsid w:val="00216C94"/>
    <w:rsid w:val="00216D7A"/>
    <w:rsid w:val="0022010D"/>
    <w:rsid w:val="0022030E"/>
    <w:rsid w:val="00221E3D"/>
    <w:rsid w:val="00223942"/>
    <w:rsid w:val="00224DF7"/>
    <w:rsid w:val="0022504C"/>
    <w:rsid w:val="00225FAF"/>
    <w:rsid w:val="0022749C"/>
    <w:rsid w:val="00230A0E"/>
    <w:rsid w:val="00230D3F"/>
    <w:rsid w:val="0023162C"/>
    <w:rsid w:val="00233083"/>
    <w:rsid w:val="002355A5"/>
    <w:rsid w:val="002356B5"/>
    <w:rsid w:val="00236A7F"/>
    <w:rsid w:val="0023702B"/>
    <w:rsid w:val="00237436"/>
    <w:rsid w:val="002408CA"/>
    <w:rsid w:val="00240F95"/>
    <w:rsid w:val="0024276F"/>
    <w:rsid w:val="00242A80"/>
    <w:rsid w:val="00242EDD"/>
    <w:rsid w:val="00243CA5"/>
    <w:rsid w:val="00244620"/>
    <w:rsid w:val="00245DB5"/>
    <w:rsid w:val="00247556"/>
    <w:rsid w:val="00247BD6"/>
    <w:rsid w:val="00250009"/>
    <w:rsid w:val="00252387"/>
    <w:rsid w:val="00252D9F"/>
    <w:rsid w:val="00253944"/>
    <w:rsid w:val="00253A6B"/>
    <w:rsid w:val="00254842"/>
    <w:rsid w:val="00254A13"/>
    <w:rsid w:val="00255ABB"/>
    <w:rsid w:val="00260255"/>
    <w:rsid w:val="002615F8"/>
    <w:rsid w:val="00261755"/>
    <w:rsid w:val="00262AB2"/>
    <w:rsid w:val="002634EE"/>
    <w:rsid w:val="00263C9D"/>
    <w:rsid w:val="002661BB"/>
    <w:rsid w:val="00267960"/>
    <w:rsid w:val="00267A77"/>
    <w:rsid w:val="002700EF"/>
    <w:rsid w:val="00270AE1"/>
    <w:rsid w:val="00271636"/>
    <w:rsid w:val="002725A0"/>
    <w:rsid w:val="00272CA2"/>
    <w:rsid w:val="00274155"/>
    <w:rsid w:val="0027489C"/>
    <w:rsid w:val="00274F9C"/>
    <w:rsid w:val="00276264"/>
    <w:rsid w:val="0027654A"/>
    <w:rsid w:val="00276A5B"/>
    <w:rsid w:val="00280961"/>
    <w:rsid w:val="0028166C"/>
    <w:rsid w:val="002817E6"/>
    <w:rsid w:val="00281F4A"/>
    <w:rsid w:val="002820BD"/>
    <w:rsid w:val="0028239E"/>
    <w:rsid w:val="00282B8B"/>
    <w:rsid w:val="00282C08"/>
    <w:rsid w:val="00283055"/>
    <w:rsid w:val="0028316B"/>
    <w:rsid w:val="00284FD8"/>
    <w:rsid w:val="00285852"/>
    <w:rsid w:val="00285FF6"/>
    <w:rsid w:val="00286AF0"/>
    <w:rsid w:val="00286C29"/>
    <w:rsid w:val="00290AE6"/>
    <w:rsid w:val="00291403"/>
    <w:rsid w:val="00292DC7"/>
    <w:rsid w:val="0029316F"/>
    <w:rsid w:val="002933E6"/>
    <w:rsid w:val="00293EB2"/>
    <w:rsid w:val="00294E59"/>
    <w:rsid w:val="0029619A"/>
    <w:rsid w:val="002964A6"/>
    <w:rsid w:val="0029723E"/>
    <w:rsid w:val="002A0335"/>
    <w:rsid w:val="002A13BE"/>
    <w:rsid w:val="002A15A5"/>
    <w:rsid w:val="002A187F"/>
    <w:rsid w:val="002A35A0"/>
    <w:rsid w:val="002A44F3"/>
    <w:rsid w:val="002A6107"/>
    <w:rsid w:val="002A61D3"/>
    <w:rsid w:val="002A6827"/>
    <w:rsid w:val="002A7F29"/>
    <w:rsid w:val="002B00ED"/>
    <w:rsid w:val="002B086B"/>
    <w:rsid w:val="002B17A6"/>
    <w:rsid w:val="002B1D7B"/>
    <w:rsid w:val="002B3DB3"/>
    <w:rsid w:val="002B41AF"/>
    <w:rsid w:val="002B7E54"/>
    <w:rsid w:val="002C04D9"/>
    <w:rsid w:val="002C14F8"/>
    <w:rsid w:val="002C1EAA"/>
    <w:rsid w:val="002C2BE2"/>
    <w:rsid w:val="002C55D1"/>
    <w:rsid w:val="002C707F"/>
    <w:rsid w:val="002C7313"/>
    <w:rsid w:val="002D0388"/>
    <w:rsid w:val="002D0912"/>
    <w:rsid w:val="002D17B1"/>
    <w:rsid w:val="002D17F7"/>
    <w:rsid w:val="002D2249"/>
    <w:rsid w:val="002D3C07"/>
    <w:rsid w:val="002D4FAE"/>
    <w:rsid w:val="002D7488"/>
    <w:rsid w:val="002E005B"/>
    <w:rsid w:val="002E196C"/>
    <w:rsid w:val="002E404F"/>
    <w:rsid w:val="002E6DFA"/>
    <w:rsid w:val="002E7F6A"/>
    <w:rsid w:val="002F0805"/>
    <w:rsid w:val="002F0954"/>
    <w:rsid w:val="002F2E5D"/>
    <w:rsid w:val="002F3043"/>
    <w:rsid w:val="002F3D78"/>
    <w:rsid w:val="002F3FA4"/>
    <w:rsid w:val="002F50D6"/>
    <w:rsid w:val="002F6172"/>
    <w:rsid w:val="002F680E"/>
    <w:rsid w:val="002F6D25"/>
    <w:rsid w:val="002F75CC"/>
    <w:rsid w:val="002F75D5"/>
    <w:rsid w:val="00301E7A"/>
    <w:rsid w:val="00302A8B"/>
    <w:rsid w:val="00303FDF"/>
    <w:rsid w:val="00304545"/>
    <w:rsid w:val="003053D1"/>
    <w:rsid w:val="00305886"/>
    <w:rsid w:val="003058A0"/>
    <w:rsid w:val="003059EA"/>
    <w:rsid w:val="00305D35"/>
    <w:rsid w:val="003061CA"/>
    <w:rsid w:val="003065E8"/>
    <w:rsid w:val="00306F54"/>
    <w:rsid w:val="0030705B"/>
    <w:rsid w:val="003102E9"/>
    <w:rsid w:val="00310302"/>
    <w:rsid w:val="003110BA"/>
    <w:rsid w:val="00312A3C"/>
    <w:rsid w:val="00315603"/>
    <w:rsid w:val="0031583D"/>
    <w:rsid w:val="00315BF8"/>
    <w:rsid w:val="0031730C"/>
    <w:rsid w:val="00320CD5"/>
    <w:rsid w:val="00320EA5"/>
    <w:rsid w:val="003223B7"/>
    <w:rsid w:val="00323B43"/>
    <w:rsid w:val="003241A5"/>
    <w:rsid w:val="003243B3"/>
    <w:rsid w:val="003247EA"/>
    <w:rsid w:val="00324A5A"/>
    <w:rsid w:val="00324DAD"/>
    <w:rsid w:val="003254F7"/>
    <w:rsid w:val="0032640D"/>
    <w:rsid w:val="0033030B"/>
    <w:rsid w:val="00330D56"/>
    <w:rsid w:val="00330E91"/>
    <w:rsid w:val="003319B6"/>
    <w:rsid w:val="00331E3F"/>
    <w:rsid w:val="00332454"/>
    <w:rsid w:val="00332C70"/>
    <w:rsid w:val="003344C5"/>
    <w:rsid w:val="003345B4"/>
    <w:rsid w:val="00334D59"/>
    <w:rsid w:val="00334F62"/>
    <w:rsid w:val="0033534D"/>
    <w:rsid w:val="0033559D"/>
    <w:rsid w:val="00336876"/>
    <w:rsid w:val="0033782E"/>
    <w:rsid w:val="00337971"/>
    <w:rsid w:val="00341FEA"/>
    <w:rsid w:val="00343E7D"/>
    <w:rsid w:val="00344329"/>
    <w:rsid w:val="00344575"/>
    <w:rsid w:val="00346412"/>
    <w:rsid w:val="00347F01"/>
    <w:rsid w:val="00350D34"/>
    <w:rsid w:val="003512B5"/>
    <w:rsid w:val="00351488"/>
    <w:rsid w:val="00354399"/>
    <w:rsid w:val="003544D8"/>
    <w:rsid w:val="00355B55"/>
    <w:rsid w:val="00356B88"/>
    <w:rsid w:val="0036168F"/>
    <w:rsid w:val="00361C52"/>
    <w:rsid w:val="0036349B"/>
    <w:rsid w:val="00364B58"/>
    <w:rsid w:val="00365043"/>
    <w:rsid w:val="00365136"/>
    <w:rsid w:val="00371662"/>
    <w:rsid w:val="00371ED9"/>
    <w:rsid w:val="00372B08"/>
    <w:rsid w:val="00372C7F"/>
    <w:rsid w:val="00372DCF"/>
    <w:rsid w:val="00373A5C"/>
    <w:rsid w:val="00373ECC"/>
    <w:rsid w:val="003750E5"/>
    <w:rsid w:val="00377884"/>
    <w:rsid w:val="00383B29"/>
    <w:rsid w:val="00384648"/>
    <w:rsid w:val="00386176"/>
    <w:rsid w:val="0039033C"/>
    <w:rsid w:val="00392056"/>
    <w:rsid w:val="00395E3E"/>
    <w:rsid w:val="0039605F"/>
    <w:rsid w:val="0039681E"/>
    <w:rsid w:val="00396A95"/>
    <w:rsid w:val="00397109"/>
    <w:rsid w:val="003A0346"/>
    <w:rsid w:val="003A0F92"/>
    <w:rsid w:val="003A1239"/>
    <w:rsid w:val="003A1E0B"/>
    <w:rsid w:val="003A22E6"/>
    <w:rsid w:val="003A3C0A"/>
    <w:rsid w:val="003A5769"/>
    <w:rsid w:val="003A5E4E"/>
    <w:rsid w:val="003B1277"/>
    <w:rsid w:val="003B2097"/>
    <w:rsid w:val="003B2224"/>
    <w:rsid w:val="003B253A"/>
    <w:rsid w:val="003B28EE"/>
    <w:rsid w:val="003B3176"/>
    <w:rsid w:val="003B343A"/>
    <w:rsid w:val="003B486D"/>
    <w:rsid w:val="003B788A"/>
    <w:rsid w:val="003C181A"/>
    <w:rsid w:val="003C39FF"/>
    <w:rsid w:val="003C4563"/>
    <w:rsid w:val="003C45CB"/>
    <w:rsid w:val="003C47EE"/>
    <w:rsid w:val="003C4887"/>
    <w:rsid w:val="003C6342"/>
    <w:rsid w:val="003C6978"/>
    <w:rsid w:val="003C6F67"/>
    <w:rsid w:val="003D005F"/>
    <w:rsid w:val="003D105A"/>
    <w:rsid w:val="003D13C3"/>
    <w:rsid w:val="003D3458"/>
    <w:rsid w:val="003D37D8"/>
    <w:rsid w:val="003D3BA4"/>
    <w:rsid w:val="003D55A5"/>
    <w:rsid w:val="003D5627"/>
    <w:rsid w:val="003D6573"/>
    <w:rsid w:val="003E001B"/>
    <w:rsid w:val="003E0121"/>
    <w:rsid w:val="003E10B2"/>
    <w:rsid w:val="003E1C0B"/>
    <w:rsid w:val="003E1DF4"/>
    <w:rsid w:val="003E21AC"/>
    <w:rsid w:val="003E2ED0"/>
    <w:rsid w:val="003E343D"/>
    <w:rsid w:val="003E38F7"/>
    <w:rsid w:val="003E471E"/>
    <w:rsid w:val="003E6487"/>
    <w:rsid w:val="003E665B"/>
    <w:rsid w:val="003E70C6"/>
    <w:rsid w:val="003E7A5A"/>
    <w:rsid w:val="003F0CF0"/>
    <w:rsid w:val="003F0E9B"/>
    <w:rsid w:val="003F1015"/>
    <w:rsid w:val="003F281F"/>
    <w:rsid w:val="003F30A8"/>
    <w:rsid w:val="003F44FF"/>
    <w:rsid w:val="003F6563"/>
    <w:rsid w:val="00400E24"/>
    <w:rsid w:val="00401F8A"/>
    <w:rsid w:val="004031B3"/>
    <w:rsid w:val="00404EDB"/>
    <w:rsid w:val="00406E1F"/>
    <w:rsid w:val="00406E76"/>
    <w:rsid w:val="00410286"/>
    <w:rsid w:val="004105DA"/>
    <w:rsid w:val="00411150"/>
    <w:rsid w:val="00412386"/>
    <w:rsid w:val="0041436F"/>
    <w:rsid w:val="0041611C"/>
    <w:rsid w:val="00416462"/>
    <w:rsid w:val="0041745F"/>
    <w:rsid w:val="00420B92"/>
    <w:rsid w:val="0042280A"/>
    <w:rsid w:val="0042295E"/>
    <w:rsid w:val="00422A18"/>
    <w:rsid w:val="00423904"/>
    <w:rsid w:val="00424F43"/>
    <w:rsid w:val="00426133"/>
    <w:rsid w:val="00426868"/>
    <w:rsid w:val="0042766F"/>
    <w:rsid w:val="00433286"/>
    <w:rsid w:val="00433851"/>
    <w:rsid w:val="00433D82"/>
    <w:rsid w:val="00435680"/>
    <w:rsid w:val="004356D3"/>
    <w:rsid w:val="004358AB"/>
    <w:rsid w:val="00435FD0"/>
    <w:rsid w:val="00437B9E"/>
    <w:rsid w:val="00441F61"/>
    <w:rsid w:val="004432CF"/>
    <w:rsid w:val="004435B6"/>
    <w:rsid w:val="00443E1E"/>
    <w:rsid w:val="004447B3"/>
    <w:rsid w:val="00446273"/>
    <w:rsid w:val="00453240"/>
    <w:rsid w:val="0045373F"/>
    <w:rsid w:val="0045446F"/>
    <w:rsid w:val="0045462B"/>
    <w:rsid w:val="00455263"/>
    <w:rsid w:val="0045645B"/>
    <w:rsid w:val="00460A97"/>
    <w:rsid w:val="00460BC7"/>
    <w:rsid w:val="00461C93"/>
    <w:rsid w:val="00463ECF"/>
    <w:rsid w:val="004654B4"/>
    <w:rsid w:val="004660FC"/>
    <w:rsid w:val="004675B4"/>
    <w:rsid w:val="00467FB9"/>
    <w:rsid w:val="004705CF"/>
    <w:rsid w:val="00470A8D"/>
    <w:rsid w:val="004714E6"/>
    <w:rsid w:val="0047358B"/>
    <w:rsid w:val="00474ACC"/>
    <w:rsid w:val="00474BC5"/>
    <w:rsid w:val="004764EC"/>
    <w:rsid w:val="00476530"/>
    <w:rsid w:val="004813C8"/>
    <w:rsid w:val="004814D7"/>
    <w:rsid w:val="00483136"/>
    <w:rsid w:val="004837AC"/>
    <w:rsid w:val="00484AAB"/>
    <w:rsid w:val="004851D7"/>
    <w:rsid w:val="00491563"/>
    <w:rsid w:val="004919AF"/>
    <w:rsid w:val="00491A26"/>
    <w:rsid w:val="004955FC"/>
    <w:rsid w:val="004A1433"/>
    <w:rsid w:val="004A31E5"/>
    <w:rsid w:val="004A3A02"/>
    <w:rsid w:val="004A4DE0"/>
    <w:rsid w:val="004A5266"/>
    <w:rsid w:val="004A5434"/>
    <w:rsid w:val="004A5E0F"/>
    <w:rsid w:val="004A60CA"/>
    <w:rsid w:val="004A6E47"/>
    <w:rsid w:val="004A74D1"/>
    <w:rsid w:val="004A77AA"/>
    <w:rsid w:val="004A7834"/>
    <w:rsid w:val="004B02F8"/>
    <w:rsid w:val="004B2474"/>
    <w:rsid w:val="004B31F6"/>
    <w:rsid w:val="004B3768"/>
    <w:rsid w:val="004B4077"/>
    <w:rsid w:val="004B47B0"/>
    <w:rsid w:val="004B50D0"/>
    <w:rsid w:val="004B5F31"/>
    <w:rsid w:val="004B681D"/>
    <w:rsid w:val="004B7A06"/>
    <w:rsid w:val="004B7B19"/>
    <w:rsid w:val="004C081F"/>
    <w:rsid w:val="004C11E4"/>
    <w:rsid w:val="004C1382"/>
    <w:rsid w:val="004C1E72"/>
    <w:rsid w:val="004C2154"/>
    <w:rsid w:val="004C2CCC"/>
    <w:rsid w:val="004C4D1D"/>
    <w:rsid w:val="004C4D72"/>
    <w:rsid w:val="004C789F"/>
    <w:rsid w:val="004C797E"/>
    <w:rsid w:val="004D2113"/>
    <w:rsid w:val="004D3488"/>
    <w:rsid w:val="004D42C9"/>
    <w:rsid w:val="004D4708"/>
    <w:rsid w:val="004D581B"/>
    <w:rsid w:val="004D7C68"/>
    <w:rsid w:val="004E0A98"/>
    <w:rsid w:val="004E22C3"/>
    <w:rsid w:val="004E2520"/>
    <w:rsid w:val="004E2945"/>
    <w:rsid w:val="004E3508"/>
    <w:rsid w:val="004E4378"/>
    <w:rsid w:val="004E6959"/>
    <w:rsid w:val="004E79CE"/>
    <w:rsid w:val="004F068D"/>
    <w:rsid w:val="004F0B87"/>
    <w:rsid w:val="004F273B"/>
    <w:rsid w:val="004F34F0"/>
    <w:rsid w:val="004F37EF"/>
    <w:rsid w:val="004F38AE"/>
    <w:rsid w:val="004F46B2"/>
    <w:rsid w:val="004F4899"/>
    <w:rsid w:val="004F6024"/>
    <w:rsid w:val="004F62DB"/>
    <w:rsid w:val="004F6365"/>
    <w:rsid w:val="004F6D0F"/>
    <w:rsid w:val="004F775A"/>
    <w:rsid w:val="004F7D71"/>
    <w:rsid w:val="004F7E3E"/>
    <w:rsid w:val="00500EC9"/>
    <w:rsid w:val="00502668"/>
    <w:rsid w:val="00502763"/>
    <w:rsid w:val="00503801"/>
    <w:rsid w:val="00503AC1"/>
    <w:rsid w:val="005047EC"/>
    <w:rsid w:val="005049F4"/>
    <w:rsid w:val="005055A6"/>
    <w:rsid w:val="0050603D"/>
    <w:rsid w:val="00507297"/>
    <w:rsid w:val="00510FAF"/>
    <w:rsid w:val="005111A0"/>
    <w:rsid w:val="00511601"/>
    <w:rsid w:val="00511786"/>
    <w:rsid w:val="005137AA"/>
    <w:rsid w:val="0051391E"/>
    <w:rsid w:val="005154CE"/>
    <w:rsid w:val="00515B88"/>
    <w:rsid w:val="0051612D"/>
    <w:rsid w:val="00521709"/>
    <w:rsid w:val="005220F8"/>
    <w:rsid w:val="00523040"/>
    <w:rsid w:val="0052370A"/>
    <w:rsid w:val="00523DE0"/>
    <w:rsid w:val="00524BAB"/>
    <w:rsid w:val="00525DE2"/>
    <w:rsid w:val="00526632"/>
    <w:rsid w:val="00526C14"/>
    <w:rsid w:val="0053095D"/>
    <w:rsid w:val="00530D82"/>
    <w:rsid w:val="00531F7D"/>
    <w:rsid w:val="00533480"/>
    <w:rsid w:val="00534220"/>
    <w:rsid w:val="0053511A"/>
    <w:rsid w:val="00535144"/>
    <w:rsid w:val="005361FD"/>
    <w:rsid w:val="005362EA"/>
    <w:rsid w:val="005363FD"/>
    <w:rsid w:val="0053784B"/>
    <w:rsid w:val="00540376"/>
    <w:rsid w:val="00540681"/>
    <w:rsid w:val="00541501"/>
    <w:rsid w:val="005450CC"/>
    <w:rsid w:val="00545412"/>
    <w:rsid w:val="00546A19"/>
    <w:rsid w:val="0054710A"/>
    <w:rsid w:val="005472E5"/>
    <w:rsid w:val="00550A98"/>
    <w:rsid w:val="005524D5"/>
    <w:rsid w:val="00554566"/>
    <w:rsid w:val="00554D32"/>
    <w:rsid w:val="00554EF3"/>
    <w:rsid w:val="00554F6B"/>
    <w:rsid w:val="00556489"/>
    <w:rsid w:val="00556710"/>
    <w:rsid w:val="00556B0C"/>
    <w:rsid w:val="00557E2E"/>
    <w:rsid w:val="00560A7D"/>
    <w:rsid w:val="00560D42"/>
    <w:rsid w:val="005616C6"/>
    <w:rsid w:val="005643B5"/>
    <w:rsid w:val="0056481A"/>
    <w:rsid w:val="0056552B"/>
    <w:rsid w:val="00565883"/>
    <w:rsid w:val="00565F5B"/>
    <w:rsid w:val="005664CE"/>
    <w:rsid w:val="0056661D"/>
    <w:rsid w:val="005667AE"/>
    <w:rsid w:val="00567BF3"/>
    <w:rsid w:val="00567F37"/>
    <w:rsid w:val="005703BB"/>
    <w:rsid w:val="005714A0"/>
    <w:rsid w:val="00572583"/>
    <w:rsid w:val="00573614"/>
    <w:rsid w:val="005749E6"/>
    <w:rsid w:val="00574A63"/>
    <w:rsid w:val="00574F54"/>
    <w:rsid w:val="0057698D"/>
    <w:rsid w:val="00576B3F"/>
    <w:rsid w:val="00577DA8"/>
    <w:rsid w:val="00581533"/>
    <w:rsid w:val="00581AFD"/>
    <w:rsid w:val="005824D1"/>
    <w:rsid w:val="00585B97"/>
    <w:rsid w:val="005901B0"/>
    <w:rsid w:val="00590735"/>
    <w:rsid w:val="00591622"/>
    <w:rsid w:val="00591FBB"/>
    <w:rsid w:val="00595F2B"/>
    <w:rsid w:val="00596E16"/>
    <w:rsid w:val="00597969"/>
    <w:rsid w:val="005A1A84"/>
    <w:rsid w:val="005A21E7"/>
    <w:rsid w:val="005A287B"/>
    <w:rsid w:val="005A3AE5"/>
    <w:rsid w:val="005A4589"/>
    <w:rsid w:val="005A4A9E"/>
    <w:rsid w:val="005A65BE"/>
    <w:rsid w:val="005A668C"/>
    <w:rsid w:val="005A691B"/>
    <w:rsid w:val="005B0DEF"/>
    <w:rsid w:val="005B1EA6"/>
    <w:rsid w:val="005B20AB"/>
    <w:rsid w:val="005B27F3"/>
    <w:rsid w:val="005B2B4C"/>
    <w:rsid w:val="005B2D71"/>
    <w:rsid w:val="005B389F"/>
    <w:rsid w:val="005B4103"/>
    <w:rsid w:val="005B47C8"/>
    <w:rsid w:val="005B53B5"/>
    <w:rsid w:val="005B54B3"/>
    <w:rsid w:val="005B564B"/>
    <w:rsid w:val="005B7BE8"/>
    <w:rsid w:val="005C0233"/>
    <w:rsid w:val="005C05B9"/>
    <w:rsid w:val="005C0AC7"/>
    <w:rsid w:val="005C0B4A"/>
    <w:rsid w:val="005C1F3B"/>
    <w:rsid w:val="005C2410"/>
    <w:rsid w:val="005C4CD1"/>
    <w:rsid w:val="005C5162"/>
    <w:rsid w:val="005C56CE"/>
    <w:rsid w:val="005C5D77"/>
    <w:rsid w:val="005C76CB"/>
    <w:rsid w:val="005D0ED1"/>
    <w:rsid w:val="005D374C"/>
    <w:rsid w:val="005D6BCA"/>
    <w:rsid w:val="005E0C0D"/>
    <w:rsid w:val="005E1174"/>
    <w:rsid w:val="005E1842"/>
    <w:rsid w:val="005E3A14"/>
    <w:rsid w:val="005E3F17"/>
    <w:rsid w:val="005E40D8"/>
    <w:rsid w:val="005E4CAF"/>
    <w:rsid w:val="005E6E4D"/>
    <w:rsid w:val="005E7B91"/>
    <w:rsid w:val="005F0A81"/>
    <w:rsid w:val="005F0FA7"/>
    <w:rsid w:val="005F1B60"/>
    <w:rsid w:val="005F1F51"/>
    <w:rsid w:val="005F291A"/>
    <w:rsid w:val="005F3AED"/>
    <w:rsid w:val="005F3CF0"/>
    <w:rsid w:val="005F4838"/>
    <w:rsid w:val="005F633E"/>
    <w:rsid w:val="005F742B"/>
    <w:rsid w:val="005F7CC9"/>
    <w:rsid w:val="00602B09"/>
    <w:rsid w:val="00604974"/>
    <w:rsid w:val="00604A1C"/>
    <w:rsid w:val="00605D8F"/>
    <w:rsid w:val="00607717"/>
    <w:rsid w:val="0061015D"/>
    <w:rsid w:val="006105D1"/>
    <w:rsid w:val="00610BCE"/>
    <w:rsid w:val="0061188B"/>
    <w:rsid w:val="00611AD0"/>
    <w:rsid w:val="0061296E"/>
    <w:rsid w:val="00613F36"/>
    <w:rsid w:val="00614428"/>
    <w:rsid w:val="00615334"/>
    <w:rsid w:val="00615868"/>
    <w:rsid w:val="00615F5F"/>
    <w:rsid w:val="0061629D"/>
    <w:rsid w:val="00616371"/>
    <w:rsid w:val="006179D2"/>
    <w:rsid w:val="006204FE"/>
    <w:rsid w:val="00620661"/>
    <w:rsid w:val="00620C07"/>
    <w:rsid w:val="00621684"/>
    <w:rsid w:val="0062269F"/>
    <w:rsid w:val="006248E8"/>
    <w:rsid w:val="00624F63"/>
    <w:rsid w:val="006253A1"/>
    <w:rsid w:val="0062556F"/>
    <w:rsid w:val="0062577E"/>
    <w:rsid w:val="00627C54"/>
    <w:rsid w:val="00627CF1"/>
    <w:rsid w:val="006309B1"/>
    <w:rsid w:val="00631BF9"/>
    <w:rsid w:val="0063201C"/>
    <w:rsid w:val="006321A4"/>
    <w:rsid w:val="00632B86"/>
    <w:rsid w:val="00633896"/>
    <w:rsid w:val="006359E4"/>
    <w:rsid w:val="00635A1E"/>
    <w:rsid w:val="0064087F"/>
    <w:rsid w:val="00640C22"/>
    <w:rsid w:val="00640E46"/>
    <w:rsid w:val="00641BCC"/>
    <w:rsid w:val="0064481F"/>
    <w:rsid w:val="00645AE3"/>
    <w:rsid w:val="0064670F"/>
    <w:rsid w:val="00647D05"/>
    <w:rsid w:val="00650136"/>
    <w:rsid w:val="006507A9"/>
    <w:rsid w:val="00650D67"/>
    <w:rsid w:val="00652235"/>
    <w:rsid w:val="006533FF"/>
    <w:rsid w:val="00653873"/>
    <w:rsid w:val="00655DDE"/>
    <w:rsid w:val="006571E4"/>
    <w:rsid w:val="0066004C"/>
    <w:rsid w:val="006603B5"/>
    <w:rsid w:val="00661F1A"/>
    <w:rsid w:val="006646D3"/>
    <w:rsid w:val="0066593D"/>
    <w:rsid w:val="0066655F"/>
    <w:rsid w:val="00666C3B"/>
    <w:rsid w:val="00667696"/>
    <w:rsid w:val="00667845"/>
    <w:rsid w:val="00667E56"/>
    <w:rsid w:val="00671EED"/>
    <w:rsid w:val="00672E27"/>
    <w:rsid w:val="00673D67"/>
    <w:rsid w:val="006742D1"/>
    <w:rsid w:val="00674624"/>
    <w:rsid w:val="00677F2D"/>
    <w:rsid w:val="00680CD3"/>
    <w:rsid w:val="0068113F"/>
    <w:rsid w:val="00681C62"/>
    <w:rsid w:val="006828B6"/>
    <w:rsid w:val="006829F3"/>
    <w:rsid w:val="00682B78"/>
    <w:rsid w:val="00682E46"/>
    <w:rsid w:val="006830A5"/>
    <w:rsid w:val="006849C3"/>
    <w:rsid w:val="006857B9"/>
    <w:rsid w:val="00685B52"/>
    <w:rsid w:val="006861C4"/>
    <w:rsid w:val="0068768C"/>
    <w:rsid w:val="006906BB"/>
    <w:rsid w:val="00690E39"/>
    <w:rsid w:val="00692006"/>
    <w:rsid w:val="00692024"/>
    <w:rsid w:val="0069238A"/>
    <w:rsid w:val="00692D75"/>
    <w:rsid w:val="00692F91"/>
    <w:rsid w:val="00693D18"/>
    <w:rsid w:val="00693ECB"/>
    <w:rsid w:val="00695205"/>
    <w:rsid w:val="00696A09"/>
    <w:rsid w:val="00696CDB"/>
    <w:rsid w:val="00697B4B"/>
    <w:rsid w:val="006A009C"/>
    <w:rsid w:val="006A0544"/>
    <w:rsid w:val="006A0FD9"/>
    <w:rsid w:val="006A113A"/>
    <w:rsid w:val="006A1B9A"/>
    <w:rsid w:val="006A30A1"/>
    <w:rsid w:val="006A35D0"/>
    <w:rsid w:val="006A3753"/>
    <w:rsid w:val="006A3E46"/>
    <w:rsid w:val="006A3F02"/>
    <w:rsid w:val="006A5EE3"/>
    <w:rsid w:val="006A5FD8"/>
    <w:rsid w:val="006A617B"/>
    <w:rsid w:val="006A6DA0"/>
    <w:rsid w:val="006A7406"/>
    <w:rsid w:val="006B04E3"/>
    <w:rsid w:val="006B2152"/>
    <w:rsid w:val="006B2986"/>
    <w:rsid w:val="006B31F6"/>
    <w:rsid w:val="006B32E6"/>
    <w:rsid w:val="006B3A69"/>
    <w:rsid w:val="006B3C99"/>
    <w:rsid w:val="006B4C5D"/>
    <w:rsid w:val="006B67B1"/>
    <w:rsid w:val="006C043F"/>
    <w:rsid w:val="006C0581"/>
    <w:rsid w:val="006C08E5"/>
    <w:rsid w:val="006C1223"/>
    <w:rsid w:val="006C2425"/>
    <w:rsid w:val="006C257D"/>
    <w:rsid w:val="006C25F9"/>
    <w:rsid w:val="006C4783"/>
    <w:rsid w:val="006C5585"/>
    <w:rsid w:val="006C6640"/>
    <w:rsid w:val="006D14C1"/>
    <w:rsid w:val="006D1541"/>
    <w:rsid w:val="006D1910"/>
    <w:rsid w:val="006D1EC5"/>
    <w:rsid w:val="006D2B1E"/>
    <w:rsid w:val="006D6BB7"/>
    <w:rsid w:val="006D6CB5"/>
    <w:rsid w:val="006D7230"/>
    <w:rsid w:val="006D7B65"/>
    <w:rsid w:val="006E1BF8"/>
    <w:rsid w:val="006E1CFF"/>
    <w:rsid w:val="006E2374"/>
    <w:rsid w:val="006E2C32"/>
    <w:rsid w:val="006E400F"/>
    <w:rsid w:val="006E4643"/>
    <w:rsid w:val="006E58CD"/>
    <w:rsid w:val="006E6808"/>
    <w:rsid w:val="006E6B82"/>
    <w:rsid w:val="006E6D21"/>
    <w:rsid w:val="006E75EF"/>
    <w:rsid w:val="006E7AD2"/>
    <w:rsid w:val="006E7E3C"/>
    <w:rsid w:val="006F01C5"/>
    <w:rsid w:val="006F0C84"/>
    <w:rsid w:val="006F1781"/>
    <w:rsid w:val="006F3219"/>
    <w:rsid w:val="006F4ECC"/>
    <w:rsid w:val="006F55BE"/>
    <w:rsid w:val="006F5909"/>
    <w:rsid w:val="006F7404"/>
    <w:rsid w:val="006F7B45"/>
    <w:rsid w:val="00703436"/>
    <w:rsid w:val="00703BEB"/>
    <w:rsid w:val="00703C84"/>
    <w:rsid w:val="00703D88"/>
    <w:rsid w:val="00705234"/>
    <w:rsid w:val="00705854"/>
    <w:rsid w:val="00706ED1"/>
    <w:rsid w:val="00707706"/>
    <w:rsid w:val="007104AD"/>
    <w:rsid w:val="00710843"/>
    <w:rsid w:val="0071094D"/>
    <w:rsid w:val="00710B6A"/>
    <w:rsid w:val="00710EB1"/>
    <w:rsid w:val="007115F3"/>
    <w:rsid w:val="00711A1F"/>
    <w:rsid w:val="00711DF7"/>
    <w:rsid w:val="0071367D"/>
    <w:rsid w:val="00717F28"/>
    <w:rsid w:val="0072040A"/>
    <w:rsid w:val="00720599"/>
    <w:rsid w:val="0072237F"/>
    <w:rsid w:val="00724FFC"/>
    <w:rsid w:val="007272D7"/>
    <w:rsid w:val="00727B14"/>
    <w:rsid w:val="00730077"/>
    <w:rsid w:val="00732658"/>
    <w:rsid w:val="00733C83"/>
    <w:rsid w:val="0073789A"/>
    <w:rsid w:val="00737D16"/>
    <w:rsid w:val="00742015"/>
    <w:rsid w:val="00742A3E"/>
    <w:rsid w:val="0074372C"/>
    <w:rsid w:val="00745782"/>
    <w:rsid w:val="00745C76"/>
    <w:rsid w:val="00746082"/>
    <w:rsid w:val="007464F3"/>
    <w:rsid w:val="0074793C"/>
    <w:rsid w:val="00747F58"/>
    <w:rsid w:val="00750936"/>
    <w:rsid w:val="00751E3B"/>
    <w:rsid w:val="00751E83"/>
    <w:rsid w:val="0075230D"/>
    <w:rsid w:val="00752EC6"/>
    <w:rsid w:val="007557DD"/>
    <w:rsid w:val="00755CD1"/>
    <w:rsid w:val="00756605"/>
    <w:rsid w:val="00757C7A"/>
    <w:rsid w:val="00760D6A"/>
    <w:rsid w:val="00762061"/>
    <w:rsid w:val="00762374"/>
    <w:rsid w:val="00763599"/>
    <w:rsid w:val="00764049"/>
    <w:rsid w:val="00764CD3"/>
    <w:rsid w:val="00764F0D"/>
    <w:rsid w:val="007659EF"/>
    <w:rsid w:val="00765BCA"/>
    <w:rsid w:val="0076692F"/>
    <w:rsid w:val="0076711F"/>
    <w:rsid w:val="00767F81"/>
    <w:rsid w:val="00770205"/>
    <w:rsid w:val="007703C9"/>
    <w:rsid w:val="0077058B"/>
    <w:rsid w:val="00770792"/>
    <w:rsid w:val="00770C7D"/>
    <w:rsid w:val="00770E9A"/>
    <w:rsid w:val="007714BC"/>
    <w:rsid w:val="0077415F"/>
    <w:rsid w:val="00775405"/>
    <w:rsid w:val="00777321"/>
    <w:rsid w:val="00777BC7"/>
    <w:rsid w:val="007802EE"/>
    <w:rsid w:val="00781165"/>
    <w:rsid w:val="007818D9"/>
    <w:rsid w:val="007844C1"/>
    <w:rsid w:val="00784B33"/>
    <w:rsid w:val="00784F91"/>
    <w:rsid w:val="0078503D"/>
    <w:rsid w:val="00785851"/>
    <w:rsid w:val="007900B5"/>
    <w:rsid w:val="0079045E"/>
    <w:rsid w:val="00790F02"/>
    <w:rsid w:val="00791430"/>
    <w:rsid w:val="00791CCC"/>
    <w:rsid w:val="00793714"/>
    <w:rsid w:val="00794D76"/>
    <w:rsid w:val="00795341"/>
    <w:rsid w:val="007961A7"/>
    <w:rsid w:val="00796338"/>
    <w:rsid w:val="00796670"/>
    <w:rsid w:val="00796B3B"/>
    <w:rsid w:val="00796E21"/>
    <w:rsid w:val="00796F19"/>
    <w:rsid w:val="00797DB6"/>
    <w:rsid w:val="00797E67"/>
    <w:rsid w:val="007A0464"/>
    <w:rsid w:val="007A0814"/>
    <w:rsid w:val="007A1370"/>
    <w:rsid w:val="007A1D42"/>
    <w:rsid w:val="007A2560"/>
    <w:rsid w:val="007A2CA2"/>
    <w:rsid w:val="007A30CC"/>
    <w:rsid w:val="007A314B"/>
    <w:rsid w:val="007A3579"/>
    <w:rsid w:val="007A40E6"/>
    <w:rsid w:val="007A4BEF"/>
    <w:rsid w:val="007A63CB"/>
    <w:rsid w:val="007B044F"/>
    <w:rsid w:val="007B1740"/>
    <w:rsid w:val="007B2B8D"/>
    <w:rsid w:val="007B3F81"/>
    <w:rsid w:val="007B41E3"/>
    <w:rsid w:val="007B4797"/>
    <w:rsid w:val="007B4E48"/>
    <w:rsid w:val="007B59BC"/>
    <w:rsid w:val="007B5F43"/>
    <w:rsid w:val="007B6E30"/>
    <w:rsid w:val="007B7C66"/>
    <w:rsid w:val="007B7CE5"/>
    <w:rsid w:val="007C016F"/>
    <w:rsid w:val="007C0C60"/>
    <w:rsid w:val="007C0D8D"/>
    <w:rsid w:val="007C1830"/>
    <w:rsid w:val="007C2722"/>
    <w:rsid w:val="007C277D"/>
    <w:rsid w:val="007C36FD"/>
    <w:rsid w:val="007C5ADF"/>
    <w:rsid w:val="007C6AA3"/>
    <w:rsid w:val="007C7B94"/>
    <w:rsid w:val="007D17D2"/>
    <w:rsid w:val="007D3808"/>
    <w:rsid w:val="007D6880"/>
    <w:rsid w:val="007E115B"/>
    <w:rsid w:val="007E18DB"/>
    <w:rsid w:val="007E288F"/>
    <w:rsid w:val="007E49EE"/>
    <w:rsid w:val="007E5DAD"/>
    <w:rsid w:val="007E6F07"/>
    <w:rsid w:val="007E716B"/>
    <w:rsid w:val="007E7B45"/>
    <w:rsid w:val="007F0802"/>
    <w:rsid w:val="007F1A1B"/>
    <w:rsid w:val="007F234A"/>
    <w:rsid w:val="007F2CC2"/>
    <w:rsid w:val="007F3D3F"/>
    <w:rsid w:val="007F4260"/>
    <w:rsid w:val="007F4491"/>
    <w:rsid w:val="007F4776"/>
    <w:rsid w:val="007F4CCC"/>
    <w:rsid w:val="007F7FCE"/>
    <w:rsid w:val="00800191"/>
    <w:rsid w:val="00800B5D"/>
    <w:rsid w:val="00802DC5"/>
    <w:rsid w:val="00804335"/>
    <w:rsid w:val="008054A8"/>
    <w:rsid w:val="00806C29"/>
    <w:rsid w:val="00806E6B"/>
    <w:rsid w:val="00807073"/>
    <w:rsid w:val="00807832"/>
    <w:rsid w:val="00807F52"/>
    <w:rsid w:val="008113FB"/>
    <w:rsid w:val="008125C0"/>
    <w:rsid w:val="00814249"/>
    <w:rsid w:val="00814E12"/>
    <w:rsid w:val="00814FDC"/>
    <w:rsid w:val="00815FF3"/>
    <w:rsid w:val="008164AD"/>
    <w:rsid w:val="00816BC1"/>
    <w:rsid w:val="00816EF1"/>
    <w:rsid w:val="0082039E"/>
    <w:rsid w:val="0082056E"/>
    <w:rsid w:val="00820F5A"/>
    <w:rsid w:val="00821FB9"/>
    <w:rsid w:val="00822D6F"/>
    <w:rsid w:val="008244C7"/>
    <w:rsid w:val="008245C7"/>
    <w:rsid w:val="00824CAC"/>
    <w:rsid w:val="0082660E"/>
    <w:rsid w:val="00831298"/>
    <w:rsid w:val="008319A5"/>
    <w:rsid w:val="00831A0D"/>
    <w:rsid w:val="00831B90"/>
    <w:rsid w:val="00835368"/>
    <w:rsid w:val="008355B8"/>
    <w:rsid w:val="008359B6"/>
    <w:rsid w:val="00835EB9"/>
    <w:rsid w:val="00836C3B"/>
    <w:rsid w:val="0083777B"/>
    <w:rsid w:val="00837D72"/>
    <w:rsid w:val="00843772"/>
    <w:rsid w:val="00843A15"/>
    <w:rsid w:val="00844140"/>
    <w:rsid w:val="0084489E"/>
    <w:rsid w:val="00845948"/>
    <w:rsid w:val="008475F7"/>
    <w:rsid w:val="008503E1"/>
    <w:rsid w:val="00851F0B"/>
    <w:rsid w:val="0085383A"/>
    <w:rsid w:val="00856C5E"/>
    <w:rsid w:val="00857F8B"/>
    <w:rsid w:val="00860E23"/>
    <w:rsid w:val="00861A16"/>
    <w:rsid w:val="00862034"/>
    <w:rsid w:val="00862A41"/>
    <w:rsid w:val="00862C68"/>
    <w:rsid w:val="00863021"/>
    <w:rsid w:val="00865EED"/>
    <w:rsid w:val="00865FB5"/>
    <w:rsid w:val="0086747F"/>
    <w:rsid w:val="00871379"/>
    <w:rsid w:val="00871523"/>
    <w:rsid w:val="00871ECA"/>
    <w:rsid w:val="008731B7"/>
    <w:rsid w:val="0087403E"/>
    <w:rsid w:val="00874229"/>
    <w:rsid w:val="00874A1D"/>
    <w:rsid w:val="00876F0B"/>
    <w:rsid w:val="00877D44"/>
    <w:rsid w:val="00877EF7"/>
    <w:rsid w:val="00880BB2"/>
    <w:rsid w:val="00881845"/>
    <w:rsid w:val="00883100"/>
    <w:rsid w:val="008841AF"/>
    <w:rsid w:val="00884400"/>
    <w:rsid w:val="00886920"/>
    <w:rsid w:val="0089125B"/>
    <w:rsid w:val="008918BD"/>
    <w:rsid w:val="00891BD3"/>
    <w:rsid w:val="00891ED5"/>
    <w:rsid w:val="00892782"/>
    <w:rsid w:val="00893D8C"/>
    <w:rsid w:val="00894851"/>
    <w:rsid w:val="00895F3C"/>
    <w:rsid w:val="00895F55"/>
    <w:rsid w:val="008977A1"/>
    <w:rsid w:val="008A1F6F"/>
    <w:rsid w:val="008A224A"/>
    <w:rsid w:val="008A22F8"/>
    <w:rsid w:val="008A2765"/>
    <w:rsid w:val="008A28FE"/>
    <w:rsid w:val="008A2B26"/>
    <w:rsid w:val="008A4E30"/>
    <w:rsid w:val="008A4E94"/>
    <w:rsid w:val="008A4F91"/>
    <w:rsid w:val="008A5E6E"/>
    <w:rsid w:val="008A6690"/>
    <w:rsid w:val="008A6ED2"/>
    <w:rsid w:val="008A7F2E"/>
    <w:rsid w:val="008B11F4"/>
    <w:rsid w:val="008B1AA8"/>
    <w:rsid w:val="008B1E5A"/>
    <w:rsid w:val="008B2904"/>
    <w:rsid w:val="008B3087"/>
    <w:rsid w:val="008B3296"/>
    <w:rsid w:val="008B365E"/>
    <w:rsid w:val="008B5A80"/>
    <w:rsid w:val="008B7726"/>
    <w:rsid w:val="008B78CB"/>
    <w:rsid w:val="008C0B68"/>
    <w:rsid w:val="008C0BFF"/>
    <w:rsid w:val="008C0ED6"/>
    <w:rsid w:val="008C45E7"/>
    <w:rsid w:val="008C4BFB"/>
    <w:rsid w:val="008C78D5"/>
    <w:rsid w:val="008D0E0E"/>
    <w:rsid w:val="008D1508"/>
    <w:rsid w:val="008D382A"/>
    <w:rsid w:val="008D4513"/>
    <w:rsid w:val="008D463C"/>
    <w:rsid w:val="008D4DCE"/>
    <w:rsid w:val="008D4DD7"/>
    <w:rsid w:val="008D6039"/>
    <w:rsid w:val="008D6C12"/>
    <w:rsid w:val="008D7197"/>
    <w:rsid w:val="008D7AB9"/>
    <w:rsid w:val="008E0ED2"/>
    <w:rsid w:val="008E1926"/>
    <w:rsid w:val="008E2591"/>
    <w:rsid w:val="008E2A68"/>
    <w:rsid w:val="008E38A1"/>
    <w:rsid w:val="008E4077"/>
    <w:rsid w:val="008E416A"/>
    <w:rsid w:val="008E5DD6"/>
    <w:rsid w:val="008E6531"/>
    <w:rsid w:val="008E6C4C"/>
    <w:rsid w:val="008E74A0"/>
    <w:rsid w:val="008F332A"/>
    <w:rsid w:val="008F4BB6"/>
    <w:rsid w:val="008F5D36"/>
    <w:rsid w:val="008F741B"/>
    <w:rsid w:val="008F7690"/>
    <w:rsid w:val="00900643"/>
    <w:rsid w:val="00900A62"/>
    <w:rsid w:val="00903305"/>
    <w:rsid w:val="0090421A"/>
    <w:rsid w:val="00904A1D"/>
    <w:rsid w:val="00905121"/>
    <w:rsid w:val="00905186"/>
    <w:rsid w:val="00906D59"/>
    <w:rsid w:val="00906E00"/>
    <w:rsid w:val="00910DAE"/>
    <w:rsid w:val="0091186A"/>
    <w:rsid w:val="00911C5A"/>
    <w:rsid w:val="00911D94"/>
    <w:rsid w:val="0091205A"/>
    <w:rsid w:val="00912FA0"/>
    <w:rsid w:val="00914F22"/>
    <w:rsid w:val="009150E9"/>
    <w:rsid w:val="00915111"/>
    <w:rsid w:val="00916AF8"/>
    <w:rsid w:val="00920E38"/>
    <w:rsid w:val="00922D04"/>
    <w:rsid w:val="00922FA9"/>
    <w:rsid w:val="00925041"/>
    <w:rsid w:val="00926543"/>
    <w:rsid w:val="009266F1"/>
    <w:rsid w:val="009274EF"/>
    <w:rsid w:val="00927E39"/>
    <w:rsid w:val="00933181"/>
    <w:rsid w:val="009349E7"/>
    <w:rsid w:val="00935A8A"/>
    <w:rsid w:val="00937545"/>
    <w:rsid w:val="00937CB5"/>
    <w:rsid w:val="00940EFB"/>
    <w:rsid w:val="0094333E"/>
    <w:rsid w:val="009433EE"/>
    <w:rsid w:val="00943F18"/>
    <w:rsid w:val="00944341"/>
    <w:rsid w:val="00944381"/>
    <w:rsid w:val="00946961"/>
    <w:rsid w:val="00946CBB"/>
    <w:rsid w:val="009473C5"/>
    <w:rsid w:val="009514D2"/>
    <w:rsid w:val="009518DB"/>
    <w:rsid w:val="00951F80"/>
    <w:rsid w:val="0095242A"/>
    <w:rsid w:val="00952807"/>
    <w:rsid w:val="00952DD3"/>
    <w:rsid w:val="00954940"/>
    <w:rsid w:val="00954DB2"/>
    <w:rsid w:val="009556F5"/>
    <w:rsid w:val="00955D2C"/>
    <w:rsid w:val="00957AAE"/>
    <w:rsid w:val="00957C6A"/>
    <w:rsid w:val="009600AC"/>
    <w:rsid w:val="00961913"/>
    <w:rsid w:val="00961D7F"/>
    <w:rsid w:val="00963945"/>
    <w:rsid w:val="0096472C"/>
    <w:rsid w:val="009647DD"/>
    <w:rsid w:val="00964E65"/>
    <w:rsid w:val="00965C2B"/>
    <w:rsid w:val="009672C6"/>
    <w:rsid w:val="0096792F"/>
    <w:rsid w:val="00967B0E"/>
    <w:rsid w:val="00970937"/>
    <w:rsid w:val="009712C1"/>
    <w:rsid w:val="00972BE9"/>
    <w:rsid w:val="00972F29"/>
    <w:rsid w:val="00973044"/>
    <w:rsid w:val="00976074"/>
    <w:rsid w:val="00976201"/>
    <w:rsid w:val="00976464"/>
    <w:rsid w:val="009765BE"/>
    <w:rsid w:val="0097677B"/>
    <w:rsid w:val="009767FD"/>
    <w:rsid w:val="00980914"/>
    <w:rsid w:val="009826AB"/>
    <w:rsid w:val="00982C6E"/>
    <w:rsid w:val="00983C73"/>
    <w:rsid w:val="00984954"/>
    <w:rsid w:val="0098668F"/>
    <w:rsid w:val="00986CC2"/>
    <w:rsid w:val="00991B22"/>
    <w:rsid w:val="009929BE"/>
    <w:rsid w:val="00994EFF"/>
    <w:rsid w:val="00994F1D"/>
    <w:rsid w:val="009955B8"/>
    <w:rsid w:val="0099608A"/>
    <w:rsid w:val="00996302"/>
    <w:rsid w:val="009967C8"/>
    <w:rsid w:val="009974EE"/>
    <w:rsid w:val="009975D6"/>
    <w:rsid w:val="00997A1E"/>
    <w:rsid w:val="009A0277"/>
    <w:rsid w:val="009A1972"/>
    <w:rsid w:val="009A1CDB"/>
    <w:rsid w:val="009A27F2"/>
    <w:rsid w:val="009A3177"/>
    <w:rsid w:val="009A4338"/>
    <w:rsid w:val="009A443C"/>
    <w:rsid w:val="009A6957"/>
    <w:rsid w:val="009B03F2"/>
    <w:rsid w:val="009B0C36"/>
    <w:rsid w:val="009B1A2C"/>
    <w:rsid w:val="009B1CF4"/>
    <w:rsid w:val="009B32FB"/>
    <w:rsid w:val="009B5BA3"/>
    <w:rsid w:val="009B5D64"/>
    <w:rsid w:val="009B602B"/>
    <w:rsid w:val="009B6581"/>
    <w:rsid w:val="009B7AA0"/>
    <w:rsid w:val="009C0260"/>
    <w:rsid w:val="009C4BBA"/>
    <w:rsid w:val="009C53A2"/>
    <w:rsid w:val="009C5A34"/>
    <w:rsid w:val="009C61CB"/>
    <w:rsid w:val="009C6BD0"/>
    <w:rsid w:val="009D03E6"/>
    <w:rsid w:val="009D06F6"/>
    <w:rsid w:val="009D0F2A"/>
    <w:rsid w:val="009D13A3"/>
    <w:rsid w:val="009D299D"/>
    <w:rsid w:val="009D2A18"/>
    <w:rsid w:val="009D2FDD"/>
    <w:rsid w:val="009D36CC"/>
    <w:rsid w:val="009D53B7"/>
    <w:rsid w:val="009D56BB"/>
    <w:rsid w:val="009D72F1"/>
    <w:rsid w:val="009E0B9F"/>
    <w:rsid w:val="009E118D"/>
    <w:rsid w:val="009E14D0"/>
    <w:rsid w:val="009E1860"/>
    <w:rsid w:val="009E250D"/>
    <w:rsid w:val="009E486E"/>
    <w:rsid w:val="009E7D8E"/>
    <w:rsid w:val="009F00C8"/>
    <w:rsid w:val="009F029E"/>
    <w:rsid w:val="009F03E2"/>
    <w:rsid w:val="009F0D4B"/>
    <w:rsid w:val="009F2349"/>
    <w:rsid w:val="009F2CE0"/>
    <w:rsid w:val="009F4B1D"/>
    <w:rsid w:val="009F5123"/>
    <w:rsid w:val="009F703E"/>
    <w:rsid w:val="009F7779"/>
    <w:rsid w:val="00A00A23"/>
    <w:rsid w:val="00A00F4C"/>
    <w:rsid w:val="00A01748"/>
    <w:rsid w:val="00A01C7F"/>
    <w:rsid w:val="00A03385"/>
    <w:rsid w:val="00A0360D"/>
    <w:rsid w:val="00A03DB9"/>
    <w:rsid w:val="00A04F50"/>
    <w:rsid w:val="00A06640"/>
    <w:rsid w:val="00A07631"/>
    <w:rsid w:val="00A07824"/>
    <w:rsid w:val="00A10F2E"/>
    <w:rsid w:val="00A11D5B"/>
    <w:rsid w:val="00A120DE"/>
    <w:rsid w:val="00A13038"/>
    <w:rsid w:val="00A13FFE"/>
    <w:rsid w:val="00A144B2"/>
    <w:rsid w:val="00A161DC"/>
    <w:rsid w:val="00A16F3D"/>
    <w:rsid w:val="00A170DA"/>
    <w:rsid w:val="00A17112"/>
    <w:rsid w:val="00A20477"/>
    <w:rsid w:val="00A21647"/>
    <w:rsid w:val="00A24AE1"/>
    <w:rsid w:val="00A24BEE"/>
    <w:rsid w:val="00A25838"/>
    <w:rsid w:val="00A25E61"/>
    <w:rsid w:val="00A26233"/>
    <w:rsid w:val="00A27536"/>
    <w:rsid w:val="00A31A0D"/>
    <w:rsid w:val="00A32D90"/>
    <w:rsid w:val="00A3519E"/>
    <w:rsid w:val="00A35376"/>
    <w:rsid w:val="00A37E8A"/>
    <w:rsid w:val="00A41316"/>
    <w:rsid w:val="00A42966"/>
    <w:rsid w:val="00A47014"/>
    <w:rsid w:val="00A473B5"/>
    <w:rsid w:val="00A50E99"/>
    <w:rsid w:val="00A538A5"/>
    <w:rsid w:val="00A539B9"/>
    <w:rsid w:val="00A53BEB"/>
    <w:rsid w:val="00A540E1"/>
    <w:rsid w:val="00A54626"/>
    <w:rsid w:val="00A55AF5"/>
    <w:rsid w:val="00A55FAC"/>
    <w:rsid w:val="00A60522"/>
    <w:rsid w:val="00A61E4D"/>
    <w:rsid w:val="00A62C5D"/>
    <w:rsid w:val="00A63270"/>
    <w:rsid w:val="00A63AE6"/>
    <w:rsid w:val="00A64DD0"/>
    <w:rsid w:val="00A67061"/>
    <w:rsid w:val="00A6715C"/>
    <w:rsid w:val="00A67FB7"/>
    <w:rsid w:val="00A70515"/>
    <w:rsid w:val="00A709FA"/>
    <w:rsid w:val="00A70C00"/>
    <w:rsid w:val="00A71301"/>
    <w:rsid w:val="00A7168F"/>
    <w:rsid w:val="00A71EDA"/>
    <w:rsid w:val="00A73FB3"/>
    <w:rsid w:val="00A7573C"/>
    <w:rsid w:val="00A757A8"/>
    <w:rsid w:val="00A75E47"/>
    <w:rsid w:val="00A7627B"/>
    <w:rsid w:val="00A80231"/>
    <w:rsid w:val="00A811F4"/>
    <w:rsid w:val="00A82723"/>
    <w:rsid w:val="00A83AD0"/>
    <w:rsid w:val="00A85C74"/>
    <w:rsid w:val="00A8690A"/>
    <w:rsid w:val="00A86D2B"/>
    <w:rsid w:val="00A873D0"/>
    <w:rsid w:val="00A874BC"/>
    <w:rsid w:val="00A91004"/>
    <w:rsid w:val="00A92860"/>
    <w:rsid w:val="00A938B7"/>
    <w:rsid w:val="00A938C2"/>
    <w:rsid w:val="00A942D2"/>
    <w:rsid w:val="00A945BA"/>
    <w:rsid w:val="00AA0758"/>
    <w:rsid w:val="00AA1758"/>
    <w:rsid w:val="00AA1CAE"/>
    <w:rsid w:val="00AA2AF9"/>
    <w:rsid w:val="00AA2DBF"/>
    <w:rsid w:val="00AA4597"/>
    <w:rsid w:val="00AA4E6B"/>
    <w:rsid w:val="00AB0880"/>
    <w:rsid w:val="00AB13BB"/>
    <w:rsid w:val="00AB2297"/>
    <w:rsid w:val="00AB2CE6"/>
    <w:rsid w:val="00AB73C5"/>
    <w:rsid w:val="00AB7A79"/>
    <w:rsid w:val="00AC0E94"/>
    <w:rsid w:val="00AC1A5F"/>
    <w:rsid w:val="00AC4336"/>
    <w:rsid w:val="00AC47D3"/>
    <w:rsid w:val="00AC4F8D"/>
    <w:rsid w:val="00AC53CB"/>
    <w:rsid w:val="00AC653B"/>
    <w:rsid w:val="00AC6C4A"/>
    <w:rsid w:val="00AC7446"/>
    <w:rsid w:val="00AD127F"/>
    <w:rsid w:val="00AD1DDD"/>
    <w:rsid w:val="00AD1FEA"/>
    <w:rsid w:val="00AD262B"/>
    <w:rsid w:val="00AD3121"/>
    <w:rsid w:val="00AD462D"/>
    <w:rsid w:val="00AD4AF6"/>
    <w:rsid w:val="00AD67E9"/>
    <w:rsid w:val="00AD7D15"/>
    <w:rsid w:val="00AE058D"/>
    <w:rsid w:val="00AE0A80"/>
    <w:rsid w:val="00AE0B0C"/>
    <w:rsid w:val="00AE1430"/>
    <w:rsid w:val="00AE30ED"/>
    <w:rsid w:val="00AE4F32"/>
    <w:rsid w:val="00AE4F6A"/>
    <w:rsid w:val="00AE5281"/>
    <w:rsid w:val="00AE5A49"/>
    <w:rsid w:val="00AE62B9"/>
    <w:rsid w:val="00AE6B4C"/>
    <w:rsid w:val="00AE7675"/>
    <w:rsid w:val="00AF2491"/>
    <w:rsid w:val="00AF2F1F"/>
    <w:rsid w:val="00AF507E"/>
    <w:rsid w:val="00AF538F"/>
    <w:rsid w:val="00AF5F1A"/>
    <w:rsid w:val="00AF64DA"/>
    <w:rsid w:val="00AF67E5"/>
    <w:rsid w:val="00B021BF"/>
    <w:rsid w:val="00B02A3E"/>
    <w:rsid w:val="00B02A6B"/>
    <w:rsid w:val="00B03FA2"/>
    <w:rsid w:val="00B04125"/>
    <w:rsid w:val="00B0549A"/>
    <w:rsid w:val="00B05C51"/>
    <w:rsid w:val="00B06BB6"/>
    <w:rsid w:val="00B07A3A"/>
    <w:rsid w:val="00B10BA4"/>
    <w:rsid w:val="00B11522"/>
    <w:rsid w:val="00B13521"/>
    <w:rsid w:val="00B146B9"/>
    <w:rsid w:val="00B15028"/>
    <w:rsid w:val="00B15719"/>
    <w:rsid w:val="00B15D59"/>
    <w:rsid w:val="00B21094"/>
    <w:rsid w:val="00B2229B"/>
    <w:rsid w:val="00B23596"/>
    <w:rsid w:val="00B237C8"/>
    <w:rsid w:val="00B24680"/>
    <w:rsid w:val="00B24A63"/>
    <w:rsid w:val="00B24AE4"/>
    <w:rsid w:val="00B262C1"/>
    <w:rsid w:val="00B27FD5"/>
    <w:rsid w:val="00B30A53"/>
    <w:rsid w:val="00B317C5"/>
    <w:rsid w:val="00B32646"/>
    <w:rsid w:val="00B32D89"/>
    <w:rsid w:val="00B33AB1"/>
    <w:rsid w:val="00B341A3"/>
    <w:rsid w:val="00B34E88"/>
    <w:rsid w:val="00B3518F"/>
    <w:rsid w:val="00B362EF"/>
    <w:rsid w:val="00B36F1E"/>
    <w:rsid w:val="00B37F8C"/>
    <w:rsid w:val="00B429B6"/>
    <w:rsid w:val="00B42E87"/>
    <w:rsid w:val="00B4431E"/>
    <w:rsid w:val="00B44ACB"/>
    <w:rsid w:val="00B44D5E"/>
    <w:rsid w:val="00B45364"/>
    <w:rsid w:val="00B454B7"/>
    <w:rsid w:val="00B45EBD"/>
    <w:rsid w:val="00B46168"/>
    <w:rsid w:val="00B46D75"/>
    <w:rsid w:val="00B47144"/>
    <w:rsid w:val="00B507DD"/>
    <w:rsid w:val="00B508A3"/>
    <w:rsid w:val="00B5151C"/>
    <w:rsid w:val="00B51764"/>
    <w:rsid w:val="00B51F84"/>
    <w:rsid w:val="00B52F0E"/>
    <w:rsid w:val="00B533D6"/>
    <w:rsid w:val="00B5491F"/>
    <w:rsid w:val="00B54BBB"/>
    <w:rsid w:val="00B5595A"/>
    <w:rsid w:val="00B561FE"/>
    <w:rsid w:val="00B5679C"/>
    <w:rsid w:val="00B56995"/>
    <w:rsid w:val="00B63A30"/>
    <w:rsid w:val="00B6554B"/>
    <w:rsid w:val="00B661CC"/>
    <w:rsid w:val="00B66D34"/>
    <w:rsid w:val="00B67E86"/>
    <w:rsid w:val="00B705A5"/>
    <w:rsid w:val="00B72044"/>
    <w:rsid w:val="00B726D4"/>
    <w:rsid w:val="00B72A49"/>
    <w:rsid w:val="00B72AAA"/>
    <w:rsid w:val="00B73055"/>
    <w:rsid w:val="00B74924"/>
    <w:rsid w:val="00B74D90"/>
    <w:rsid w:val="00B751E8"/>
    <w:rsid w:val="00B757FE"/>
    <w:rsid w:val="00B7744F"/>
    <w:rsid w:val="00B80090"/>
    <w:rsid w:val="00B8135A"/>
    <w:rsid w:val="00B843E3"/>
    <w:rsid w:val="00B84891"/>
    <w:rsid w:val="00B8786F"/>
    <w:rsid w:val="00B8796E"/>
    <w:rsid w:val="00B90063"/>
    <w:rsid w:val="00B929E4"/>
    <w:rsid w:val="00B93274"/>
    <w:rsid w:val="00B940FB"/>
    <w:rsid w:val="00B95983"/>
    <w:rsid w:val="00B95BF8"/>
    <w:rsid w:val="00B965C4"/>
    <w:rsid w:val="00B96B7C"/>
    <w:rsid w:val="00B97444"/>
    <w:rsid w:val="00B97B99"/>
    <w:rsid w:val="00BA0C3A"/>
    <w:rsid w:val="00BA1620"/>
    <w:rsid w:val="00BA26DB"/>
    <w:rsid w:val="00BA4047"/>
    <w:rsid w:val="00BA428D"/>
    <w:rsid w:val="00BA4555"/>
    <w:rsid w:val="00BA5620"/>
    <w:rsid w:val="00BA618B"/>
    <w:rsid w:val="00BA6402"/>
    <w:rsid w:val="00BA69F7"/>
    <w:rsid w:val="00BA6A79"/>
    <w:rsid w:val="00BA6C5A"/>
    <w:rsid w:val="00BA7D3E"/>
    <w:rsid w:val="00BB1169"/>
    <w:rsid w:val="00BB3AD4"/>
    <w:rsid w:val="00BB48F6"/>
    <w:rsid w:val="00BB6211"/>
    <w:rsid w:val="00BC0370"/>
    <w:rsid w:val="00BC2523"/>
    <w:rsid w:val="00BC28C6"/>
    <w:rsid w:val="00BC460D"/>
    <w:rsid w:val="00BC4EAF"/>
    <w:rsid w:val="00BC4FFE"/>
    <w:rsid w:val="00BC53DF"/>
    <w:rsid w:val="00BC69C9"/>
    <w:rsid w:val="00BC7C6F"/>
    <w:rsid w:val="00BD1B7B"/>
    <w:rsid w:val="00BD23C3"/>
    <w:rsid w:val="00BD3088"/>
    <w:rsid w:val="00BD3303"/>
    <w:rsid w:val="00BD363D"/>
    <w:rsid w:val="00BD47BA"/>
    <w:rsid w:val="00BD78AF"/>
    <w:rsid w:val="00BE0CFB"/>
    <w:rsid w:val="00BE43C6"/>
    <w:rsid w:val="00BE4EEE"/>
    <w:rsid w:val="00BE5937"/>
    <w:rsid w:val="00BE6F3D"/>
    <w:rsid w:val="00BF0240"/>
    <w:rsid w:val="00BF0352"/>
    <w:rsid w:val="00BF174F"/>
    <w:rsid w:val="00BF498D"/>
    <w:rsid w:val="00BF6753"/>
    <w:rsid w:val="00BF73C2"/>
    <w:rsid w:val="00BF7837"/>
    <w:rsid w:val="00BF78AA"/>
    <w:rsid w:val="00C00934"/>
    <w:rsid w:val="00C03772"/>
    <w:rsid w:val="00C03D2E"/>
    <w:rsid w:val="00C04781"/>
    <w:rsid w:val="00C060C3"/>
    <w:rsid w:val="00C06726"/>
    <w:rsid w:val="00C104F6"/>
    <w:rsid w:val="00C1054C"/>
    <w:rsid w:val="00C12463"/>
    <w:rsid w:val="00C133F6"/>
    <w:rsid w:val="00C134BC"/>
    <w:rsid w:val="00C135A0"/>
    <w:rsid w:val="00C13DA5"/>
    <w:rsid w:val="00C162D0"/>
    <w:rsid w:val="00C169E2"/>
    <w:rsid w:val="00C2082D"/>
    <w:rsid w:val="00C209A5"/>
    <w:rsid w:val="00C20A3C"/>
    <w:rsid w:val="00C20DD5"/>
    <w:rsid w:val="00C22516"/>
    <w:rsid w:val="00C2260E"/>
    <w:rsid w:val="00C23478"/>
    <w:rsid w:val="00C26279"/>
    <w:rsid w:val="00C265AE"/>
    <w:rsid w:val="00C26A8E"/>
    <w:rsid w:val="00C26CE4"/>
    <w:rsid w:val="00C26DE2"/>
    <w:rsid w:val="00C278FA"/>
    <w:rsid w:val="00C30F48"/>
    <w:rsid w:val="00C3220C"/>
    <w:rsid w:val="00C34C49"/>
    <w:rsid w:val="00C35806"/>
    <w:rsid w:val="00C37164"/>
    <w:rsid w:val="00C374C3"/>
    <w:rsid w:val="00C4154F"/>
    <w:rsid w:val="00C41740"/>
    <w:rsid w:val="00C424AD"/>
    <w:rsid w:val="00C42E59"/>
    <w:rsid w:val="00C432F2"/>
    <w:rsid w:val="00C43375"/>
    <w:rsid w:val="00C43A7A"/>
    <w:rsid w:val="00C45917"/>
    <w:rsid w:val="00C478FE"/>
    <w:rsid w:val="00C47A6C"/>
    <w:rsid w:val="00C47B41"/>
    <w:rsid w:val="00C5023A"/>
    <w:rsid w:val="00C5336B"/>
    <w:rsid w:val="00C60570"/>
    <w:rsid w:val="00C610E6"/>
    <w:rsid w:val="00C62319"/>
    <w:rsid w:val="00C63836"/>
    <w:rsid w:val="00C642AD"/>
    <w:rsid w:val="00C64822"/>
    <w:rsid w:val="00C66DBF"/>
    <w:rsid w:val="00C67372"/>
    <w:rsid w:val="00C67532"/>
    <w:rsid w:val="00C7064E"/>
    <w:rsid w:val="00C71D1F"/>
    <w:rsid w:val="00C72460"/>
    <w:rsid w:val="00C74F0C"/>
    <w:rsid w:val="00C75D65"/>
    <w:rsid w:val="00C80373"/>
    <w:rsid w:val="00C80746"/>
    <w:rsid w:val="00C82657"/>
    <w:rsid w:val="00C831BB"/>
    <w:rsid w:val="00C84181"/>
    <w:rsid w:val="00C842DA"/>
    <w:rsid w:val="00C844CF"/>
    <w:rsid w:val="00C84944"/>
    <w:rsid w:val="00C84F0B"/>
    <w:rsid w:val="00C86CAB"/>
    <w:rsid w:val="00C86F54"/>
    <w:rsid w:val="00C86FFB"/>
    <w:rsid w:val="00C8700F"/>
    <w:rsid w:val="00C87921"/>
    <w:rsid w:val="00C87D8B"/>
    <w:rsid w:val="00C90D0E"/>
    <w:rsid w:val="00C91E0A"/>
    <w:rsid w:val="00C92E1B"/>
    <w:rsid w:val="00C93487"/>
    <w:rsid w:val="00C93B6E"/>
    <w:rsid w:val="00C94013"/>
    <w:rsid w:val="00C96073"/>
    <w:rsid w:val="00C9676B"/>
    <w:rsid w:val="00C97ACC"/>
    <w:rsid w:val="00C97CA4"/>
    <w:rsid w:val="00C97DC2"/>
    <w:rsid w:val="00CA1205"/>
    <w:rsid w:val="00CA3177"/>
    <w:rsid w:val="00CA3BD2"/>
    <w:rsid w:val="00CA44F8"/>
    <w:rsid w:val="00CA5DC9"/>
    <w:rsid w:val="00CA7BA9"/>
    <w:rsid w:val="00CB0DF9"/>
    <w:rsid w:val="00CB1FDA"/>
    <w:rsid w:val="00CB20AD"/>
    <w:rsid w:val="00CB4920"/>
    <w:rsid w:val="00CB5EB1"/>
    <w:rsid w:val="00CB76B4"/>
    <w:rsid w:val="00CC2BD5"/>
    <w:rsid w:val="00CC32B6"/>
    <w:rsid w:val="00CC3CA4"/>
    <w:rsid w:val="00CC4FD8"/>
    <w:rsid w:val="00CC5833"/>
    <w:rsid w:val="00CC5DF2"/>
    <w:rsid w:val="00CC64CD"/>
    <w:rsid w:val="00CC7724"/>
    <w:rsid w:val="00CD051B"/>
    <w:rsid w:val="00CD0F91"/>
    <w:rsid w:val="00CD1481"/>
    <w:rsid w:val="00CD2F51"/>
    <w:rsid w:val="00CD3983"/>
    <w:rsid w:val="00CD4D64"/>
    <w:rsid w:val="00CD54A8"/>
    <w:rsid w:val="00CD569A"/>
    <w:rsid w:val="00CD71B0"/>
    <w:rsid w:val="00CE040B"/>
    <w:rsid w:val="00CE1C39"/>
    <w:rsid w:val="00CE1F89"/>
    <w:rsid w:val="00CE3029"/>
    <w:rsid w:val="00CE35FB"/>
    <w:rsid w:val="00CE3F84"/>
    <w:rsid w:val="00CE4DC9"/>
    <w:rsid w:val="00CE5B1B"/>
    <w:rsid w:val="00CE7118"/>
    <w:rsid w:val="00CE72AE"/>
    <w:rsid w:val="00CE79F2"/>
    <w:rsid w:val="00CF0E1B"/>
    <w:rsid w:val="00CF0F18"/>
    <w:rsid w:val="00CF17C8"/>
    <w:rsid w:val="00CF2DE8"/>
    <w:rsid w:val="00CF3778"/>
    <w:rsid w:val="00CF4C05"/>
    <w:rsid w:val="00CF504E"/>
    <w:rsid w:val="00CF6BA3"/>
    <w:rsid w:val="00D00F96"/>
    <w:rsid w:val="00D0197B"/>
    <w:rsid w:val="00D01994"/>
    <w:rsid w:val="00D0236F"/>
    <w:rsid w:val="00D02C23"/>
    <w:rsid w:val="00D03B21"/>
    <w:rsid w:val="00D0467D"/>
    <w:rsid w:val="00D0639D"/>
    <w:rsid w:val="00D074CC"/>
    <w:rsid w:val="00D07544"/>
    <w:rsid w:val="00D07CD7"/>
    <w:rsid w:val="00D11C8E"/>
    <w:rsid w:val="00D14B79"/>
    <w:rsid w:val="00D164DE"/>
    <w:rsid w:val="00D166C2"/>
    <w:rsid w:val="00D174AE"/>
    <w:rsid w:val="00D175B7"/>
    <w:rsid w:val="00D20A78"/>
    <w:rsid w:val="00D212BF"/>
    <w:rsid w:val="00D22952"/>
    <w:rsid w:val="00D23204"/>
    <w:rsid w:val="00D238EF"/>
    <w:rsid w:val="00D24AE8"/>
    <w:rsid w:val="00D256E2"/>
    <w:rsid w:val="00D25C16"/>
    <w:rsid w:val="00D264EE"/>
    <w:rsid w:val="00D26741"/>
    <w:rsid w:val="00D26A58"/>
    <w:rsid w:val="00D27E19"/>
    <w:rsid w:val="00D30AE9"/>
    <w:rsid w:val="00D31D50"/>
    <w:rsid w:val="00D32561"/>
    <w:rsid w:val="00D33AA4"/>
    <w:rsid w:val="00D33E78"/>
    <w:rsid w:val="00D361E7"/>
    <w:rsid w:val="00D419D4"/>
    <w:rsid w:val="00D41FEA"/>
    <w:rsid w:val="00D42083"/>
    <w:rsid w:val="00D424EE"/>
    <w:rsid w:val="00D43127"/>
    <w:rsid w:val="00D43DD9"/>
    <w:rsid w:val="00D47084"/>
    <w:rsid w:val="00D47BE5"/>
    <w:rsid w:val="00D533B3"/>
    <w:rsid w:val="00D546BB"/>
    <w:rsid w:val="00D54ECE"/>
    <w:rsid w:val="00D54FC3"/>
    <w:rsid w:val="00D56142"/>
    <w:rsid w:val="00D56842"/>
    <w:rsid w:val="00D5718A"/>
    <w:rsid w:val="00D57EF0"/>
    <w:rsid w:val="00D57EF2"/>
    <w:rsid w:val="00D6153E"/>
    <w:rsid w:val="00D61A18"/>
    <w:rsid w:val="00D63881"/>
    <w:rsid w:val="00D669C7"/>
    <w:rsid w:val="00D67547"/>
    <w:rsid w:val="00D67CD3"/>
    <w:rsid w:val="00D70A6A"/>
    <w:rsid w:val="00D70BD5"/>
    <w:rsid w:val="00D7323C"/>
    <w:rsid w:val="00D74762"/>
    <w:rsid w:val="00D74965"/>
    <w:rsid w:val="00D7536E"/>
    <w:rsid w:val="00D7644B"/>
    <w:rsid w:val="00D77079"/>
    <w:rsid w:val="00D81C96"/>
    <w:rsid w:val="00D82B5C"/>
    <w:rsid w:val="00D8638A"/>
    <w:rsid w:val="00D864BC"/>
    <w:rsid w:val="00D871E8"/>
    <w:rsid w:val="00D87EC7"/>
    <w:rsid w:val="00D91426"/>
    <w:rsid w:val="00D94501"/>
    <w:rsid w:val="00D94A36"/>
    <w:rsid w:val="00D979BB"/>
    <w:rsid w:val="00D97FF3"/>
    <w:rsid w:val="00DA0ED0"/>
    <w:rsid w:val="00DA1658"/>
    <w:rsid w:val="00DA2367"/>
    <w:rsid w:val="00DA4407"/>
    <w:rsid w:val="00DA57B7"/>
    <w:rsid w:val="00DA6B75"/>
    <w:rsid w:val="00DA6BB6"/>
    <w:rsid w:val="00DA7D0E"/>
    <w:rsid w:val="00DB2668"/>
    <w:rsid w:val="00DB3986"/>
    <w:rsid w:val="00DB4567"/>
    <w:rsid w:val="00DB6DAE"/>
    <w:rsid w:val="00DB75F6"/>
    <w:rsid w:val="00DC084D"/>
    <w:rsid w:val="00DC105E"/>
    <w:rsid w:val="00DC508B"/>
    <w:rsid w:val="00DC5266"/>
    <w:rsid w:val="00DC6961"/>
    <w:rsid w:val="00DC718C"/>
    <w:rsid w:val="00DC745A"/>
    <w:rsid w:val="00DD05CF"/>
    <w:rsid w:val="00DD1F39"/>
    <w:rsid w:val="00DD39C0"/>
    <w:rsid w:val="00DD4B7F"/>
    <w:rsid w:val="00DD77B1"/>
    <w:rsid w:val="00DE0F74"/>
    <w:rsid w:val="00DE19E7"/>
    <w:rsid w:val="00DE2F57"/>
    <w:rsid w:val="00DE3C3D"/>
    <w:rsid w:val="00DE4C8C"/>
    <w:rsid w:val="00DE53FA"/>
    <w:rsid w:val="00DE5664"/>
    <w:rsid w:val="00DE5C9B"/>
    <w:rsid w:val="00DE5DDC"/>
    <w:rsid w:val="00DE6331"/>
    <w:rsid w:val="00DE7346"/>
    <w:rsid w:val="00DE7CD5"/>
    <w:rsid w:val="00DF132B"/>
    <w:rsid w:val="00DF1E42"/>
    <w:rsid w:val="00DF3311"/>
    <w:rsid w:val="00DF3C9C"/>
    <w:rsid w:val="00DF3F2E"/>
    <w:rsid w:val="00DF4AE9"/>
    <w:rsid w:val="00DF4F16"/>
    <w:rsid w:val="00DF5B31"/>
    <w:rsid w:val="00DF6E07"/>
    <w:rsid w:val="00DF73F4"/>
    <w:rsid w:val="00E006D2"/>
    <w:rsid w:val="00E03511"/>
    <w:rsid w:val="00E03D11"/>
    <w:rsid w:val="00E04721"/>
    <w:rsid w:val="00E04992"/>
    <w:rsid w:val="00E04D06"/>
    <w:rsid w:val="00E07952"/>
    <w:rsid w:val="00E12F94"/>
    <w:rsid w:val="00E13A26"/>
    <w:rsid w:val="00E13B60"/>
    <w:rsid w:val="00E15E91"/>
    <w:rsid w:val="00E1615E"/>
    <w:rsid w:val="00E16665"/>
    <w:rsid w:val="00E16BEC"/>
    <w:rsid w:val="00E16CCE"/>
    <w:rsid w:val="00E20DF1"/>
    <w:rsid w:val="00E211E5"/>
    <w:rsid w:val="00E228E9"/>
    <w:rsid w:val="00E25FE2"/>
    <w:rsid w:val="00E26BD0"/>
    <w:rsid w:val="00E31AF7"/>
    <w:rsid w:val="00E31B6D"/>
    <w:rsid w:val="00E35A17"/>
    <w:rsid w:val="00E379C2"/>
    <w:rsid w:val="00E400DB"/>
    <w:rsid w:val="00E4083D"/>
    <w:rsid w:val="00E40FC6"/>
    <w:rsid w:val="00E41370"/>
    <w:rsid w:val="00E41801"/>
    <w:rsid w:val="00E4195E"/>
    <w:rsid w:val="00E42280"/>
    <w:rsid w:val="00E42BB5"/>
    <w:rsid w:val="00E42EE2"/>
    <w:rsid w:val="00E43C3B"/>
    <w:rsid w:val="00E4528E"/>
    <w:rsid w:val="00E45F8A"/>
    <w:rsid w:val="00E47DC3"/>
    <w:rsid w:val="00E504E7"/>
    <w:rsid w:val="00E50F3D"/>
    <w:rsid w:val="00E51883"/>
    <w:rsid w:val="00E51BE6"/>
    <w:rsid w:val="00E5344D"/>
    <w:rsid w:val="00E53B0D"/>
    <w:rsid w:val="00E541B8"/>
    <w:rsid w:val="00E54592"/>
    <w:rsid w:val="00E61617"/>
    <w:rsid w:val="00E6284A"/>
    <w:rsid w:val="00E64FC7"/>
    <w:rsid w:val="00E65160"/>
    <w:rsid w:val="00E6652B"/>
    <w:rsid w:val="00E67CEF"/>
    <w:rsid w:val="00E71304"/>
    <w:rsid w:val="00E73299"/>
    <w:rsid w:val="00E7485B"/>
    <w:rsid w:val="00E74CE5"/>
    <w:rsid w:val="00E74E86"/>
    <w:rsid w:val="00E769D3"/>
    <w:rsid w:val="00E77A95"/>
    <w:rsid w:val="00E77C7E"/>
    <w:rsid w:val="00E815BB"/>
    <w:rsid w:val="00E8346C"/>
    <w:rsid w:val="00E83DA8"/>
    <w:rsid w:val="00E84511"/>
    <w:rsid w:val="00E8479E"/>
    <w:rsid w:val="00E84A61"/>
    <w:rsid w:val="00E92A21"/>
    <w:rsid w:val="00E93154"/>
    <w:rsid w:val="00E93AE6"/>
    <w:rsid w:val="00E941AA"/>
    <w:rsid w:val="00E944E1"/>
    <w:rsid w:val="00E96ADA"/>
    <w:rsid w:val="00E96F37"/>
    <w:rsid w:val="00E973FC"/>
    <w:rsid w:val="00E974A9"/>
    <w:rsid w:val="00E97A61"/>
    <w:rsid w:val="00EA0303"/>
    <w:rsid w:val="00EA070E"/>
    <w:rsid w:val="00EA1872"/>
    <w:rsid w:val="00EA1FAB"/>
    <w:rsid w:val="00EA2879"/>
    <w:rsid w:val="00EA3ADA"/>
    <w:rsid w:val="00EA3D96"/>
    <w:rsid w:val="00EA3E7A"/>
    <w:rsid w:val="00EA43C5"/>
    <w:rsid w:val="00EA4458"/>
    <w:rsid w:val="00EA55CF"/>
    <w:rsid w:val="00EA579B"/>
    <w:rsid w:val="00EA59DC"/>
    <w:rsid w:val="00EA6A8B"/>
    <w:rsid w:val="00EA6E58"/>
    <w:rsid w:val="00EB0B35"/>
    <w:rsid w:val="00EB1084"/>
    <w:rsid w:val="00EB305D"/>
    <w:rsid w:val="00EB4321"/>
    <w:rsid w:val="00EB489C"/>
    <w:rsid w:val="00EB5956"/>
    <w:rsid w:val="00EB5C9D"/>
    <w:rsid w:val="00EB69B2"/>
    <w:rsid w:val="00EB7944"/>
    <w:rsid w:val="00EC1146"/>
    <w:rsid w:val="00EC2579"/>
    <w:rsid w:val="00EC2B8F"/>
    <w:rsid w:val="00EC5E5B"/>
    <w:rsid w:val="00EC624B"/>
    <w:rsid w:val="00EC62AB"/>
    <w:rsid w:val="00EC653B"/>
    <w:rsid w:val="00EC690D"/>
    <w:rsid w:val="00EC6DAA"/>
    <w:rsid w:val="00EC73C9"/>
    <w:rsid w:val="00EC7B83"/>
    <w:rsid w:val="00EC7D64"/>
    <w:rsid w:val="00ED1C60"/>
    <w:rsid w:val="00ED3A6B"/>
    <w:rsid w:val="00ED3EC9"/>
    <w:rsid w:val="00ED52F1"/>
    <w:rsid w:val="00ED5694"/>
    <w:rsid w:val="00ED6792"/>
    <w:rsid w:val="00EE03A4"/>
    <w:rsid w:val="00EE5285"/>
    <w:rsid w:val="00EE7D8B"/>
    <w:rsid w:val="00EF09FE"/>
    <w:rsid w:val="00EF11C3"/>
    <w:rsid w:val="00EF23D9"/>
    <w:rsid w:val="00EF365B"/>
    <w:rsid w:val="00EF36F3"/>
    <w:rsid w:val="00EF45DF"/>
    <w:rsid w:val="00EF7D8A"/>
    <w:rsid w:val="00F01698"/>
    <w:rsid w:val="00F049F2"/>
    <w:rsid w:val="00F05322"/>
    <w:rsid w:val="00F05669"/>
    <w:rsid w:val="00F056F6"/>
    <w:rsid w:val="00F06C42"/>
    <w:rsid w:val="00F07814"/>
    <w:rsid w:val="00F07FBA"/>
    <w:rsid w:val="00F11161"/>
    <w:rsid w:val="00F1116F"/>
    <w:rsid w:val="00F122EA"/>
    <w:rsid w:val="00F12994"/>
    <w:rsid w:val="00F13545"/>
    <w:rsid w:val="00F14593"/>
    <w:rsid w:val="00F15F80"/>
    <w:rsid w:val="00F16463"/>
    <w:rsid w:val="00F17248"/>
    <w:rsid w:val="00F20036"/>
    <w:rsid w:val="00F20757"/>
    <w:rsid w:val="00F20FB2"/>
    <w:rsid w:val="00F2146E"/>
    <w:rsid w:val="00F22258"/>
    <w:rsid w:val="00F222F9"/>
    <w:rsid w:val="00F23C37"/>
    <w:rsid w:val="00F241AC"/>
    <w:rsid w:val="00F241F6"/>
    <w:rsid w:val="00F2607F"/>
    <w:rsid w:val="00F31BDC"/>
    <w:rsid w:val="00F31D15"/>
    <w:rsid w:val="00F3350F"/>
    <w:rsid w:val="00F342A2"/>
    <w:rsid w:val="00F359FC"/>
    <w:rsid w:val="00F37538"/>
    <w:rsid w:val="00F37BB2"/>
    <w:rsid w:val="00F37EA6"/>
    <w:rsid w:val="00F41081"/>
    <w:rsid w:val="00F43B19"/>
    <w:rsid w:val="00F43BF0"/>
    <w:rsid w:val="00F43FC6"/>
    <w:rsid w:val="00F449D1"/>
    <w:rsid w:val="00F44C7B"/>
    <w:rsid w:val="00F47F70"/>
    <w:rsid w:val="00F50548"/>
    <w:rsid w:val="00F51AB5"/>
    <w:rsid w:val="00F53398"/>
    <w:rsid w:val="00F55265"/>
    <w:rsid w:val="00F557BD"/>
    <w:rsid w:val="00F55E1C"/>
    <w:rsid w:val="00F565AA"/>
    <w:rsid w:val="00F567A5"/>
    <w:rsid w:val="00F5689A"/>
    <w:rsid w:val="00F60B82"/>
    <w:rsid w:val="00F61C49"/>
    <w:rsid w:val="00F61CF6"/>
    <w:rsid w:val="00F62E50"/>
    <w:rsid w:val="00F6779C"/>
    <w:rsid w:val="00F679CE"/>
    <w:rsid w:val="00F7048D"/>
    <w:rsid w:val="00F704F9"/>
    <w:rsid w:val="00F709B4"/>
    <w:rsid w:val="00F71DCA"/>
    <w:rsid w:val="00F7283F"/>
    <w:rsid w:val="00F72B76"/>
    <w:rsid w:val="00F748D2"/>
    <w:rsid w:val="00F75D2F"/>
    <w:rsid w:val="00F773E7"/>
    <w:rsid w:val="00F80911"/>
    <w:rsid w:val="00F80CE6"/>
    <w:rsid w:val="00F83943"/>
    <w:rsid w:val="00F8454C"/>
    <w:rsid w:val="00F85ADC"/>
    <w:rsid w:val="00F85BBC"/>
    <w:rsid w:val="00F866F4"/>
    <w:rsid w:val="00F901F1"/>
    <w:rsid w:val="00F9283A"/>
    <w:rsid w:val="00F93684"/>
    <w:rsid w:val="00F93B12"/>
    <w:rsid w:val="00F96708"/>
    <w:rsid w:val="00FA1A3D"/>
    <w:rsid w:val="00FA1B46"/>
    <w:rsid w:val="00FA20DE"/>
    <w:rsid w:val="00FA298E"/>
    <w:rsid w:val="00FA2C06"/>
    <w:rsid w:val="00FA40F1"/>
    <w:rsid w:val="00FA5142"/>
    <w:rsid w:val="00FA5878"/>
    <w:rsid w:val="00FA5A4F"/>
    <w:rsid w:val="00FA5D14"/>
    <w:rsid w:val="00FA6470"/>
    <w:rsid w:val="00FB1316"/>
    <w:rsid w:val="00FB39B3"/>
    <w:rsid w:val="00FB3AEF"/>
    <w:rsid w:val="00FB4E74"/>
    <w:rsid w:val="00FB5E36"/>
    <w:rsid w:val="00FC0264"/>
    <w:rsid w:val="00FC0F68"/>
    <w:rsid w:val="00FC2088"/>
    <w:rsid w:val="00FC25B4"/>
    <w:rsid w:val="00FC395D"/>
    <w:rsid w:val="00FC5418"/>
    <w:rsid w:val="00FC747B"/>
    <w:rsid w:val="00FD0E4C"/>
    <w:rsid w:val="00FD0F67"/>
    <w:rsid w:val="00FD1E9E"/>
    <w:rsid w:val="00FD42DE"/>
    <w:rsid w:val="00FD5BD1"/>
    <w:rsid w:val="00FD5F1E"/>
    <w:rsid w:val="00FD65E3"/>
    <w:rsid w:val="00FD75ED"/>
    <w:rsid w:val="00FE0B58"/>
    <w:rsid w:val="00FE0B64"/>
    <w:rsid w:val="00FE0FDF"/>
    <w:rsid w:val="00FE1A33"/>
    <w:rsid w:val="00FE1DD7"/>
    <w:rsid w:val="00FE2AD4"/>
    <w:rsid w:val="00FE399D"/>
    <w:rsid w:val="00FE48AB"/>
    <w:rsid w:val="00FE4D72"/>
    <w:rsid w:val="00FE4EE8"/>
    <w:rsid w:val="00FE5C03"/>
    <w:rsid w:val="00FF00C1"/>
    <w:rsid w:val="00FF0512"/>
    <w:rsid w:val="00FF0E74"/>
    <w:rsid w:val="00FF163C"/>
    <w:rsid w:val="00FF363C"/>
    <w:rsid w:val="00FF4531"/>
    <w:rsid w:val="00FF71E1"/>
    <w:rsid w:val="00FF7AC9"/>
    <w:rsid w:val="0103612C"/>
    <w:rsid w:val="01040158"/>
    <w:rsid w:val="01072592"/>
    <w:rsid w:val="010746BF"/>
    <w:rsid w:val="010F120B"/>
    <w:rsid w:val="011101D9"/>
    <w:rsid w:val="01113612"/>
    <w:rsid w:val="01123007"/>
    <w:rsid w:val="0112725E"/>
    <w:rsid w:val="0113521D"/>
    <w:rsid w:val="01154B27"/>
    <w:rsid w:val="01154EDD"/>
    <w:rsid w:val="011851D0"/>
    <w:rsid w:val="011A5E27"/>
    <w:rsid w:val="011F4710"/>
    <w:rsid w:val="012260A7"/>
    <w:rsid w:val="01230210"/>
    <w:rsid w:val="012313A8"/>
    <w:rsid w:val="012859AA"/>
    <w:rsid w:val="012D2227"/>
    <w:rsid w:val="01343FD7"/>
    <w:rsid w:val="013479DC"/>
    <w:rsid w:val="01372DB5"/>
    <w:rsid w:val="013872F3"/>
    <w:rsid w:val="0139075A"/>
    <w:rsid w:val="013E4A0E"/>
    <w:rsid w:val="01404CDF"/>
    <w:rsid w:val="01434BFF"/>
    <w:rsid w:val="01443362"/>
    <w:rsid w:val="014E38CB"/>
    <w:rsid w:val="015C2923"/>
    <w:rsid w:val="015C4E27"/>
    <w:rsid w:val="015D2F00"/>
    <w:rsid w:val="0164732A"/>
    <w:rsid w:val="0165473F"/>
    <w:rsid w:val="01687703"/>
    <w:rsid w:val="016A6E0A"/>
    <w:rsid w:val="016A6FD7"/>
    <w:rsid w:val="016D0545"/>
    <w:rsid w:val="017427BA"/>
    <w:rsid w:val="01747DBA"/>
    <w:rsid w:val="01761CC3"/>
    <w:rsid w:val="017716F4"/>
    <w:rsid w:val="017E6BFB"/>
    <w:rsid w:val="018067FB"/>
    <w:rsid w:val="018276C2"/>
    <w:rsid w:val="01827A53"/>
    <w:rsid w:val="0184070B"/>
    <w:rsid w:val="01867F4E"/>
    <w:rsid w:val="01871CE9"/>
    <w:rsid w:val="01925274"/>
    <w:rsid w:val="01982D9C"/>
    <w:rsid w:val="019A1986"/>
    <w:rsid w:val="019D3D99"/>
    <w:rsid w:val="019E734E"/>
    <w:rsid w:val="019F3E20"/>
    <w:rsid w:val="01A144FE"/>
    <w:rsid w:val="01A22FE4"/>
    <w:rsid w:val="01A73517"/>
    <w:rsid w:val="01A75273"/>
    <w:rsid w:val="01A752C5"/>
    <w:rsid w:val="01A80888"/>
    <w:rsid w:val="01AE03C4"/>
    <w:rsid w:val="01AF6D0A"/>
    <w:rsid w:val="01B07BDF"/>
    <w:rsid w:val="01B5496B"/>
    <w:rsid w:val="01B92646"/>
    <w:rsid w:val="01BA7199"/>
    <w:rsid w:val="01BD4939"/>
    <w:rsid w:val="01C13A2B"/>
    <w:rsid w:val="01C16CED"/>
    <w:rsid w:val="01C3268C"/>
    <w:rsid w:val="01C40DDD"/>
    <w:rsid w:val="01C63F12"/>
    <w:rsid w:val="01C92BB9"/>
    <w:rsid w:val="01C95D3A"/>
    <w:rsid w:val="01CB69CF"/>
    <w:rsid w:val="01CC5178"/>
    <w:rsid w:val="01CF162F"/>
    <w:rsid w:val="01CF71D4"/>
    <w:rsid w:val="01D201D4"/>
    <w:rsid w:val="01D21A2D"/>
    <w:rsid w:val="01D24671"/>
    <w:rsid w:val="01D373A3"/>
    <w:rsid w:val="01D40D34"/>
    <w:rsid w:val="01D628BE"/>
    <w:rsid w:val="01D73066"/>
    <w:rsid w:val="01D7699C"/>
    <w:rsid w:val="01D8543F"/>
    <w:rsid w:val="01DA04FD"/>
    <w:rsid w:val="01DB05F2"/>
    <w:rsid w:val="01DF1814"/>
    <w:rsid w:val="01E55FD7"/>
    <w:rsid w:val="01E72F2E"/>
    <w:rsid w:val="01E75ED0"/>
    <w:rsid w:val="01E93A59"/>
    <w:rsid w:val="01E94C64"/>
    <w:rsid w:val="01EA7B35"/>
    <w:rsid w:val="01EB7A43"/>
    <w:rsid w:val="01EF6EA8"/>
    <w:rsid w:val="01F26BA1"/>
    <w:rsid w:val="01F36FCC"/>
    <w:rsid w:val="01F61FCC"/>
    <w:rsid w:val="01F73C28"/>
    <w:rsid w:val="01FA184C"/>
    <w:rsid w:val="01FB7D73"/>
    <w:rsid w:val="01FC36D0"/>
    <w:rsid w:val="02022957"/>
    <w:rsid w:val="020335D5"/>
    <w:rsid w:val="0204267E"/>
    <w:rsid w:val="02055DA7"/>
    <w:rsid w:val="02056D00"/>
    <w:rsid w:val="02065212"/>
    <w:rsid w:val="020C19AB"/>
    <w:rsid w:val="021073D7"/>
    <w:rsid w:val="021400E3"/>
    <w:rsid w:val="02142012"/>
    <w:rsid w:val="02153AAC"/>
    <w:rsid w:val="02154A28"/>
    <w:rsid w:val="02193033"/>
    <w:rsid w:val="02194838"/>
    <w:rsid w:val="0219740D"/>
    <w:rsid w:val="021F011B"/>
    <w:rsid w:val="0223548A"/>
    <w:rsid w:val="02272F70"/>
    <w:rsid w:val="02281201"/>
    <w:rsid w:val="02312630"/>
    <w:rsid w:val="02314B51"/>
    <w:rsid w:val="02345C73"/>
    <w:rsid w:val="02352BA2"/>
    <w:rsid w:val="02353A89"/>
    <w:rsid w:val="023B6154"/>
    <w:rsid w:val="023B6A33"/>
    <w:rsid w:val="023F5572"/>
    <w:rsid w:val="02407EE7"/>
    <w:rsid w:val="02421F19"/>
    <w:rsid w:val="02423157"/>
    <w:rsid w:val="024700CA"/>
    <w:rsid w:val="02497EE1"/>
    <w:rsid w:val="024D0C77"/>
    <w:rsid w:val="02551605"/>
    <w:rsid w:val="025B1026"/>
    <w:rsid w:val="025B123E"/>
    <w:rsid w:val="025E3D01"/>
    <w:rsid w:val="02635F39"/>
    <w:rsid w:val="026702B8"/>
    <w:rsid w:val="026A05F0"/>
    <w:rsid w:val="027011E5"/>
    <w:rsid w:val="02717754"/>
    <w:rsid w:val="027236B1"/>
    <w:rsid w:val="02797D57"/>
    <w:rsid w:val="027C107E"/>
    <w:rsid w:val="027C50C6"/>
    <w:rsid w:val="02801024"/>
    <w:rsid w:val="0290297F"/>
    <w:rsid w:val="0295749A"/>
    <w:rsid w:val="02960535"/>
    <w:rsid w:val="02961B3C"/>
    <w:rsid w:val="02962204"/>
    <w:rsid w:val="02993E45"/>
    <w:rsid w:val="029A16E5"/>
    <w:rsid w:val="029E017F"/>
    <w:rsid w:val="02A21CED"/>
    <w:rsid w:val="02A45EB9"/>
    <w:rsid w:val="02A47C86"/>
    <w:rsid w:val="02A723C5"/>
    <w:rsid w:val="02A77487"/>
    <w:rsid w:val="02AA61B1"/>
    <w:rsid w:val="02B0244E"/>
    <w:rsid w:val="02B16EA5"/>
    <w:rsid w:val="02B87CC3"/>
    <w:rsid w:val="02BD359F"/>
    <w:rsid w:val="02C0300B"/>
    <w:rsid w:val="02C032E1"/>
    <w:rsid w:val="02C57F6F"/>
    <w:rsid w:val="02C629BB"/>
    <w:rsid w:val="02CD6378"/>
    <w:rsid w:val="02CE044B"/>
    <w:rsid w:val="02CF787D"/>
    <w:rsid w:val="02D408A7"/>
    <w:rsid w:val="02D46D47"/>
    <w:rsid w:val="02D574D2"/>
    <w:rsid w:val="02D64F89"/>
    <w:rsid w:val="02D77C6A"/>
    <w:rsid w:val="02DD6628"/>
    <w:rsid w:val="02DD7E7F"/>
    <w:rsid w:val="02DE354D"/>
    <w:rsid w:val="02DF57A3"/>
    <w:rsid w:val="02E07668"/>
    <w:rsid w:val="02E16EAC"/>
    <w:rsid w:val="02E24D98"/>
    <w:rsid w:val="02E90F80"/>
    <w:rsid w:val="02E9467C"/>
    <w:rsid w:val="02EE06DE"/>
    <w:rsid w:val="02F254D6"/>
    <w:rsid w:val="02F64BD6"/>
    <w:rsid w:val="02F730DE"/>
    <w:rsid w:val="02F855D7"/>
    <w:rsid w:val="02FB2C10"/>
    <w:rsid w:val="02FD67C2"/>
    <w:rsid w:val="0302152D"/>
    <w:rsid w:val="03032BFE"/>
    <w:rsid w:val="03047C8B"/>
    <w:rsid w:val="0305345B"/>
    <w:rsid w:val="03060BB5"/>
    <w:rsid w:val="03062063"/>
    <w:rsid w:val="0306465C"/>
    <w:rsid w:val="0309241C"/>
    <w:rsid w:val="0309352B"/>
    <w:rsid w:val="030D30AF"/>
    <w:rsid w:val="030F0C8E"/>
    <w:rsid w:val="0310337A"/>
    <w:rsid w:val="0311419B"/>
    <w:rsid w:val="03125094"/>
    <w:rsid w:val="03130CD1"/>
    <w:rsid w:val="0316724E"/>
    <w:rsid w:val="031C25B0"/>
    <w:rsid w:val="031D186F"/>
    <w:rsid w:val="03201DB8"/>
    <w:rsid w:val="03230427"/>
    <w:rsid w:val="03247659"/>
    <w:rsid w:val="032C4E8C"/>
    <w:rsid w:val="032D5E42"/>
    <w:rsid w:val="032E32CC"/>
    <w:rsid w:val="032F44CD"/>
    <w:rsid w:val="033170D1"/>
    <w:rsid w:val="033501DF"/>
    <w:rsid w:val="03386CE5"/>
    <w:rsid w:val="033D0ABA"/>
    <w:rsid w:val="0343084F"/>
    <w:rsid w:val="0344576D"/>
    <w:rsid w:val="03450AE2"/>
    <w:rsid w:val="034560AA"/>
    <w:rsid w:val="03467813"/>
    <w:rsid w:val="034B5CC7"/>
    <w:rsid w:val="034D0AF8"/>
    <w:rsid w:val="034E6D61"/>
    <w:rsid w:val="03523E3F"/>
    <w:rsid w:val="03527BEA"/>
    <w:rsid w:val="03550168"/>
    <w:rsid w:val="035512D9"/>
    <w:rsid w:val="03552770"/>
    <w:rsid w:val="035C0ECC"/>
    <w:rsid w:val="035D4A4F"/>
    <w:rsid w:val="035D55A1"/>
    <w:rsid w:val="035D747B"/>
    <w:rsid w:val="035F4967"/>
    <w:rsid w:val="036068E4"/>
    <w:rsid w:val="03651600"/>
    <w:rsid w:val="03685054"/>
    <w:rsid w:val="03685608"/>
    <w:rsid w:val="037079FA"/>
    <w:rsid w:val="037203C5"/>
    <w:rsid w:val="0372496D"/>
    <w:rsid w:val="037357E5"/>
    <w:rsid w:val="037426D5"/>
    <w:rsid w:val="03751ED0"/>
    <w:rsid w:val="03757B8F"/>
    <w:rsid w:val="037720BA"/>
    <w:rsid w:val="037759DB"/>
    <w:rsid w:val="03795A4B"/>
    <w:rsid w:val="037B5E26"/>
    <w:rsid w:val="037E2A9C"/>
    <w:rsid w:val="03800D34"/>
    <w:rsid w:val="038275CB"/>
    <w:rsid w:val="03847131"/>
    <w:rsid w:val="03874C94"/>
    <w:rsid w:val="038D51FF"/>
    <w:rsid w:val="0394201A"/>
    <w:rsid w:val="03943B4E"/>
    <w:rsid w:val="03985FF1"/>
    <w:rsid w:val="03991DC8"/>
    <w:rsid w:val="039B0BE5"/>
    <w:rsid w:val="039D367E"/>
    <w:rsid w:val="03A12899"/>
    <w:rsid w:val="03A13EF0"/>
    <w:rsid w:val="03A14307"/>
    <w:rsid w:val="03A43C80"/>
    <w:rsid w:val="03AB1570"/>
    <w:rsid w:val="03AB3DD7"/>
    <w:rsid w:val="03AC4128"/>
    <w:rsid w:val="03B0486E"/>
    <w:rsid w:val="03B30A60"/>
    <w:rsid w:val="03B87EBB"/>
    <w:rsid w:val="03BD58C5"/>
    <w:rsid w:val="03BF0C92"/>
    <w:rsid w:val="03BF3EB1"/>
    <w:rsid w:val="03C0718C"/>
    <w:rsid w:val="03C2481F"/>
    <w:rsid w:val="03C47310"/>
    <w:rsid w:val="03C70AA2"/>
    <w:rsid w:val="03C80901"/>
    <w:rsid w:val="03CF5817"/>
    <w:rsid w:val="03D1698B"/>
    <w:rsid w:val="03D23E90"/>
    <w:rsid w:val="03D24147"/>
    <w:rsid w:val="03D97A0A"/>
    <w:rsid w:val="03DA00C6"/>
    <w:rsid w:val="03DA2433"/>
    <w:rsid w:val="03DF73FE"/>
    <w:rsid w:val="03E57EE0"/>
    <w:rsid w:val="03E63FFC"/>
    <w:rsid w:val="03E9196A"/>
    <w:rsid w:val="03EB1A6A"/>
    <w:rsid w:val="03EC20CD"/>
    <w:rsid w:val="03EE40AA"/>
    <w:rsid w:val="03F07BDB"/>
    <w:rsid w:val="03F14C9D"/>
    <w:rsid w:val="03F952F3"/>
    <w:rsid w:val="03FB4B7A"/>
    <w:rsid w:val="03FC38AD"/>
    <w:rsid w:val="040220C2"/>
    <w:rsid w:val="04022B57"/>
    <w:rsid w:val="04061A45"/>
    <w:rsid w:val="04073203"/>
    <w:rsid w:val="040D378E"/>
    <w:rsid w:val="040E25E8"/>
    <w:rsid w:val="040F25A9"/>
    <w:rsid w:val="04114F88"/>
    <w:rsid w:val="0418143E"/>
    <w:rsid w:val="041B1C11"/>
    <w:rsid w:val="04205B83"/>
    <w:rsid w:val="042065E0"/>
    <w:rsid w:val="042142A4"/>
    <w:rsid w:val="04217385"/>
    <w:rsid w:val="042675FD"/>
    <w:rsid w:val="042B62EC"/>
    <w:rsid w:val="043438CC"/>
    <w:rsid w:val="04354954"/>
    <w:rsid w:val="043553B6"/>
    <w:rsid w:val="04367663"/>
    <w:rsid w:val="043B030F"/>
    <w:rsid w:val="044B68CB"/>
    <w:rsid w:val="04504672"/>
    <w:rsid w:val="0450601A"/>
    <w:rsid w:val="045277AA"/>
    <w:rsid w:val="045571C7"/>
    <w:rsid w:val="04576011"/>
    <w:rsid w:val="0459756B"/>
    <w:rsid w:val="04597A92"/>
    <w:rsid w:val="04610B65"/>
    <w:rsid w:val="04611F50"/>
    <w:rsid w:val="04660ADA"/>
    <w:rsid w:val="046C30B6"/>
    <w:rsid w:val="046E09E1"/>
    <w:rsid w:val="046F0C24"/>
    <w:rsid w:val="04700AEC"/>
    <w:rsid w:val="04703CC5"/>
    <w:rsid w:val="04707F1C"/>
    <w:rsid w:val="047137BF"/>
    <w:rsid w:val="04723E86"/>
    <w:rsid w:val="04752CE0"/>
    <w:rsid w:val="0476424D"/>
    <w:rsid w:val="04777C1A"/>
    <w:rsid w:val="047B268D"/>
    <w:rsid w:val="047C1514"/>
    <w:rsid w:val="048165D9"/>
    <w:rsid w:val="048731A9"/>
    <w:rsid w:val="04874D0E"/>
    <w:rsid w:val="04897138"/>
    <w:rsid w:val="048B79F9"/>
    <w:rsid w:val="04935ACB"/>
    <w:rsid w:val="049B7CCC"/>
    <w:rsid w:val="049C320B"/>
    <w:rsid w:val="049C35EC"/>
    <w:rsid w:val="049D51F1"/>
    <w:rsid w:val="04A4292B"/>
    <w:rsid w:val="04A43272"/>
    <w:rsid w:val="04A714B7"/>
    <w:rsid w:val="04A967EA"/>
    <w:rsid w:val="04AA413B"/>
    <w:rsid w:val="04AC6382"/>
    <w:rsid w:val="04B163A8"/>
    <w:rsid w:val="04B53BF6"/>
    <w:rsid w:val="04B715F8"/>
    <w:rsid w:val="04B94CDB"/>
    <w:rsid w:val="04BA2023"/>
    <w:rsid w:val="04BC0811"/>
    <w:rsid w:val="04BC2BE2"/>
    <w:rsid w:val="04BD00C8"/>
    <w:rsid w:val="04BD773C"/>
    <w:rsid w:val="04BE77A4"/>
    <w:rsid w:val="04BF6C4F"/>
    <w:rsid w:val="04C44C50"/>
    <w:rsid w:val="04C81604"/>
    <w:rsid w:val="04CA202F"/>
    <w:rsid w:val="04CA21BE"/>
    <w:rsid w:val="04CC1030"/>
    <w:rsid w:val="04CE4D83"/>
    <w:rsid w:val="04CE5ACF"/>
    <w:rsid w:val="04D11FAD"/>
    <w:rsid w:val="04D27492"/>
    <w:rsid w:val="04D30585"/>
    <w:rsid w:val="04D433C6"/>
    <w:rsid w:val="04D50DA1"/>
    <w:rsid w:val="04D529B1"/>
    <w:rsid w:val="04D61EBF"/>
    <w:rsid w:val="04D81727"/>
    <w:rsid w:val="04DA2547"/>
    <w:rsid w:val="04DB199F"/>
    <w:rsid w:val="04DB3607"/>
    <w:rsid w:val="04DC042D"/>
    <w:rsid w:val="04E10477"/>
    <w:rsid w:val="04E139A8"/>
    <w:rsid w:val="04E22BDC"/>
    <w:rsid w:val="04E23328"/>
    <w:rsid w:val="04E33A5F"/>
    <w:rsid w:val="04E84DFA"/>
    <w:rsid w:val="04F04546"/>
    <w:rsid w:val="04F206EB"/>
    <w:rsid w:val="04F22572"/>
    <w:rsid w:val="04F30789"/>
    <w:rsid w:val="04F47578"/>
    <w:rsid w:val="04FA0C37"/>
    <w:rsid w:val="04FD1735"/>
    <w:rsid w:val="04FD3BD7"/>
    <w:rsid w:val="04FE40B1"/>
    <w:rsid w:val="05005595"/>
    <w:rsid w:val="05063A70"/>
    <w:rsid w:val="05087D42"/>
    <w:rsid w:val="0512089E"/>
    <w:rsid w:val="05142E1B"/>
    <w:rsid w:val="05147879"/>
    <w:rsid w:val="05186906"/>
    <w:rsid w:val="052122D1"/>
    <w:rsid w:val="0523406D"/>
    <w:rsid w:val="05262AD4"/>
    <w:rsid w:val="05272931"/>
    <w:rsid w:val="05277FCB"/>
    <w:rsid w:val="05290F52"/>
    <w:rsid w:val="052A25C0"/>
    <w:rsid w:val="052D695C"/>
    <w:rsid w:val="0530259F"/>
    <w:rsid w:val="05330089"/>
    <w:rsid w:val="053437F5"/>
    <w:rsid w:val="0535064C"/>
    <w:rsid w:val="053718C6"/>
    <w:rsid w:val="053C11E9"/>
    <w:rsid w:val="05422541"/>
    <w:rsid w:val="05511770"/>
    <w:rsid w:val="05572FE0"/>
    <w:rsid w:val="05585A93"/>
    <w:rsid w:val="05595264"/>
    <w:rsid w:val="055B1E21"/>
    <w:rsid w:val="055E5AE8"/>
    <w:rsid w:val="05621A71"/>
    <w:rsid w:val="05626133"/>
    <w:rsid w:val="05652A24"/>
    <w:rsid w:val="05697EC3"/>
    <w:rsid w:val="056B1DA5"/>
    <w:rsid w:val="056D55F6"/>
    <w:rsid w:val="056E37F3"/>
    <w:rsid w:val="05702DF9"/>
    <w:rsid w:val="0573545C"/>
    <w:rsid w:val="0575654D"/>
    <w:rsid w:val="0576263D"/>
    <w:rsid w:val="05776718"/>
    <w:rsid w:val="05815B43"/>
    <w:rsid w:val="05835374"/>
    <w:rsid w:val="05844893"/>
    <w:rsid w:val="05856CAD"/>
    <w:rsid w:val="05857708"/>
    <w:rsid w:val="05877B47"/>
    <w:rsid w:val="058831AE"/>
    <w:rsid w:val="059211F2"/>
    <w:rsid w:val="05966579"/>
    <w:rsid w:val="059B1FE1"/>
    <w:rsid w:val="059C2EBD"/>
    <w:rsid w:val="05A0242D"/>
    <w:rsid w:val="05A27C21"/>
    <w:rsid w:val="05A37A8F"/>
    <w:rsid w:val="05A43BF5"/>
    <w:rsid w:val="05B20635"/>
    <w:rsid w:val="05B253F0"/>
    <w:rsid w:val="05B6224D"/>
    <w:rsid w:val="05B86847"/>
    <w:rsid w:val="05B9407D"/>
    <w:rsid w:val="05BD1C6F"/>
    <w:rsid w:val="05C173E2"/>
    <w:rsid w:val="05C262D4"/>
    <w:rsid w:val="05C26988"/>
    <w:rsid w:val="05C362A1"/>
    <w:rsid w:val="05C606AE"/>
    <w:rsid w:val="05C70A61"/>
    <w:rsid w:val="05CE608C"/>
    <w:rsid w:val="05D074FD"/>
    <w:rsid w:val="05D2173E"/>
    <w:rsid w:val="05D2339D"/>
    <w:rsid w:val="05D33011"/>
    <w:rsid w:val="05D5117C"/>
    <w:rsid w:val="05D96B97"/>
    <w:rsid w:val="05DE00A5"/>
    <w:rsid w:val="05DF120E"/>
    <w:rsid w:val="05E01012"/>
    <w:rsid w:val="05E24DDB"/>
    <w:rsid w:val="05EB4596"/>
    <w:rsid w:val="05EF4A89"/>
    <w:rsid w:val="05EF7940"/>
    <w:rsid w:val="05F3071E"/>
    <w:rsid w:val="05F46A48"/>
    <w:rsid w:val="05F52C00"/>
    <w:rsid w:val="05FA453C"/>
    <w:rsid w:val="05FA72A2"/>
    <w:rsid w:val="05FE0D6C"/>
    <w:rsid w:val="06083ED4"/>
    <w:rsid w:val="060D2125"/>
    <w:rsid w:val="060D695F"/>
    <w:rsid w:val="060F0376"/>
    <w:rsid w:val="0617369F"/>
    <w:rsid w:val="061961E9"/>
    <w:rsid w:val="06197C64"/>
    <w:rsid w:val="061D1DC5"/>
    <w:rsid w:val="061E65E2"/>
    <w:rsid w:val="06261C8E"/>
    <w:rsid w:val="06330CC8"/>
    <w:rsid w:val="06381F48"/>
    <w:rsid w:val="063B2327"/>
    <w:rsid w:val="063C6A97"/>
    <w:rsid w:val="063D1289"/>
    <w:rsid w:val="0640016E"/>
    <w:rsid w:val="064057D4"/>
    <w:rsid w:val="06464783"/>
    <w:rsid w:val="06474246"/>
    <w:rsid w:val="064A2156"/>
    <w:rsid w:val="064A777B"/>
    <w:rsid w:val="064D0EF3"/>
    <w:rsid w:val="06555530"/>
    <w:rsid w:val="06581E1C"/>
    <w:rsid w:val="065902A4"/>
    <w:rsid w:val="06593DA0"/>
    <w:rsid w:val="065A602E"/>
    <w:rsid w:val="065C6BD2"/>
    <w:rsid w:val="065E6DDB"/>
    <w:rsid w:val="06660F96"/>
    <w:rsid w:val="06681752"/>
    <w:rsid w:val="066C380F"/>
    <w:rsid w:val="066D775C"/>
    <w:rsid w:val="066E7569"/>
    <w:rsid w:val="067036A2"/>
    <w:rsid w:val="06712612"/>
    <w:rsid w:val="067404C7"/>
    <w:rsid w:val="06764AB0"/>
    <w:rsid w:val="06782477"/>
    <w:rsid w:val="067A4D1F"/>
    <w:rsid w:val="067A543D"/>
    <w:rsid w:val="067B6092"/>
    <w:rsid w:val="067D04ED"/>
    <w:rsid w:val="067E03E5"/>
    <w:rsid w:val="067E0CBB"/>
    <w:rsid w:val="067E4E21"/>
    <w:rsid w:val="0688297B"/>
    <w:rsid w:val="06883100"/>
    <w:rsid w:val="068846CE"/>
    <w:rsid w:val="068A69E7"/>
    <w:rsid w:val="068B54B4"/>
    <w:rsid w:val="068E5516"/>
    <w:rsid w:val="068E7973"/>
    <w:rsid w:val="069279CE"/>
    <w:rsid w:val="06967C9E"/>
    <w:rsid w:val="06995C46"/>
    <w:rsid w:val="069B432A"/>
    <w:rsid w:val="069D7C6B"/>
    <w:rsid w:val="06A134EF"/>
    <w:rsid w:val="06A338B0"/>
    <w:rsid w:val="06A36EB2"/>
    <w:rsid w:val="06A541CF"/>
    <w:rsid w:val="06A6288D"/>
    <w:rsid w:val="06A72333"/>
    <w:rsid w:val="06A91FA6"/>
    <w:rsid w:val="06AD2E46"/>
    <w:rsid w:val="06B14B55"/>
    <w:rsid w:val="06B348C7"/>
    <w:rsid w:val="06B52241"/>
    <w:rsid w:val="06B56214"/>
    <w:rsid w:val="06BB6163"/>
    <w:rsid w:val="06BE62B4"/>
    <w:rsid w:val="06BF3FC7"/>
    <w:rsid w:val="06C16B99"/>
    <w:rsid w:val="06C54678"/>
    <w:rsid w:val="06C55C23"/>
    <w:rsid w:val="06CA769B"/>
    <w:rsid w:val="06CA7D3C"/>
    <w:rsid w:val="06CD6DFA"/>
    <w:rsid w:val="06D225BC"/>
    <w:rsid w:val="06D43393"/>
    <w:rsid w:val="06D5043A"/>
    <w:rsid w:val="06D953F7"/>
    <w:rsid w:val="06DE6BCF"/>
    <w:rsid w:val="06DF42B9"/>
    <w:rsid w:val="06E15FE8"/>
    <w:rsid w:val="06E46812"/>
    <w:rsid w:val="06E55736"/>
    <w:rsid w:val="06E62D1C"/>
    <w:rsid w:val="06E7626B"/>
    <w:rsid w:val="06EC496D"/>
    <w:rsid w:val="06EC76E0"/>
    <w:rsid w:val="06EE1260"/>
    <w:rsid w:val="06EE2609"/>
    <w:rsid w:val="06F2252E"/>
    <w:rsid w:val="06F2774D"/>
    <w:rsid w:val="06F85E0E"/>
    <w:rsid w:val="06F87546"/>
    <w:rsid w:val="06FD0A9F"/>
    <w:rsid w:val="06FD475D"/>
    <w:rsid w:val="07006AD9"/>
    <w:rsid w:val="070256E2"/>
    <w:rsid w:val="07090446"/>
    <w:rsid w:val="070A32AF"/>
    <w:rsid w:val="070B511E"/>
    <w:rsid w:val="070E4FA2"/>
    <w:rsid w:val="07141736"/>
    <w:rsid w:val="071F2612"/>
    <w:rsid w:val="072016CA"/>
    <w:rsid w:val="0720506B"/>
    <w:rsid w:val="072333AB"/>
    <w:rsid w:val="072516A1"/>
    <w:rsid w:val="07274D15"/>
    <w:rsid w:val="07275776"/>
    <w:rsid w:val="072A2646"/>
    <w:rsid w:val="072D18BC"/>
    <w:rsid w:val="072F6E4E"/>
    <w:rsid w:val="07315318"/>
    <w:rsid w:val="0734480A"/>
    <w:rsid w:val="0736592E"/>
    <w:rsid w:val="0737768B"/>
    <w:rsid w:val="073A60B8"/>
    <w:rsid w:val="073D01DE"/>
    <w:rsid w:val="074369EC"/>
    <w:rsid w:val="07476BD9"/>
    <w:rsid w:val="074873AA"/>
    <w:rsid w:val="074A3FBA"/>
    <w:rsid w:val="074E4138"/>
    <w:rsid w:val="07502EB3"/>
    <w:rsid w:val="0750348A"/>
    <w:rsid w:val="075217C9"/>
    <w:rsid w:val="075370D0"/>
    <w:rsid w:val="075C60B3"/>
    <w:rsid w:val="075C73C2"/>
    <w:rsid w:val="07661659"/>
    <w:rsid w:val="076650CA"/>
    <w:rsid w:val="0769536C"/>
    <w:rsid w:val="076E4830"/>
    <w:rsid w:val="07707977"/>
    <w:rsid w:val="07726195"/>
    <w:rsid w:val="077330C8"/>
    <w:rsid w:val="07734413"/>
    <w:rsid w:val="07745456"/>
    <w:rsid w:val="07772FF4"/>
    <w:rsid w:val="077C2E29"/>
    <w:rsid w:val="077C3F1C"/>
    <w:rsid w:val="077D347D"/>
    <w:rsid w:val="078125AB"/>
    <w:rsid w:val="07821375"/>
    <w:rsid w:val="078335F9"/>
    <w:rsid w:val="07846868"/>
    <w:rsid w:val="078674DB"/>
    <w:rsid w:val="07897CED"/>
    <w:rsid w:val="078E196E"/>
    <w:rsid w:val="078F390F"/>
    <w:rsid w:val="07941018"/>
    <w:rsid w:val="07964E66"/>
    <w:rsid w:val="07973888"/>
    <w:rsid w:val="07977CFA"/>
    <w:rsid w:val="079901FF"/>
    <w:rsid w:val="079A482A"/>
    <w:rsid w:val="079F28C5"/>
    <w:rsid w:val="07A75A6E"/>
    <w:rsid w:val="07AA4314"/>
    <w:rsid w:val="07AD508F"/>
    <w:rsid w:val="07AE54E9"/>
    <w:rsid w:val="07AF74D4"/>
    <w:rsid w:val="07B0105B"/>
    <w:rsid w:val="07B03524"/>
    <w:rsid w:val="07BD0EFB"/>
    <w:rsid w:val="07C821A7"/>
    <w:rsid w:val="07D01EA4"/>
    <w:rsid w:val="07D045DD"/>
    <w:rsid w:val="07D05D10"/>
    <w:rsid w:val="07D23B28"/>
    <w:rsid w:val="07D308BC"/>
    <w:rsid w:val="07D75351"/>
    <w:rsid w:val="07D75C90"/>
    <w:rsid w:val="07DB0B22"/>
    <w:rsid w:val="07DF4AEC"/>
    <w:rsid w:val="07E7425D"/>
    <w:rsid w:val="07EA2ABD"/>
    <w:rsid w:val="07EA63D1"/>
    <w:rsid w:val="07EC1424"/>
    <w:rsid w:val="07EC2A29"/>
    <w:rsid w:val="07F57AEA"/>
    <w:rsid w:val="07F7533D"/>
    <w:rsid w:val="07F7651C"/>
    <w:rsid w:val="07FF71F1"/>
    <w:rsid w:val="0801772C"/>
    <w:rsid w:val="0807674F"/>
    <w:rsid w:val="08081633"/>
    <w:rsid w:val="08084081"/>
    <w:rsid w:val="081A5251"/>
    <w:rsid w:val="081C3F8C"/>
    <w:rsid w:val="081D5822"/>
    <w:rsid w:val="081E75B4"/>
    <w:rsid w:val="08246632"/>
    <w:rsid w:val="082C6949"/>
    <w:rsid w:val="0830035D"/>
    <w:rsid w:val="0833350E"/>
    <w:rsid w:val="08333D7C"/>
    <w:rsid w:val="08407561"/>
    <w:rsid w:val="08433EEC"/>
    <w:rsid w:val="08487CE5"/>
    <w:rsid w:val="08491DF8"/>
    <w:rsid w:val="0849203C"/>
    <w:rsid w:val="084A3AA2"/>
    <w:rsid w:val="084B76FB"/>
    <w:rsid w:val="08515373"/>
    <w:rsid w:val="08525A89"/>
    <w:rsid w:val="08555F04"/>
    <w:rsid w:val="08557E70"/>
    <w:rsid w:val="085751F0"/>
    <w:rsid w:val="08592EA9"/>
    <w:rsid w:val="085F4407"/>
    <w:rsid w:val="08630DE0"/>
    <w:rsid w:val="086341DE"/>
    <w:rsid w:val="08674160"/>
    <w:rsid w:val="0867457B"/>
    <w:rsid w:val="086A6B2C"/>
    <w:rsid w:val="08712E33"/>
    <w:rsid w:val="087817AB"/>
    <w:rsid w:val="087D2186"/>
    <w:rsid w:val="087E06F5"/>
    <w:rsid w:val="087E700F"/>
    <w:rsid w:val="087F22A8"/>
    <w:rsid w:val="08812BE2"/>
    <w:rsid w:val="088272FC"/>
    <w:rsid w:val="08835AC0"/>
    <w:rsid w:val="08844B95"/>
    <w:rsid w:val="0887630D"/>
    <w:rsid w:val="08880F22"/>
    <w:rsid w:val="088B1DB2"/>
    <w:rsid w:val="08923A7C"/>
    <w:rsid w:val="08955AD1"/>
    <w:rsid w:val="089641DE"/>
    <w:rsid w:val="089D64FB"/>
    <w:rsid w:val="08A067CF"/>
    <w:rsid w:val="08A30C8C"/>
    <w:rsid w:val="08A600B8"/>
    <w:rsid w:val="08A77AF0"/>
    <w:rsid w:val="08AB0F8D"/>
    <w:rsid w:val="08AC7AC0"/>
    <w:rsid w:val="08AF1CC7"/>
    <w:rsid w:val="08B6091A"/>
    <w:rsid w:val="08BB45BC"/>
    <w:rsid w:val="08BE532B"/>
    <w:rsid w:val="08BE7C80"/>
    <w:rsid w:val="08BF371D"/>
    <w:rsid w:val="08C07AD4"/>
    <w:rsid w:val="08C81750"/>
    <w:rsid w:val="08CA5743"/>
    <w:rsid w:val="08CC67C9"/>
    <w:rsid w:val="08CD76D7"/>
    <w:rsid w:val="08CF7DC7"/>
    <w:rsid w:val="08D102DF"/>
    <w:rsid w:val="08D31906"/>
    <w:rsid w:val="08D71636"/>
    <w:rsid w:val="08D71D8F"/>
    <w:rsid w:val="08DA7138"/>
    <w:rsid w:val="08DE3E81"/>
    <w:rsid w:val="08DF4E3D"/>
    <w:rsid w:val="08DF6F7E"/>
    <w:rsid w:val="08E05FDB"/>
    <w:rsid w:val="08E25413"/>
    <w:rsid w:val="08E27D9B"/>
    <w:rsid w:val="08E65E7D"/>
    <w:rsid w:val="08E7248B"/>
    <w:rsid w:val="08E86C18"/>
    <w:rsid w:val="08EE6D30"/>
    <w:rsid w:val="08F25EE3"/>
    <w:rsid w:val="08F743CF"/>
    <w:rsid w:val="08F91AB3"/>
    <w:rsid w:val="08FC5947"/>
    <w:rsid w:val="08FF54D2"/>
    <w:rsid w:val="090331E8"/>
    <w:rsid w:val="09167768"/>
    <w:rsid w:val="0916780C"/>
    <w:rsid w:val="091709C3"/>
    <w:rsid w:val="091738A8"/>
    <w:rsid w:val="091A5D5A"/>
    <w:rsid w:val="091B21A8"/>
    <w:rsid w:val="091E4A6C"/>
    <w:rsid w:val="091E505F"/>
    <w:rsid w:val="091E738F"/>
    <w:rsid w:val="091F1C84"/>
    <w:rsid w:val="09216B15"/>
    <w:rsid w:val="09225861"/>
    <w:rsid w:val="0922603A"/>
    <w:rsid w:val="09244154"/>
    <w:rsid w:val="092A1BCA"/>
    <w:rsid w:val="092C7BA4"/>
    <w:rsid w:val="092E4A26"/>
    <w:rsid w:val="092F29BE"/>
    <w:rsid w:val="09330FF9"/>
    <w:rsid w:val="093566E7"/>
    <w:rsid w:val="093A260D"/>
    <w:rsid w:val="093B0A11"/>
    <w:rsid w:val="093B54D5"/>
    <w:rsid w:val="093E0EF9"/>
    <w:rsid w:val="093E246B"/>
    <w:rsid w:val="093E7495"/>
    <w:rsid w:val="094108C9"/>
    <w:rsid w:val="09425B3E"/>
    <w:rsid w:val="094966CD"/>
    <w:rsid w:val="094A3893"/>
    <w:rsid w:val="094E6366"/>
    <w:rsid w:val="094F366F"/>
    <w:rsid w:val="09503A46"/>
    <w:rsid w:val="09526223"/>
    <w:rsid w:val="09544483"/>
    <w:rsid w:val="09547097"/>
    <w:rsid w:val="095D4A5B"/>
    <w:rsid w:val="0961286F"/>
    <w:rsid w:val="09630C45"/>
    <w:rsid w:val="09634350"/>
    <w:rsid w:val="096412DC"/>
    <w:rsid w:val="096A705A"/>
    <w:rsid w:val="096B4B00"/>
    <w:rsid w:val="097257A1"/>
    <w:rsid w:val="09743821"/>
    <w:rsid w:val="097C0598"/>
    <w:rsid w:val="097E0986"/>
    <w:rsid w:val="09813405"/>
    <w:rsid w:val="098339A1"/>
    <w:rsid w:val="098506DE"/>
    <w:rsid w:val="098720DC"/>
    <w:rsid w:val="0988545C"/>
    <w:rsid w:val="09906EF8"/>
    <w:rsid w:val="09915DBE"/>
    <w:rsid w:val="099323C1"/>
    <w:rsid w:val="099D53DD"/>
    <w:rsid w:val="099D7DAE"/>
    <w:rsid w:val="09A127E2"/>
    <w:rsid w:val="09A25340"/>
    <w:rsid w:val="09A45050"/>
    <w:rsid w:val="09A65E69"/>
    <w:rsid w:val="09A76FEA"/>
    <w:rsid w:val="09A84ADB"/>
    <w:rsid w:val="09A84B40"/>
    <w:rsid w:val="09A969B5"/>
    <w:rsid w:val="09AB7B5C"/>
    <w:rsid w:val="09AC0966"/>
    <w:rsid w:val="09AC25D1"/>
    <w:rsid w:val="09AE3BD1"/>
    <w:rsid w:val="09AF2690"/>
    <w:rsid w:val="09B31EA5"/>
    <w:rsid w:val="09B36A2D"/>
    <w:rsid w:val="09B374A6"/>
    <w:rsid w:val="09B54E75"/>
    <w:rsid w:val="09B5744E"/>
    <w:rsid w:val="09B66B36"/>
    <w:rsid w:val="09B835E3"/>
    <w:rsid w:val="09C0660B"/>
    <w:rsid w:val="09C20666"/>
    <w:rsid w:val="09C34736"/>
    <w:rsid w:val="09C41CDB"/>
    <w:rsid w:val="09C77F9B"/>
    <w:rsid w:val="09C80320"/>
    <w:rsid w:val="09C83EC3"/>
    <w:rsid w:val="09CA2D09"/>
    <w:rsid w:val="09CB4329"/>
    <w:rsid w:val="09D12279"/>
    <w:rsid w:val="09D81A7D"/>
    <w:rsid w:val="09D84825"/>
    <w:rsid w:val="09DD126B"/>
    <w:rsid w:val="09DD3DA2"/>
    <w:rsid w:val="09E16878"/>
    <w:rsid w:val="09E340D9"/>
    <w:rsid w:val="09E50062"/>
    <w:rsid w:val="09E53166"/>
    <w:rsid w:val="09E772A6"/>
    <w:rsid w:val="09F0213D"/>
    <w:rsid w:val="09F047BF"/>
    <w:rsid w:val="09F25BE4"/>
    <w:rsid w:val="09F45BBF"/>
    <w:rsid w:val="09F47173"/>
    <w:rsid w:val="09F53B08"/>
    <w:rsid w:val="09F64E6B"/>
    <w:rsid w:val="09F74DBC"/>
    <w:rsid w:val="09F75895"/>
    <w:rsid w:val="09FA0FF5"/>
    <w:rsid w:val="09FF5D63"/>
    <w:rsid w:val="0A0055A3"/>
    <w:rsid w:val="0A03356F"/>
    <w:rsid w:val="0A0642D1"/>
    <w:rsid w:val="0A0C7052"/>
    <w:rsid w:val="0A0E2AA4"/>
    <w:rsid w:val="0A106179"/>
    <w:rsid w:val="0A13672B"/>
    <w:rsid w:val="0A182626"/>
    <w:rsid w:val="0A184B4C"/>
    <w:rsid w:val="0A186EBD"/>
    <w:rsid w:val="0A192461"/>
    <w:rsid w:val="0A194B69"/>
    <w:rsid w:val="0A1D3C7D"/>
    <w:rsid w:val="0A1D6E00"/>
    <w:rsid w:val="0A1F0101"/>
    <w:rsid w:val="0A267A65"/>
    <w:rsid w:val="0A2B10CA"/>
    <w:rsid w:val="0A2B783A"/>
    <w:rsid w:val="0A2C57AA"/>
    <w:rsid w:val="0A2D3D2D"/>
    <w:rsid w:val="0A33675E"/>
    <w:rsid w:val="0A3665BB"/>
    <w:rsid w:val="0A3B55B1"/>
    <w:rsid w:val="0A3D5C6E"/>
    <w:rsid w:val="0A3E3F41"/>
    <w:rsid w:val="0A3E4117"/>
    <w:rsid w:val="0A3F0320"/>
    <w:rsid w:val="0A3F4106"/>
    <w:rsid w:val="0A416929"/>
    <w:rsid w:val="0A4349A2"/>
    <w:rsid w:val="0A4446FF"/>
    <w:rsid w:val="0A4627D8"/>
    <w:rsid w:val="0A482B74"/>
    <w:rsid w:val="0A49321C"/>
    <w:rsid w:val="0A4B7F14"/>
    <w:rsid w:val="0A4C6CBF"/>
    <w:rsid w:val="0A4D69DD"/>
    <w:rsid w:val="0A510807"/>
    <w:rsid w:val="0A525860"/>
    <w:rsid w:val="0A554FC7"/>
    <w:rsid w:val="0A573B81"/>
    <w:rsid w:val="0A596B2B"/>
    <w:rsid w:val="0A5C1C27"/>
    <w:rsid w:val="0A5C1C5E"/>
    <w:rsid w:val="0A5C7A96"/>
    <w:rsid w:val="0A5F61F4"/>
    <w:rsid w:val="0A604C0E"/>
    <w:rsid w:val="0A624EE4"/>
    <w:rsid w:val="0A6511BC"/>
    <w:rsid w:val="0A6C7945"/>
    <w:rsid w:val="0A7619D8"/>
    <w:rsid w:val="0A77245B"/>
    <w:rsid w:val="0A7A38CD"/>
    <w:rsid w:val="0A802A4C"/>
    <w:rsid w:val="0A8353B3"/>
    <w:rsid w:val="0A855E52"/>
    <w:rsid w:val="0A884069"/>
    <w:rsid w:val="0A895614"/>
    <w:rsid w:val="0A8B7E6C"/>
    <w:rsid w:val="0A944746"/>
    <w:rsid w:val="0A975063"/>
    <w:rsid w:val="0A9763CB"/>
    <w:rsid w:val="0A993FFD"/>
    <w:rsid w:val="0A9A2A54"/>
    <w:rsid w:val="0A9C3C2B"/>
    <w:rsid w:val="0A9E5FDC"/>
    <w:rsid w:val="0A9F4A0F"/>
    <w:rsid w:val="0AA238AC"/>
    <w:rsid w:val="0AA408F6"/>
    <w:rsid w:val="0AA4505E"/>
    <w:rsid w:val="0AA60167"/>
    <w:rsid w:val="0AA71CE8"/>
    <w:rsid w:val="0AA76F49"/>
    <w:rsid w:val="0AA86904"/>
    <w:rsid w:val="0AAA5618"/>
    <w:rsid w:val="0AB10DE5"/>
    <w:rsid w:val="0AB154B4"/>
    <w:rsid w:val="0AB419D2"/>
    <w:rsid w:val="0AB85910"/>
    <w:rsid w:val="0AC047C8"/>
    <w:rsid w:val="0AC568B2"/>
    <w:rsid w:val="0AC823D3"/>
    <w:rsid w:val="0AC90476"/>
    <w:rsid w:val="0ACA3253"/>
    <w:rsid w:val="0ACB7EE0"/>
    <w:rsid w:val="0ACC0D88"/>
    <w:rsid w:val="0ACC14AF"/>
    <w:rsid w:val="0ACE060A"/>
    <w:rsid w:val="0AD1453D"/>
    <w:rsid w:val="0AD1527D"/>
    <w:rsid w:val="0AD4197E"/>
    <w:rsid w:val="0AD8634B"/>
    <w:rsid w:val="0ADD6AE9"/>
    <w:rsid w:val="0ADE0470"/>
    <w:rsid w:val="0ADE1EB6"/>
    <w:rsid w:val="0AE06A9F"/>
    <w:rsid w:val="0AE06DB4"/>
    <w:rsid w:val="0AE37473"/>
    <w:rsid w:val="0AE37862"/>
    <w:rsid w:val="0AE447F4"/>
    <w:rsid w:val="0AE57BFB"/>
    <w:rsid w:val="0AE66F26"/>
    <w:rsid w:val="0AE7766A"/>
    <w:rsid w:val="0AE94A2B"/>
    <w:rsid w:val="0AEA179D"/>
    <w:rsid w:val="0AEA5DC3"/>
    <w:rsid w:val="0AED2A2E"/>
    <w:rsid w:val="0AF0679F"/>
    <w:rsid w:val="0AF5772E"/>
    <w:rsid w:val="0AF6476E"/>
    <w:rsid w:val="0AF64C83"/>
    <w:rsid w:val="0AF74EBA"/>
    <w:rsid w:val="0AFA0084"/>
    <w:rsid w:val="0AFC15E8"/>
    <w:rsid w:val="0AFD0E86"/>
    <w:rsid w:val="0AFD0EBC"/>
    <w:rsid w:val="0AFD5923"/>
    <w:rsid w:val="0AFF2194"/>
    <w:rsid w:val="0B021291"/>
    <w:rsid w:val="0B042635"/>
    <w:rsid w:val="0B052264"/>
    <w:rsid w:val="0B073FC6"/>
    <w:rsid w:val="0B0862D7"/>
    <w:rsid w:val="0B0A725B"/>
    <w:rsid w:val="0B0B3C2E"/>
    <w:rsid w:val="0B113070"/>
    <w:rsid w:val="0B113614"/>
    <w:rsid w:val="0B16594F"/>
    <w:rsid w:val="0B180DE0"/>
    <w:rsid w:val="0B222B74"/>
    <w:rsid w:val="0B244435"/>
    <w:rsid w:val="0B2724F4"/>
    <w:rsid w:val="0B276735"/>
    <w:rsid w:val="0B293A5F"/>
    <w:rsid w:val="0B2B3E11"/>
    <w:rsid w:val="0B2F146B"/>
    <w:rsid w:val="0B3226E4"/>
    <w:rsid w:val="0B334E96"/>
    <w:rsid w:val="0B347187"/>
    <w:rsid w:val="0B363435"/>
    <w:rsid w:val="0B390FD1"/>
    <w:rsid w:val="0B3A2B45"/>
    <w:rsid w:val="0B3E2CD4"/>
    <w:rsid w:val="0B42190E"/>
    <w:rsid w:val="0B453E55"/>
    <w:rsid w:val="0B456771"/>
    <w:rsid w:val="0B493381"/>
    <w:rsid w:val="0B4B60CB"/>
    <w:rsid w:val="0B4D2FAD"/>
    <w:rsid w:val="0B5144D9"/>
    <w:rsid w:val="0B5331D2"/>
    <w:rsid w:val="0B5460D3"/>
    <w:rsid w:val="0B596620"/>
    <w:rsid w:val="0B5B3488"/>
    <w:rsid w:val="0B61144B"/>
    <w:rsid w:val="0B63212D"/>
    <w:rsid w:val="0B6872D2"/>
    <w:rsid w:val="0B6B1B52"/>
    <w:rsid w:val="0B704D16"/>
    <w:rsid w:val="0B70650F"/>
    <w:rsid w:val="0B745E20"/>
    <w:rsid w:val="0B752591"/>
    <w:rsid w:val="0B773B21"/>
    <w:rsid w:val="0B785985"/>
    <w:rsid w:val="0B7D6F7F"/>
    <w:rsid w:val="0B7E1CEA"/>
    <w:rsid w:val="0B847420"/>
    <w:rsid w:val="0B860D26"/>
    <w:rsid w:val="0B880F85"/>
    <w:rsid w:val="0B8A6586"/>
    <w:rsid w:val="0B8D1BD9"/>
    <w:rsid w:val="0B9270E1"/>
    <w:rsid w:val="0B9918D6"/>
    <w:rsid w:val="0B9F4790"/>
    <w:rsid w:val="0BA02F9C"/>
    <w:rsid w:val="0BA5707B"/>
    <w:rsid w:val="0BA71F41"/>
    <w:rsid w:val="0BA9414E"/>
    <w:rsid w:val="0BAF42EC"/>
    <w:rsid w:val="0BB27EF8"/>
    <w:rsid w:val="0BBD11F7"/>
    <w:rsid w:val="0BBF5294"/>
    <w:rsid w:val="0BCA3A2C"/>
    <w:rsid w:val="0BCB3D8E"/>
    <w:rsid w:val="0BCB3E77"/>
    <w:rsid w:val="0BCD3A99"/>
    <w:rsid w:val="0BD073AF"/>
    <w:rsid w:val="0BD20F5E"/>
    <w:rsid w:val="0BD51E39"/>
    <w:rsid w:val="0BD64266"/>
    <w:rsid w:val="0BDA792C"/>
    <w:rsid w:val="0BDB0AFA"/>
    <w:rsid w:val="0BDB5E63"/>
    <w:rsid w:val="0BDE6F3F"/>
    <w:rsid w:val="0BE55FD0"/>
    <w:rsid w:val="0BE96744"/>
    <w:rsid w:val="0BEF007D"/>
    <w:rsid w:val="0BF13B6C"/>
    <w:rsid w:val="0BF549A2"/>
    <w:rsid w:val="0BF6746D"/>
    <w:rsid w:val="0BF93E28"/>
    <w:rsid w:val="0BFB11E2"/>
    <w:rsid w:val="0BFE1180"/>
    <w:rsid w:val="0C001CE2"/>
    <w:rsid w:val="0C04403E"/>
    <w:rsid w:val="0C071FA0"/>
    <w:rsid w:val="0C0914BB"/>
    <w:rsid w:val="0C104C02"/>
    <w:rsid w:val="0C13425C"/>
    <w:rsid w:val="0C191024"/>
    <w:rsid w:val="0C1B78EB"/>
    <w:rsid w:val="0C1F3D70"/>
    <w:rsid w:val="0C220706"/>
    <w:rsid w:val="0C2D4747"/>
    <w:rsid w:val="0C2D757F"/>
    <w:rsid w:val="0C2F32F7"/>
    <w:rsid w:val="0C324F43"/>
    <w:rsid w:val="0C34090D"/>
    <w:rsid w:val="0C352B5E"/>
    <w:rsid w:val="0C353F67"/>
    <w:rsid w:val="0C355B66"/>
    <w:rsid w:val="0C366352"/>
    <w:rsid w:val="0C367BC9"/>
    <w:rsid w:val="0C3A58B1"/>
    <w:rsid w:val="0C3B34BE"/>
    <w:rsid w:val="0C3D21D5"/>
    <w:rsid w:val="0C3E1134"/>
    <w:rsid w:val="0C3F42BF"/>
    <w:rsid w:val="0C4312F6"/>
    <w:rsid w:val="0C482C87"/>
    <w:rsid w:val="0C4F0F58"/>
    <w:rsid w:val="0C5058CA"/>
    <w:rsid w:val="0C5325BC"/>
    <w:rsid w:val="0C56530B"/>
    <w:rsid w:val="0C5725F9"/>
    <w:rsid w:val="0C582CA9"/>
    <w:rsid w:val="0C597A1C"/>
    <w:rsid w:val="0C5E2A32"/>
    <w:rsid w:val="0C6048CD"/>
    <w:rsid w:val="0C613435"/>
    <w:rsid w:val="0C6172CA"/>
    <w:rsid w:val="0C617DBB"/>
    <w:rsid w:val="0C6246F1"/>
    <w:rsid w:val="0C6252D3"/>
    <w:rsid w:val="0C641ABA"/>
    <w:rsid w:val="0C652BAE"/>
    <w:rsid w:val="0C697AF9"/>
    <w:rsid w:val="0C710474"/>
    <w:rsid w:val="0C730FE8"/>
    <w:rsid w:val="0C7474E6"/>
    <w:rsid w:val="0C7F1B0D"/>
    <w:rsid w:val="0C855043"/>
    <w:rsid w:val="0C8C0368"/>
    <w:rsid w:val="0C8C269F"/>
    <w:rsid w:val="0C8E6F0A"/>
    <w:rsid w:val="0C911274"/>
    <w:rsid w:val="0C924F76"/>
    <w:rsid w:val="0C98752C"/>
    <w:rsid w:val="0C9C7780"/>
    <w:rsid w:val="0C9E7FE6"/>
    <w:rsid w:val="0C9F524D"/>
    <w:rsid w:val="0CA045B9"/>
    <w:rsid w:val="0CA24058"/>
    <w:rsid w:val="0CA36703"/>
    <w:rsid w:val="0CA3720F"/>
    <w:rsid w:val="0CA414BD"/>
    <w:rsid w:val="0CA815B5"/>
    <w:rsid w:val="0CA86C27"/>
    <w:rsid w:val="0CAD237C"/>
    <w:rsid w:val="0CAD76BD"/>
    <w:rsid w:val="0CAF268A"/>
    <w:rsid w:val="0CB02FBC"/>
    <w:rsid w:val="0CB45E28"/>
    <w:rsid w:val="0CB61D0F"/>
    <w:rsid w:val="0CB840A3"/>
    <w:rsid w:val="0CB840C1"/>
    <w:rsid w:val="0CBC084D"/>
    <w:rsid w:val="0CBD628D"/>
    <w:rsid w:val="0CBE3597"/>
    <w:rsid w:val="0CBF46F8"/>
    <w:rsid w:val="0CC13BA7"/>
    <w:rsid w:val="0CC165B1"/>
    <w:rsid w:val="0CC32118"/>
    <w:rsid w:val="0CC876EA"/>
    <w:rsid w:val="0CC92FBD"/>
    <w:rsid w:val="0CC97183"/>
    <w:rsid w:val="0CD345CA"/>
    <w:rsid w:val="0CD977A1"/>
    <w:rsid w:val="0CE264EF"/>
    <w:rsid w:val="0CE433E1"/>
    <w:rsid w:val="0CE53290"/>
    <w:rsid w:val="0CE57925"/>
    <w:rsid w:val="0CEA5836"/>
    <w:rsid w:val="0CEB697B"/>
    <w:rsid w:val="0CEE3C27"/>
    <w:rsid w:val="0CEE43CA"/>
    <w:rsid w:val="0CEF7C95"/>
    <w:rsid w:val="0CF21A1A"/>
    <w:rsid w:val="0CF54541"/>
    <w:rsid w:val="0CF72B6F"/>
    <w:rsid w:val="0CFF743F"/>
    <w:rsid w:val="0D0502D2"/>
    <w:rsid w:val="0D070638"/>
    <w:rsid w:val="0D0B6ABF"/>
    <w:rsid w:val="0D0E6FFD"/>
    <w:rsid w:val="0D0F1529"/>
    <w:rsid w:val="0D0F6666"/>
    <w:rsid w:val="0D112290"/>
    <w:rsid w:val="0D1152A5"/>
    <w:rsid w:val="0D133DCE"/>
    <w:rsid w:val="0D1418BD"/>
    <w:rsid w:val="0D197B03"/>
    <w:rsid w:val="0D1A266E"/>
    <w:rsid w:val="0D1A4843"/>
    <w:rsid w:val="0D1A56B1"/>
    <w:rsid w:val="0D1A7A48"/>
    <w:rsid w:val="0D266A5F"/>
    <w:rsid w:val="0D272D6F"/>
    <w:rsid w:val="0D2B35D9"/>
    <w:rsid w:val="0D2B65E4"/>
    <w:rsid w:val="0D2C6016"/>
    <w:rsid w:val="0D2E17CA"/>
    <w:rsid w:val="0D311F15"/>
    <w:rsid w:val="0D3247FD"/>
    <w:rsid w:val="0D341C43"/>
    <w:rsid w:val="0D3A450F"/>
    <w:rsid w:val="0D3C78C4"/>
    <w:rsid w:val="0D3E3D60"/>
    <w:rsid w:val="0D42051C"/>
    <w:rsid w:val="0D427413"/>
    <w:rsid w:val="0D4B08D3"/>
    <w:rsid w:val="0D4E7887"/>
    <w:rsid w:val="0D4F1B39"/>
    <w:rsid w:val="0D4F7269"/>
    <w:rsid w:val="0D52428D"/>
    <w:rsid w:val="0D526440"/>
    <w:rsid w:val="0D5947FB"/>
    <w:rsid w:val="0D5E2B8D"/>
    <w:rsid w:val="0D616DFC"/>
    <w:rsid w:val="0D646FD0"/>
    <w:rsid w:val="0D674771"/>
    <w:rsid w:val="0D6A50E3"/>
    <w:rsid w:val="0D6B5955"/>
    <w:rsid w:val="0D6D467B"/>
    <w:rsid w:val="0D703CE2"/>
    <w:rsid w:val="0D7840A1"/>
    <w:rsid w:val="0D7860B5"/>
    <w:rsid w:val="0D804059"/>
    <w:rsid w:val="0D837C87"/>
    <w:rsid w:val="0D8525B7"/>
    <w:rsid w:val="0D853FDD"/>
    <w:rsid w:val="0D880C95"/>
    <w:rsid w:val="0D881039"/>
    <w:rsid w:val="0D885D2E"/>
    <w:rsid w:val="0D8B4C3D"/>
    <w:rsid w:val="0D935B07"/>
    <w:rsid w:val="0D9C6D34"/>
    <w:rsid w:val="0D9F2066"/>
    <w:rsid w:val="0D9F26FE"/>
    <w:rsid w:val="0DA442E1"/>
    <w:rsid w:val="0DAB0D20"/>
    <w:rsid w:val="0DAD7B36"/>
    <w:rsid w:val="0DAE151C"/>
    <w:rsid w:val="0DAE5774"/>
    <w:rsid w:val="0DAF7371"/>
    <w:rsid w:val="0DB05C0C"/>
    <w:rsid w:val="0DBB3F21"/>
    <w:rsid w:val="0DBE5B77"/>
    <w:rsid w:val="0DC01675"/>
    <w:rsid w:val="0DC109A5"/>
    <w:rsid w:val="0DC24AA8"/>
    <w:rsid w:val="0DC52D99"/>
    <w:rsid w:val="0DC75DDC"/>
    <w:rsid w:val="0DCA3C59"/>
    <w:rsid w:val="0DCC0A78"/>
    <w:rsid w:val="0DCC755F"/>
    <w:rsid w:val="0DD34C14"/>
    <w:rsid w:val="0DD45041"/>
    <w:rsid w:val="0DD813FE"/>
    <w:rsid w:val="0DE13D73"/>
    <w:rsid w:val="0DE23598"/>
    <w:rsid w:val="0DE262D9"/>
    <w:rsid w:val="0DE70B64"/>
    <w:rsid w:val="0DE86186"/>
    <w:rsid w:val="0DE90425"/>
    <w:rsid w:val="0DEA0AC9"/>
    <w:rsid w:val="0DEB184B"/>
    <w:rsid w:val="0DF30354"/>
    <w:rsid w:val="0DF64C01"/>
    <w:rsid w:val="0DF80A24"/>
    <w:rsid w:val="0DF92A22"/>
    <w:rsid w:val="0DF93BD3"/>
    <w:rsid w:val="0DFB1642"/>
    <w:rsid w:val="0DFD7425"/>
    <w:rsid w:val="0DFE4B24"/>
    <w:rsid w:val="0DFF45C6"/>
    <w:rsid w:val="0E06783A"/>
    <w:rsid w:val="0E090471"/>
    <w:rsid w:val="0E09349C"/>
    <w:rsid w:val="0E0969C2"/>
    <w:rsid w:val="0E0A22D2"/>
    <w:rsid w:val="0E0B1EBB"/>
    <w:rsid w:val="0E0C595B"/>
    <w:rsid w:val="0E0E4100"/>
    <w:rsid w:val="0E166453"/>
    <w:rsid w:val="0E170445"/>
    <w:rsid w:val="0E1B158D"/>
    <w:rsid w:val="0E1D2E39"/>
    <w:rsid w:val="0E201B4B"/>
    <w:rsid w:val="0E210EEB"/>
    <w:rsid w:val="0E230461"/>
    <w:rsid w:val="0E2326F6"/>
    <w:rsid w:val="0E253D79"/>
    <w:rsid w:val="0E260997"/>
    <w:rsid w:val="0E2906CD"/>
    <w:rsid w:val="0E2B1FF7"/>
    <w:rsid w:val="0E2E0176"/>
    <w:rsid w:val="0E2E5AE8"/>
    <w:rsid w:val="0E303E9A"/>
    <w:rsid w:val="0E316ACA"/>
    <w:rsid w:val="0E340B36"/>
    <w:rsid w:val="0E3A0FCA"/>
    <w:rsid w:val="0E3A56BB"/>
    <w:rsid w:val="0E3F30B1"/>
    <w:rsid w:val="0E4052D8"/>
    <w:rsid w:val="0E4211DF"/>
    <w:rsid w:val="0E430BBB"/>
    <w:rsid w:val="0E48359F"/>
    <w:rsid w:val="0E4B7A0D"/>
    <w:rsid w:val="0E4F5FD6"/>
    <w:rsid w:val="0E5004F1"/>
    <w:rsid w:val="0E5209AC"/>
    <w:rsid w:val="0E524421"/>
    <w:rsid w:val="0E551048"/>
    <w:rsid w:val="0E55390F"/>
    <w:rsid w:val="0E576DC1"/>
    <w:rsid w:val="0E5A3966"/>
    <w:rsid w:val="0E5D7EF6"/>
    <w:rsid w:val="0E6567FC"/>
    <w:rsid w:val="0E66768C"/>
    <w:rsid w:val="0E672D1E"/>
    <w:rsid w:val="0E6F41D1"/>
    <w:rsid w:val="0E722825"/>
    <w:rsid w:val="0E7411AD"/>
    <w:rsid w:val="0E7A141D"/>
    <w:rsid w:val="0E7B0A75"/>
    <w:rsid w:val="0E8268D9"/>
    <w:rsid w:val="0E8807AB"/>
    <w:rsid w:val="0E89074D"/>
    <w:rsid w:val="0E8E64BB"/>
    <w:rsid w:val="0E8F19A8"/>
    <w:rsid w:val="0E91017B"/>
    <w:rsid w:val="0E9366C7"/>
    <w:rsid w:val="0E993E06"/>
    <w:rsid w:val="0E9D4241"/>
    <w:rsid w:val="0E9D46AA"/>
    <w:rsid w:val="0EA45BB1"/>
    <w:rsid w:val="0EA55AF2"/>
    <w:rsid w:val="0EAC24F8"/>
    <w:rsid w:val="0EAC3CBA"/>
    <w:rsid w:val="0EAD2BF9"/>
    <w:rsid w:val="0EB05467"/>
    <w:rsid w:val="0EB12885"/>
    <w:rsid w:val="0EBB0AF5"/>
    <w:rsid w:val="0EBF271A"/>
    <w:rsid w:val="0EC511EB"/>
    <w:rsid w:val="0EC90709"/>
    <w:rsid w:val="0ECA37AB"/>
    <w:rsid w:val="0ECB5C77"/>
    <w:rsid w:val="0ECC5050"/>
    <w:rsid w:val="0ED1675C"/>
    <w:rsid w:val="0ED30604"/>
    <w:rsid w:val="0ED7001D"/>
    <w:rsid w:val="0ED75053"/>
    <w:rsid w:val="0ED803F2"/>
    <w:rsid w:val="0EDB2ED3"/>
    <w:rsid w:val="0EDB66E1"/>
    <w:rsid w:val="0EDD359D"/>
    <w:rsid w:val="0EE515B1"/>
    <w:rsid w:val="0EED0D51"/>
    <w:rsid w:val="0EEF3055"/>
    <w:rsid w:val="0EFD199E"/>
    <w:rsid w:val="0F016DD8"/>
    <w:rsid w:val="0F0733DE"/>
    <w:rsid w:val="0F0821D4"/>
    <w:rsid w:val="0F083500"/>
    <w:rsid w:val="0F0C3D29"/>
    <w:rsid w:val="0F0D56D8"/>
    <w:rsid w:val="0F131D50"/>
    <w:rsid w:val="0F144DA6"/>
    <w:rsid w:val="0F14552D"/>
    <w:rsid w:val="0F150361"/>
    <w:rsid w:val="0F164A30"/>
    <w:rsid w:val="0F1829AB"/>
    <w:rsid w:val="0F197AFE"/>
    <w:rsid w:val="0F1A7BDE"/>
    <w:rsid w:val="0F1B7B63"/>
    <w:rsid w:val="0F1C09E0"/>
    <w:rsid w:val="0F1F287A"/>
    <w:rsid w:val="0F1F6607"/>
    <w:rsid w:val="0F20786F"/>
    <w:rsid w:val="0F2703DF"/>
    <w:rsid w:val="0F27150D"/>
    <w:rsid w:val="0F296C83"/>
    <w:rsid w:val="0F2A070A"/>
    <w:rsid w:val="0F2A42B1"/>
    <w:rsid w:val="0F2A6255"/>
    <w:rsid w:val="0F2F2EC8"/>
    <w:rsid w:val="0F2F581E"/>
    <w:rsid w:val="0F315312"/>
    <w:rsid w:val="0F330E63"/>
    <w:rsid w:val="0F331A75"/>
    <w:rsid w:val="0F375B94"/>
    <w:rsid w:val="0F381C1E"/>
    <w:rsid w:val="0F3A32D1"/>
    <w:rsid w:val="0F3B634D"/>
    <w:rsid w:val="0F3C36DB"/>
    <w:rsid w:val="0F3C74CA"/>
    <w:rsid w:val="0F4148DB"/>
    <w:rsid w:val="0F426631"/>
    <w:rsid w:val="0F435FFE"/>
    <w:rsid w:val="0F47692B"/>
    <w:rsid w:val="0F491DA8"/>
    <w:rsid w:val="0F4D70AC"/>
    <w:rsid w:val="0F4F2EF5"/>
    <w:rsid w:val="0F56697E"/>
    <w:rsid w:val="0F58737D"/>
    <w:rsid w:val="0F594A81"/>
    <w:rsid w:val="0F5A67CC"/>
    <w:rsid w:val="0F5B3083"/>
    <w:rsid w:val="0F5F50D5"/>
    <w:rsid w:val="0F5F5DCC"/>
    <w:rsid w:val="0F60110D"/>
    <w:rsid w:val="0F603B6A"/>
    <w:rsid w:val="0F625791"/>
    <w:rsid w:val="0F63756F"/>
    <w:rsid w:val="0F6A2D2A"/>
    <w:rsid w:val="0F6C1D02"/>
    <w:rsid w:val="0F6F718A"/>
    <w:rsid w:val="0F7046F1"/>
    <w:rsid w:val="0F745074"/>
    <w:rsid w:val="0F777EF4"/>
    <w:rsid w:val="0F79262D"/>
    <w:rsid w:val="0F8262D7"/>
    <w:rsid w:val="0F832005"/>
    <w:rsid w:val="0F8324D3"/>
    <w:rsid w:val="0F87169C"/>
    <w:rsid w:val="0F890791"/>
    <w:rsid w:val="0F8A3038"/>
    <w:rsid w:val="0F8A5104"/>
    <w:rsid w:val="0F930A76"/>
    <w:rsid w:val="0F9747AB"/>
    <w:rsid w:val="0F983EE4"/>
    <w:rsid w:val="0F9D7B53"/>
    <w:rsid w:val="0F9F0794"/>
    <w:rsid w:val="0FA22BC7"/>
    <w:rsid w:val="0FA5389B"/>
    <w:rsid w:val="0FA73EFD"/>
    <w:rsid w:val="0FAB0269"/>
    <w:rsid w:val="0FB12C35"/>
    <w:rsid w:val="0FB433FC"/>
    <w:rsid w:val="0FB820C5"/>
    <w:rsid w:val="0FBA7FD3"/>
    <w:rsid w:val="0FBB6FD9"/>
    <w:rsid w:val="0FBF1DDE"/>
    <w:rsid w:val="0FC007BB"/>
    <w:rsid w:val="0FC8294D"/>
    <w:rsid w:val="0FC90C06"/>
    <w:rsid w:val="0FCB7E39"/>
    <w:rsid w:val="0FD00F89"/>
    <w:rsid w:val="0FD30027"/>
    <w:rsid w:val="0FD8695E"/>
    <w:rsid w:val="0FDC0FB6"/>
    <w:rsid w:val="0FDD52AD"/>
    <w:rsid w:val="0FE9411C"/>
    <w:rsid w:val="0FEB30D8"/>
    <w:rsid w:val="0FEE3D42"/>
    <w:rsid w:val="0FF03D12"/>
    <w:rsid w:val="0FF26B15"/>
    <w:rsid w:val="0FF70DDE"/>
    <w:rsid w:val="0FFF5053"/>
    <w:rsid w:val="10066694"/>
    <w:rsid w:val="10092076"/>
    <w:rsid w:val="100D704E"/>
    <w:rsid w:val="100E0439"/>
    <w:rsid w:val="10191EBC"/>
    <w:rsid w:val="101A3BE9"/>
    <w:rsid w:val="101B059E"/>
    <w:rsid w:val="101C0E48"/>
    <w:rsid w:val="101C2B8B"/>
    <w:rsid w:val="101D7D07"/>
    <w:rsid w:val="101E3DAE"/>
    <w:rsid w:val="10203DCD"/>
    <w:rsid w:val="102176D5"/>
    <w:rsid w:val="10232F27"/>
    <w:rsid w:val="10241056"/>
    <w:rsid w:val="102424FB"/>
    <w:rsid w:val="1027759E"/>
    <w:rsid w:val="102A5DB3"/>
    <w:rsid w:val="102B1B16"/>
    <w:rsid w:val="102B5C1A"/>
    <w:rsid w:val="102D2193"/>
    <w:rsid w:val="102E1B18"/>
    <w:rsid w:val="10300884"/>
    <w:rsid w:val="10397B3B"/>
    <w:rsid w:val="103E6491"/>
    <w:rsid w:val="104372BC"/>
    <w:rsid w:val="10476460"/>
    <w:rsid w:val="1048472F"/>
    <w:rsid w:val="104C0B2D"/>
    <w:rsid w:val="104F7D32"/>
    <w:rsid w:val="10554633"/>
    <w:rsid w:val="10583AC4"/>
    <w:rsid w:val="10590C7F"/>
    <w:rsid w:val="105D286E"/>
    <w:rsid w:val="105D4915"/>
    <w:rsid w:val="106175F9"/>
    <w:rsid w:val="10624387"/>
    <w:rsid w:val="1064310E"/>
    <w:rsid w:val="106663EC"/>
    <w:rsid w:val="1068160F"/>
    <w:rsid w:val="1069677C"/>
    <w:rsid w:val="106A0DA2"/>
    <w:rsid w:val="106E43B7"/>
    <w:rsid w:val="106F63B8"/>
    <w:rsid w:val="1076275A"/>
    <w:rsid w:val="1076673E"/>
    <w:rsid w:val="10771E6A"/>
    <w:rsid w:val="107832ED"/>
    <w:rsid w:val="107C65EA"/>
    <w:rsid w:val="10816276"/>
    <w:rsid w:val="108177EF"/>
    <w:rsid w:val="10835115"/>
    <w:rsid w:val="10836BF5"/>
    <w:rsid w:val="108517A9"/>
    <w:rsid w:val="108A1981"/>
    <w:rsid w:val="108B5EF8"/>
    <w:rsid w:val="108C1B65"/>
    <w:rsid w:val="108D3353"/>
    <w:rsid w:val="108D6304"/>
    <w:rsid w:val="10921F3B"/>
    <w:rsid w:val="10925DE4"/>
    <w:rsid w:val="10930ACC"/>
    <w:rsid w:val="10947CF2"/>
    <w:rsid w:val="10996052"/>
    <w:rsid w:val="109A239F"/>
    <w:rsid w:val="109B7589"/>
    <w:rsid w:val="109C784F"/>
    <w:rsid w:val="109C79BD"/>
    <w:rsid w:val="10A64959"/>
    <w:rsid w:val="10A64C17"/>
    <w:rsid w:val="10A81D75"/>
    <w:rsid w:val="10A96560"/>
    <w:rsid w:val="10B043E9"/>
    <w:rsid w:val="10B15801"/>
    <w:rsid w:val="10B6494E"/>
    <w:rsid w:val="10B64CF0"/>
    <w:rsid w:val="10B822BF"/>
    <w:rsid w:val="10C358AD"/>
    <w:rsid w:val="10CA4802"/>
    <w:rsid w:val="10CB2E6B"/>
    <w:rsid w:val="10D25F76"/>
    <w:rsid w:val="10D3115B"/>
    <w:rsid w:val="10D50142"/>
    <w:rsid w:val="10D63177"/>
    <w:rsid w:val="10D84401"/>
    <w:rsid w:val="10DB60FA"/>
    <w:rsid w:val="10E15560"/>
    <w:rsid w:val="10E1634A"/>
    <w:rsid w:val="10E35AD2"/>
    <w:rsid w:val="10E36AC3"/>
    <w:rsid w:val="10E473F4"/>
    <w:rsid w:val="10E611F7"/>
    <w:rsid w:val="10EB2551"/>
    <w:rsid w:val="10EB5128"/>
    <w:rsid w:val="10ED4667"/>
    <w:rsid w:val="10EE0050"/>
    <w:rsid w:val="10EE1597"/>
    <w:rsid w:val="10F10A25"/>
    <w:rsid w:val="10F377B1"/>
    <w:rsid w:val="10F5208B"/>
    <w:rsid w:val="10FA38CF"/>
    <w:rsid w:val="10FD4EE8"/>
    <w:rsid w:val="11015128"/>
    <w:rsid w:val="110157F9"/>
    <w:rsid w:val="110312E4"/>
    <w:rsid w:val="110944DE"/>
    <w:rsid w:val="110969EB"/>
    <w:rsid w:val="110E686D"/>
    <w:rsid w:val="1112264B"/>
    <w:rsid w:val="111355CE"/>
    <w:rsid w:val="11150096"/>
    <w:rsid w:val="111610E7"/>
    <w:rsid w:val="11190AF5"/>
    <w:rsid w:val="11192775"/>
    <w:rsid w:val="111A58D5"/>
    <w:rsid w:val="111C2FCB"/>
    <w:rsid w:val="112202D3"/>
    <w:rsid w:val="11265692"/>
    <w:rsid w:val="1127048C"/>
    <w:rsid w:val="112752A5"/>
    <w:rsid w:val="112A2A64"/>
    <w:rsid w:val="112A3DDD"/>
    <w:rsid w:val="112B3233"/>
    <w:rsid w:val="112C24FB"/>
    <w:rsid w:val="112F4EBC"/>
    <w:rsid w:val="112F7C7E"/>
    <w:rsid w:val="11324EC4"/>
    <w:rsid w:val="11335080"/>
    <w:rsid w:val="11336E03"/>
    <w:rsid w:val="1135023B"/>
    <w:rsid w:val="113B0990"/>
    <w:rsid w:val="113C3BA0"/>
    <w:rsid w:val="113F5EE3"/>
    <w:rsid w:val="11433A22"/>
    <w:rsid w:val="1144045E"/>
    <w:rsid w:val="11467947"/>
    <w:rsid w:val="11473B0D"/>
    <w:rsid w:val="11474C44"/>
    <w:rsid w:val="11496AC4"/>
    <w:rsid w:val="114B1036"/>
    <w:rsid w:val="114C54EF"/>
    <w:rsid w:val="114C5B25"/>
    <w:rsid w:val="114F11FD"/>
    <w:rsid w:val="11514471"/>
    <w:rsid w:val="115357B4"/>
    <w:rsid w:val="11536AF7"/>
    <w:rsid w:val="11551A52"/>
    <w:rsid w:val="11555B10"/>
    <w:rsid w:val="115854B1"/>
    <w:rsid w:val="1159469D"/>
    <w:rsid w:val="115A500F"/>
    <w:rsid w:val="115B1247"/>
    <w:rsid w:val="115B1E9A"/>
    <w:rsid w:val="115B5ADE"/>
    <w:rsid w:val="115F0910"/>
    <w:rsid w:val="115F1E81"/>
    <w:rsid w:val="115F51E8"/>
    <w:rsid w:val="1160292B"/>
    <w:rsid w:val="1164219C"/>
    <w:rsid w:val="116513EC"/>
    <w:rsid w:val="11653B97"/>
    <w:rsid w:val="11662EB4"/>
    <w:rsid w:val="116B6BB2"/>
    <w:rsid w:val="116C044A"/>
    <w:rsid w:val="116C06A4"/>
    <w:rsid w:val="116C34F0"/>
    <w:rsid w:val="116E3FD1"/>
    <w:rsid w:val="116E5CDD"/>
    <w:rsid w:val="116F3C27"/>
    <w:rsid w:val="11723ED3"/>
    <w:rsid w:val="117F087D"/>
    <w:rsid w:val="118206CB"/>
    <w:rsid w:val="118245D3"/>
    <w:rsid w:val="1189727B"/>
    <w:rsid w:val="118A0CE6"/>
    <w:rsid w:val="118C60F4"/>
    <w:rsid w:val="11915CF7"/>
    <w:rsid w:val="11987977"/>
    <w:rsid w:val="119A05F9"/>
    <w:rsid w:val="119A1153"/>
    <w:rsid w:val="119B36EB"/>
    <w:rsid w:val="119E4D16"/>
    <w:rsid w:val="11A0196C"/>
    <w:rsid w:val="11A45485"/>
    <w:rsid w:val="11A52FB3"/>
    <w:rsid w:val="11A83883"/>
    <w:rsid w:val="11AA5460"/>
    <w:rsid w:val="11AD1538"/>
    <w:rsid w:val="11AF7D40"/>
    <w:rsid w:val="11B130D5"/>
    <w:rsid w:val="11B24375"/>
    <w:rsid w:val="11B42DD1"/>
    <w:rsid w:val="11B47664"/>
    <w:rsid w:val="11B50549"/>
    <w:rsid w:val="11B5721B"/>
    <w:rsid w:val="11B70FC9"/>
    <w:rsid w:val="11B823B9"/>
    <w:rsid w:val="11B82541"/>
    <w:rsid w:val="11B87A85"/>
    <w:rsid w:val="11B9674D"/>
    <w:rsid w:val="11BA1DD9"/>
    <w:rsid w:val="11C0723F"/>
    <w:rsid w:val="11C513C6"/>
    <w:rsid w:val="11C82925"/>
    <w:rsid w:val="11CC4692"/>
    <w:rsid w:val="11CD7AC2"/>
    <w:rsid w:val="11CE02E2"/>
    <w:rsid w:val="11D16C2B"/>
    <w:rsid w:val="11D2123E"/>
    <w:rsid w:val="11D30BC8"/>
    <w:rsid w:val="11D31F2B"/>
    <w:rsid w:val="11D40A8A"/>
    <w:rsid w:val="11D603FE"/>
    <w:rsid w:val="11D65080"/>
    <w:rsid w:val="11DB0C82"/>
    <w:rsid w:val="11DC4BE1"/>
    <w:rsid w:val="11DE3E25"/>
    <w:rsid w:val="11DF5960"/>
    <w:rsid w:val="11E17F46"/>
    <w:rsid w:val="11E55F6E"/>
    <w:rsid w:val="11ED04A1"/>
    <w:rsid w:val="11F2705C"/>
    <w:rsid w:val="11F76665"/>
    <w:rsid w:val="11F937D9"/>
    <w:rsid w:val="11FC4EF3"/>
    <w:rsid w:val="12005BE6"/>
    <w:rsid w:val="12040D82"/>
    <w:rsid w:val="12062EBE"/>
    <w:rsid w:val="120732A2"/>
    <w:rsid w:val="120832E7"/>
    <w:rsid w:val="120C0209"/>
    <w:rsid w:val="121079B0"/>
    <w:rsid w:val="121A6B4C"/>
    <w:rsid w:val="121D7177"/>
    <w:rsid w:val="121E178D"/>
    <w:rsid w:val="121E6185"/>
    <w:rsid w:val="121F1955"/>
    <w:rsid w:val="121F3E0E"/>
    <w:rsid w:val="1221036F"/>
    <w:rsid w:val="1223126C"/>
    <w:rsid w:val="12260CF8"/>
    <w:rsid w:val="122741D7"/>
    <w:rsid w:val="122B425A"/>
    <w:rsid w:val="122B4A2E"/>
    <w:rsid w:val="123358FC"/>
    <w:rsid w:val="12345201"/>
    <w:rsid w:val="12367FCB"/>
    <w:rsid w:val="12382C79"/>
    <w:rsid w:val="123A48F3"/>
    <w:rsid w:val="123B0F4E"/>
    <w:rsid w:val="123C7713"/>
    <w:rsid w:val="123D6294"/>
    <w:rsid w:val="12401626"/>
    <w:rsid w:val="12406FD7"/>
    <w:rsid w:val="124433B1"/>
    <w:rsid w:val="124558B4"/>
    <w:rsid w:val="124B7F3C"/>
    <w:rsid w:val="12500840"/>
    <w:rsid w:val="1255140E"/>
    <w:rsid w:val="125923AC"/>
    <w:rsid w:val="125C18C7"/>
    <w:rsid w:val="125C296C"/>
    <w:rsid w:val="125C7FD7"/>
    <w:rsid w:val="125E58F0"/>
    <w:rsid w:val="126129C2"/>
    <w:rsid w:val="12665098"/>
    <w:rsid w:val="12683A12"/>
    <w:rsid w:val="12686187"/>
    <w:rsid w:val="1269496B"/>
    <w:rsid w:val="126C69C0"/>
    <w:rsid w:val="126E3772"/>
    <w:rsid w:val="1270568E"/>
    <w:rsid w:val="12753927"/>
    <w:rsid w:val="12754072"/>
    <w:rsid w:val="12763742"/>
    <w:rsid w:val="12773960"/>
    <w:rsid w:val="127C557C"/>
    <w:rsid w:val="12827695"/>
    <w:rsid w:val="12851EC5"/>
    <w:rsid w:val="12852EEA"/>
    <w:rsid w:val="1286029B"/>
    <w:rsid w:val="1286242B"/>
    <w:rsid w:val="128B1AAC"/>
    <w:rsid w:val="128B4FFF"/>
    <w:rsid w:val="128F5D4B"/>
    <w:rsid w:val="128F7F8B"/>
    <w:rsid w:val="12932802"/>
    <w:rsid w:val="129A4C68"/>
    <w:rsid w:val="129A73A9"/>
    <w:rsid w:val="129E2FE7"/>
    <w:rsid w:val="129F40F1"/>
    <w:rsid w:val="12A2119D"/>
    <w:rsid w:val="12A243F9"/>
    <w:rsid w:val="12A55E02"/>
    <w:rsid w:val="12B10F0A"/>
    <w:rsid w:val="12B448BF"/>
    <w:rsid w:val="12B66906"/>
    <w:rsid w:val="12B7583E"/>
    <w:rsid w:val="12BC54AB"/>
    <w:rsid w:val="12BE22C2"/>
    <w:rsid w:val="12BE56BD"/>
    <w:rsid w:val="12BF44FB"/>
    <w:rsid w:val="12C118C2"/>
    <w:rsid w:val="12C46F99"/>
    <w:rsid w:val="12C47185"/>
    <w:rsid w:val="12C71DE9"/>
    <w:rsid w:val="12D21C25"/>
    <w:rsid w:val="12D5161F"/>
    <w:rsid w:val="12D839F7"/>
    <w:rsid w:val="12DA26B1"/>
    <w:rsid w:val="12DC1972"/>
    <w:rsid w:val="12DC2123"/>
    <w:rsid w:val="12DE5996"/>
    <w:rsid w:val="12E4282D"/>
    <w:rsid w:val="12E5006F"/>
    <w:rsid w:val="12EA0F15"/>
    <w:rsid w:val="12EC70DB"/>
    <w:rsid w:val="12EE485A"/>
    <w:rsid w:val="12F931A9"/>
    <w:rsid w:val="12FB210C"/>
    <w:rsid w:val="12FF4867"/>
    <w:rsid w:val="13010D3C"/>
    <w:rsid w:val="130152C1"/>
    <w:rsid w:val="1302674E"/>
    <w:rsid w:val="130513AD"/>
    <w:rsid w:val="130617B1"/>
    <w:rsid w:val="13062E42"/>
    <w:rsid w:val="130A6064"/>
    <w:rsid w:val="130A60A9"/>
    <w:rsid w:val="130B0A73"/>
    <w:rsid w:val="130B27E0"/>
    <w:rsid w:val="130B6250"/>
    <w:rsid w:val="130E2210"/>
    <w:rsid w:val="131000A1"/>
    <w:rsid w:val="13147075"/>
    <w:rsid w:val="13165CCB"/>
    <w:rsid w:val="13191B44"/>
    <w:rsid w:val="131A7FB2"/>
    <w:rsid w:val="132224FB"/>
    <w:rsid w:val="13226F4E"/>
    <w:rsid w:val="132339DE"/>
    <w:rsid w:val="13237D00"/>
    <w:rsid w:val="13240A0B"/>
    <w:rsid w:val="132867BA"/>
    <w:rsid w:val="133D6627"/>
    <w:rsid w:val="1341028D"/>
    <w:rsid w:val="134118AE"/>
    <w:rsid w:val="13424A2D"/>
    <w:rsid w:val="1343403F"/>
    <w:rsid w:val="13456F4C"/>
    <w:rsid w:val="1346298B"/>
    <w:rsid w:val="13487BC7"/>
    <w:rsid w:val="135414C5"/>
    <w:rsid w:val="13552D67"/>
    <w:rsid w:val="13555633"/>
    <w:rsid w:val="13563DAD"/>
    <w:rsid w:val="13567904"/>
    <w:rsid w:val="135B0551"/>
    <w:rsid w:val="135B5997"/>
    <w:rsid w:val="1360506C"/>
    <w:rsid w:val="13615AD3"/>
    <w:rsid w:val="136373F0"/>
    <w:rsid w:val="13683DAF"/>
    <w:rsid w:val="136B514F"/>
    <w:rsid w:val="136E4917"/>
    <w:rsid w:val="13710699"/>
    <w:rsid w:val="13721448"/>
    <w:rsid w:val="137723E0"/>
    <w:rsid w:val="137D465B"/>
    <w:rsid w:val="137E5A7E"/>
    <w:rsid w:val="1380639A"/>
    <w:rsid w:val="138376BF"/>
    <w:rsid w:val="13856AE5"/>
    <w:rsid w:val="13884241"/>
    <w:rsid w:val="138B3C13"/>
    <w:rsid w:val="138E4DA7"/>
    <w:rsid w:val="13937663"/>
    <w:rsid w:val="1394650B"/>
    <w:rsid w:val="139A7BF0"/>
    <w:rsid w:val="139B7CCB"/>
    <w:rsid w:val="139C6134"/>
    <w:rsid w:val="139E0208"/>
    <w:rsid w:val="139E3766"/>
    <w:rsid w:val="13A079BD"/>
    <w:rsid w:val="13A47323"/>
    <w:rsid w:val="13A715BF"/>
    <w:rsid w:val="13A9398F"/>
    <w:rsid w:val="13AE1A0E"/>
    <w:rsid w:val="13AF056F"/>
    <w:rsid w:val="13B01E32"/>
    <w:rsid w:val="13B0647F"/>
    <w:rsid w:val="13B14567"/>
    <w:rsid w:val="13B23977"/>
    <w:rsid w:val="13B30D50"/>
    <w:rsid w:val="13B6418A"/>
    <w:rsid w:val="13BD4CFD"/>
    <w:rsid w:val="13BF01F0"/>
    <w:rsid w:val="13C43CBF"/>
    <w:rsid w:val="13C44C6D"/>
    <w:rsid w:val="13C57DF3"/>
    <w:rsid w:val="13C734D6"/>
    <w:rsid w:val="13C8086B"/>
    <w:rsid w:val="13C875D6"/>
    <w:rsid w:val="13CC66E1"/>
    <w:rsid w:val="13CD0ADC"/>
    <w:rsid w:val="13CE4254"/>
    <w:rsid w:val="13CF3DBE"/>
    <w:rsid w:val="13DD5884"/>
    <w:rsid w:val="13DD698E"/>
    <w:rsid w:val="13DE609A"/>
    <w:rsid w:val="13E50C9A"/>
    <w:rsid w:val="13E83D5C"/>
    <w:rsid w:val="13E84101"/>
    <w:rsid w:val="13EF54D1"/>
    <w:rsid w:val="13F44E4F"/>
    <w:rsid w:val="13F75831"/>
    <w:rsid w:val="13F96701"/>
    <w:rsid w:val="13FA460B"/>
    <w:rsid w:val="140131F4"/>
    <w:rsid w:val="140133A1"/>
    <w:rsid w:val="14017124"/>
    <w:rsid w:val="140608C5"/>
    <w:rsid w:val="14061F25"/>
    <w:rsid w:val="14072C98"/>
    <w:rsid w:val="140A24FB"/>
    <w:rsid w:val="140A7638"/>
    <w:rsid w:val="140D23D3"/>
    <w:rsid w:val="140D321C"/>
    <w:rsid w:val="140E4B5D"/>
    <w:rsid w:val="14112315"/>
    <w:rsid w:val="1411521B"/>
    <w:rsid w:val="14127159"/>
    <w:rsid w:val="14130381"/>
    <w:rsid w:val="141472E9"/>
    <w:rsid w:val="14186DDA"/>
    <w:rsid w:val="141F5703"/>
    <w:rsid w:val="141F595F"/>
    <w:rsid w:val="14203FED"/>
    <w:rsid w:val="142340BD"/>
    <w:rsid w:val="142741A0"/>
    <w:rsid w:val="142C1EE4"/>
    <w:rsid w:val="142C3433"/>
    <w:rsid w:val="142D7D90"/>
    <w:rsid w:val="142E05E9"/>
    <w:rsid w:val="142E35E2"/>
    <w:rsid w:val="1431123A"/>
    <w:rsid w:val="143316F4"/>
    <w:rsid w:val="14345F49"/>
    <w:rsid w:val="14352AF0"/>
    <w:rsid w:val="143646A8"/>
    <w:rsid w:val="14381896"/>
    <w:rsid w:val="143D488E"/>
    <w:rsid w:val="1441169E"/>
    <w:rsid w:val="14432035"/>
    <w:rsid w:val="14433307"/>
    <w:rsid w:val="14435074"/>
    <w:rsid w:val="1444190A"/>
    <w:rsid w:val="14493AFF"/>
    <w:rsid w:val="14517B47"/>
    <w:rsid w:val="145365CE"/>
    <w:rsid w:val="14542064"/>
    <w:rsid w:val="14546740"/>
    <w:rsid w:val="145F3F63"/>
    <w:rsid w:val="14623991"/>
    <w:rsid w:val="146270F7"/>
    <w:rsid w:val="1463126A"/>
    <w:rsid w:val="14695CBF"/>
    <w:rsid w:val="14696214"/>
    <w:rsid w:val="146A0254"/>
    <w:rsid w:val="146B71CA"/>
    <w:rsid w:val="146E4624"/>
    <w:rsid w:val="14756795"/>
    <w:rsid w:val="1478525D"/>
    <w:rsid w:val="147C272B"/>
    <w:rsid w:val="147D4FFB"/>
    <w:rsid w:val="147F55F2"/>
    <w:rsid w:val="14813092"/>
    <w:rsid w:val="148649BA"/>
    <w:rsid w:val="148C11D4"/>
    <w:rsid w:val="148C2650"/>
    <w:rsid w:val="148F2A0B"/>
    <w:rsid w:val="14904E66"/>
    <w:rsid w:val="14922618"/>
    <w:rsid w:val="14926507"/>
    <w:rsid w:val="149647D7"/>
    <w:rsid w:val="14971C2E"/>
    <w:rsid w:val="149B7B55"/>
    <w:rsid w:val="149C011E"/>
    <w:rsid w:val="149E5053"/>
    <w:rsid w:val="149F179E"/>
    <w:rsid w:val="14A14F26"/>
    <w:rsid w:val="14A351A6"/>
    <w:rsid w:val="14AB1989"/>
    <w:rsid w:val="14AF2B50"/>
    <w:rsid w:val="14B15F56"/>
    <w:rsid w:val="14B32029"/>
    <w:rsid w:val="14B801EF"/>
    <w:rsid w:val="14B95C8D"/>
    <w:rsid w:val="14BA1F6B"/>
    <w:rsid w:val="14BA3269"/>
    <w:rsid w:val="14BE57FC"/>
    <w:rsid w:val="14BF5874"/>
    <w:rsid w:val="14C15A7E"/>
    <w:rsid w:val="14C35CF5"/>
    <w:rsid w:val="14C978A6"/>
    <w:rsid w:val="14CA42B2"/>
    <w:rsid w:val="14CC211D"/>
    <w:rsid w:val="14CF286D"/>
    <w:rsid w:val="14D0012C"/>
    <w:rsid w:val="14D2682F"/>
    <w:rsid w:val="14D82F83"/>
    <w:rsid w:val="14D877A5"/>
    <w:rsid w:val="14D955E8"/>
    <w:rsid w:val="14DB0312"/>
    <w:rsid w:val="14DC2454"/>
    <w:rsid w:val="14DD7F37"/>
    <w:rsid w:val="14E32BE3"/>
    <w:rsid w:val="14E51BBA"/>
    <w:rsid w:val="14E95114"/>
    <w:rsid w:val="14ED464E"/>
    <w:rsid w:val="14ED6FE9"/>
    <w:rsid w:val="14EE24DA"/>
    <w:rsid w:val="14EF6A83"/>
    <w:rsid w:val="14F17BC9"/>
    <w:rsid w:val="14F64881"/>
    <w:rsid w:val="14F70942"/>
    <w:rsid w:val="14F83400"/>
    <w:rsid w:val="14FA1E42"/>
    <w:rsid w:val="14FA4557"/>
    <w:rsid w:val="14FB2312"/>
    <w:rsid w:val="14FC4C15"/>
    <w:rsid w:val="14FD5B09"/>
    <w:rsid w:val="15010527"/>
    <w:rsid w:val="15015B41"/>
    <w:rsid w:val="150268BC"/>
    <w:rsid w:val="15051099"/>
    <w:rsid w:val="150753B8"/>
    <w:rsid w:val="150C6A0A"/>
    <w:rsid w:val="150E48C1"/>
    <w:rsid w:val="15117197"/>
    <w:rsid w:val="15135FD5"/>
    <w:rsid w:val="151A0D2B"/>
    <w:rsid w:val="151A74B4"/>
    <w:rsid w:val="151B605E"/>
    <w:rsid w:val="151F5A5E"/>
    <w:rsid w:val="15203431"/>
    <w:rsid w:val="1522756A"/>
    <w:rsid w:val="15227B98"/>
    <w:rsid w:val="152655B1"/>
    <w:rsid w:val="152715AA"/>
    <w:rsid w:val="15284AD6"/>
    <w:rsid w:val="15285E42"/>
    <w:rsid w:val="152E348C"/>
    <w:rsid w:val="15301749"/>
    <w:rsid w:val="15347AAA"/>
    <w:rsid w:val="15363948"/>
    <w:rsid w:val="15371D84"/>
    <w:rsid w:val="15374C90"/>
    <w:rsid w:val="15381FBA"/>
    <w:rsid w:val="15387E2A"/>
    <w:rsid w:val="153A20AB"/>
    <w:rsid w:val="153A7381"/>
    <w:rsid w:val="153B0C5A"/>
    <w:rsid w:val="153F068D"/>
    <w:rsid w:val="15483D48"/>
    <w:rsid w:val="15487AFB"/>
    <w:rsid w:val="154A02E0"/>
    <w:rsid w:val="1550622B"/>
    <w:rsid w:val="1552668C"/>
    <w:rsid w:val="155A2583"/>
    <w:rsid w:val="155B1875"/>
    <w:rsid w:val="155C1A56"/>
    <w:rsid w:val="155C53BA"/>
    <w:rsid w:val="155D228E"/>
    <w:rsid w:val="15621661"/>
    <w:rsid w:val="15622D23"/>
    <w:rsid w:val="15626D49"/>
    <w:rsid w:val="156372AC"/>
    <w:rsid w:val="15665E58"/>
    <w:rsid w:val="1568454B"/>
    <w:rsid w:val="156E198E"/>
    <w:rsid w:val="156F29B6"/>
    <w:rsid w:val="156F4E0F"/>
    <w:rsid w:val="15756388"/>
    <w:rsid w:val="15783F19"/>
    <w:rsid w:val="157950A9"/>
    <w:rsid w:val="157B794F"/>
    <w:rsid w:val="157C287D"/>
    <w:rsid w:val="157C2FFC"/>
    <w:rsid w:val="157E49DD"/>
    <w:rsid w:val="15820C4A"/>
    <w:rsid w:val="15842B14"/>
    <w:rsid w:val="1585010C"/>
    <w:rsid w:val="158801A5"/>
    <w:rsid w:val="15882CBC"/>
    <w:rsid w:val="158B3C70"/>
    <w:rsid w:val="158C6314"/>
    <w:rsid w:val="158D057E"/>
    <w:rsid w:val="158D422C"/>
    <w:rsid w:val="1590174A"/>
    <w:rsid w:val="15917A25"/>
    <w:rsid w:val="159242BA"/>
    <w:rsid w:val="15947001"/>
    <w:rsid w:val="15965E19"/>
    <w:rsid w:val="159927DE"/>
    <w:rsid w:val="159B0430"/>
    <w:rsid w:val="159C3748"/>
    <w:rsid w:val="15A33948"/>
    <w:rsid w:val="15A5056B"/>
    <w:rsid w:val="15A72264"/>
    <w:rsid w:val="15A925A6"/>
    <w:rsid w:val="15AB47A5"/>
    <w:rsid w:val="15AD1950"/>
    <w:rsid w:val="15AE3862"/>
    <w:rsid w:val="15B20202"/>
    <w:rsid w:val="15B31005"/>
    <w:rsid w:val="15B47DD2"/>
    <w:rsid w:val="15B63792"/>
    <w:rsid w:val="15B66606"/>
    <w:rsid w:val="15B85348"/>
    <w:rsid w:val="15B87ECF"/>
    <w:rsid w:val="15B91E83"/>
    <w:rsid w:val="15BA1C04"/>
    <w:rsid w:val="15BF29C1"/>
    <w:rsid w:val="15C00173"/>
    <w:rsid w:val="15C10F74"/>
    <w:rsid w:val="15C446D3"/>
    <w:rsid w:val="15C832A4"/>
    <w:rsid w:val="15CE612C"/>
    <w:rsid w:val="15D171CD"/>
    <w:rsid w:val="15D36E9F"/>
    <w:rsid w:val="15D557E8"/>
    <w:rsid w:val="15D67329"/>
    <w:rsid w:val="15D879FB"/>
    <w:rsid w:val="15DC08ED"/>
    <w:rsid w:val="15DD398E"/>
    <w:rsid w:val="15DE04AE"/>
    <w:rsid w:val="15E24F2A"/>
    <w:rsid w:val="15E27FB6"/>
    <w:rsid w:val="15E802A9"/>
    <w:rsid w:val="15EA042A"/>
    <w:rsid w:val="15EA3B19"/>
    <w:rsid w:val="15EB4347"/>
    <w:rsid w:val="15EB5E83"/>
    <w:rsid w:val="15F10400"/>
    <w:rsid w:val="15F2655D"/>
    <w:rsid w:val="15F2688D"/>
    <w:rsid w:val="15F37130"/>
    <w:rsid w:val="15F44895"/>
    <w:rsid w:val="15F555B1"/>
    <w:rsid w:val="15F9189B"/>
    <w:rsid w:val="15F97B2D"/>
    <w:rsid w:val="160106C9"/>
    <w:rsid w:val="16021CCF"/>
    <w:rsid w:val="16062B46"/>
    <w:rsid w:val="160B42C7"/>
    <w:rsid w:val="160F3EE0"/>
    <w:rsid w:val="160F6CB2"/>
    <w:rsid w:val="16121A8E"/>
    <w:rsid w:val="16136869"/>
    <w:rsid w:val="16175510"/>
    <w:rsid w:val="161821C4"/>
    <w:rsid w:val="1618419F"/>
    <w:rsid w:val="16184DFC"/>
    <w:rsid w:val="161A450A"/>
    <w:rsid w:val="161B725D"/>
    <w:rsid w:val="161F3B88"/>
    <w:rsid w:val="161F6226"/>
    <w:rsid w:val="162365F7"/>
    <w:rsid w:val="162572CB"/>
    <w:rsid w:val="16265E4F"/>
    <w:rsid w:val="162867DC"/>
    <w:rsid w:val="163069CD"/>
    <w:rsid w:val="16345B6B"/>
    <w:rsid w:val="1634658C"/>
    <w:rsid w:val="16372FB3"/>
    <w:rsid w:val="16396008"/>
    <w:rsid w:val="163A34AB"/>
    <w:rsid w:val="163A62F1"/>
    <w:rsid w:val="163B5300"/>
    <w:rsid w:val="163D5524"/>
    <w:rsid w:val="163E337B"/>
    <w:rsid w:val="16400FD8"/>
    <w:rsid w:val="16417B6E"/>
    <w:rsid w:val="16436B43"/>
    <w:rsid w:val="16467AFC"/>
    <w:rsid w:val="16475C2B"/>
    <w:rsid w:val="164A390D"/>
    <w:rsid w:val="165018A4"/>
    <w:rsid w:val="16505C02"/>
    <w:rsid w:val="16506BA1"/>
    <w:rsid w:val="16550E71"/>
    <w:rsid w:val="165A76B4"/>
    <w:rsid w:val="165C51B8"/>
    <w:rsid w:val="165D1327"/>
    <w:rsid w:val="165E1C4A"/>
    <w:rsid w:val="16677569"/>
    <w:rsid w:val="16692011"/>
    <w:rsid w:val="16693DDE"/>
    <w:rsid w:val="166B5873"/>
    <w:rsid w:val="166D6432"/>
    <w:rsid w:val="16717290"/>
    <w:rsid w:val="16733A9C"/>
    <w:rsid w:val="167547CA"/>
    <w:rsid w:val="16766911"/>
    <w:rsid w:val="16784FCE"/>
    <w:rsid w:val="16785B0E"/>
    <w:rsid w:val="167C0110"/>
    <w:rsid w:val="167D0261"/>
    <w:rsid w:val="168301D5"/>
    <w:rsid w:val="16846935"/>
    <w:rsid w:val="168A18CF"/>
    <w:rsid w:val="168A640C"/>
    <w:rsid w:val="168B1DF7"/>
    <w:rsid w:val="168B5F54"/>
    <w:rsid w:val="16974F25"/>
    <w:rsid w:val="169857F4"/>
    <w:rsid w:val="16997F27"/>
    <w:rsid w:val="169B62C6"/>
    <w:rsid w:val="169C3CD4"/>
    <w:rsid w:val="16A13986"/>
    <w:rsid w:val="16A60D3C"/>
    <w:rsid w:val="16A719BC"/>
    <w:rsid w:val="16A71ED1"/>
    <w:rsid w:val="16A9527E"/>
    <w:rsid w:val="16A96FB6"/>
    <w:rsid w:val="16AD1069"/>
    <w:rsid w:val="16AF730F"/>
    <w:rsid w:val="16B32970"/>
    <w:rsid w:val="16B36D4D"/>
    <w:rsid w:val="16B54D41"/>
    <w:rsid w:val="16B65F24"/>
    <w:rsid w:val="16B70A10"/>
    <w:rsid w:val="16B81497"/>
    <w:rsid w:val="16B935BD"/>
    <w:rsid w:val="16BE59E1"/>
    <w:rsid w:val="16BE5BF1"/>
    <w:rsid w:val="16C8423A"/>
    <w:rsid w:val="16CA45CE"/>
    <w:rsid w:val="16CA4821"/>
    <w:rsid w:val="16CB1E6E"/>
    <w:rsid w:val="16CB5814"/>
    <w:rsid w:val="16CC277F"/>
    <w:rsid w:val="16CC7181"/>
    <w:rsid w:val="16CD5DA0"/>
    <w:rsid w:val="16CF5685"/>
    <w:rsid w:val="16CF6A1A"/>
    <w:rsid w:val="16D04A34"/>
    <w:rsid w:val="16D125D7"/>
    <w:rsid w:val="16E1645E"/>
    <w:rsid w:val="16E41B0C"/>
    <w:rsid w:val="16E74267"/>
    <w:rsid w:val="16E75693"/>
    <w:rsid w:val="16E81915"/>
    <w:rsid w:val="16E9701D"/>
    <w:rsid w:val="16EB42CF"/>
    <w:rsid w:val="16EC7557"/>
    <w:rsid w:val="16EE68FD"/>
    <w:rsid w:val="16EF07BC"/>
    <w:rsid w:val="16F3013A"/>
    <w:rsid w:val="16F32D37"/>
    <w:rsid w:val="16F70093"/>
    <w:rsid w:val="16F73369"/>
    <w:rsid w:val="16FA5866"/>
    <w:rsid w:val="16FB43BF"/>
    <w:rsid w:val="16FC0247"/>
    <w:rsid w:val="16FE7FE2"/>
    <w:rsid w:val="16FF0B97"/>
    <w:rsid w:val="17032AB0"/>
    <w:rsid w:val="17056034"/>
    <w:rsid w:val="170B7D46"/>
    <w:rsid w:val="170C162E"/>
    <w:rsid w:val="170C6F0F"/>
    <w:rsid w:val="17111342"/>
    <w:rsid w:val="17150049"/>
    <w:rsid w:val="171814F1"/>
    <w:rsid w:val="171D7D93"/>
    <w:rsid w:val="17214F89"/>
    <w:rsid w:val="17220376"/>
    <w:rsid w:val="17224B66"/>
    <w:rsid w:val="172333C1"/>
    <w:rsid w:val="172703AA"/>
    <w:rsid w:val="172B0E12"/>
    <w:rsid w:val="17313408"/>
    <w:rsid w:val="1734702E"/>
    <w:rsid w:val="17363A4C"/>
    <w:rsid w:val="17394B45"/>
    <w:rsid w:val="173D0F28"/>
    <w:rsid w:val="174001C6"/>
    <w:rsid w:val="174247F8"/>
    <w:rsid w:val="1749627C"/>
    <w:rsid w:val="174A2979"/>
    <w:rsid w:val="175005C5"/>
    <w:rsid w:val="1752433D"/>
    <w:rsid w:val="1752743F"/>
    <w:rsid w:val="17533D49"/>
    <w:rsid w:val="175353C7"/>
    <w:rsid w:val="175463BB"/>
    <w:rsid w:val="17546A61"/>
    <w:rsid w:val="17580973"/>
    <w:rsid w:val="175B50AE"/>
    <w:rsid w:val="175C692B"/>
    <w:rsid w:val="175F17AC"/>
    <w:rsid w:val="17602EFE"/>
    <w:rsid w:val="17645EA2"/>
    <w:rsid w:val="176C2904"/>
    <w:rsid w:val="176C62D5"/>
    <w:rsid w:val="176D7C2A"/>
    <w:rsid w:val="17707BBF"/>
    <w:rsid w:val="17723C77"/>
    <w:rsid w:val="17731703"/>
    <w:rsid w:val="17746E2A"/>
    <w:rsid w:val="17787115"/>
    <w:rsid w:val="177B2BB7"/>
    <w:rsid w:val="177B3EF6"/>
    <w:rsid w:val="17834F82"/>
    <w:rsid w:val="17885646"/>
    <w:rsid w:val="178944FD"/>
    <w:rsid w:val="178F7A55"/>
    <w:rsid w:val="179304E7"/>
    <w:rsid w:val="17940276"/>
    <w:rsid w:val="17945909"/>
    <w:rsid w:val="179629E2"/>
    <w:rsid w:val="179B0E8E"/>
    <w:rsid w:val="179B5E47"/>
    <w:rsid w:val="17A07312"/>
    <w:rsid w:val="17A32A46"/>
    <w:rsid w:val="17A61DD4"/>
    <w:rsid w:val="17A750EB"/>
    <w:rsid w:val="17A80555"/>
    <w:rsid w:val="17AA3629"/>
    <w:rsid w:val="17AB707B"/>
    <w:rsid w:val="17AC413D"/>
    <w:rsid w:val="17AD2824"/>
    <w:rsid w:val="17AD57B0"/>
    <w:rsid w:val="17AE1FE1"/>
    <w:rsid w:val="17AE4F2B"/>
    <w:rsid w:val="17AF57C6"/>
    <w:rsid w:val="17AF781A"/>
    <w:rsid w:val="17AF79E2"/>
    <w:rsid w:val="17B13DCE"/>
    <w:rsid w:val="17B27026"/>
    <w:rsid w:val="17C041B0"/>
    <w:rsid w:val="17C3337D"/>
    <w:rsid w:val="17C604E5"/>
    <w:rsid w:val="17C85F3A"/>
    <w:rsid w:val="17D13499"/>
    <w:rsid w:val="17D20B5F"/>
    <w:rsid w:val="17D640E4"/>
    <w:rsid w:val="17DD553F"/>
    <w:rsid w:val="17DE5B0A"/>
    <w:rsid w:val="17E627A3"/>
    <w:rsid w:val="17E7416E"/>
    <w:rsid w:val="17EC4792"/>
    <w:rsid w:val="17F22D41"/>
    <w:rsid w:val="17F3249E"/>
    <w:rsid w:val="17F50FF9"/>
    <w:rsid w:val="17F77C53"/>
    <w:rsid w:val="17F84637"/>
    <w:rsid w:val="17FC764D"/>
    <w:rsid w:val="17FE7DB3"/>
    <w:rsid w:val="1800023D"/>
    <w:rsid w:val="18014A83"/>
    <w:rsid w:val="18050738"/>
    <w:rsid w:val="1805210D"/>
    <w:rsid w:val="1805577E"/>
    <w:rsid w:val="180E64B6"/>
    <w:rsid w:val="180F5437"/>
    <w:rsid w:val="180F5DD7"/>
    <w:rsid w:val="18113F7F"/>
    <w:rsid w:val="181451A4"/>
    <w:rsid w:val="181575FF"/>
    <w:rsid w:val="181A4155"/>
    <w:rsid w:val="18206F03"/>
    <w:rsid w:val="182232B1"/>
    <w:rsid w:val="18237F83"/>
    <w:rsid w:val="18242AC3"/>
    <w:rsid w:val="1826335F"/>
    <w:rsid w:val="182E440C"/>
    <w:rsid w:val="18316EB6"/>
    <w:rsid w:val="18362F57"/>
    <w:rsid w:val="1837201D"/>
    <w:rsid w:val="183A3A48"/>
    <w:rsid w:val="183D49EE"/>
    <w:rsid w:val="183F4446"/>
    <w:rsid w:val="183F5912"/>
    <w:rsid w:val="184876E5"/>
    <w:rsid w:val="184969C5"/>
    <w:rsid w:val="184A3423"/>
    <w:rsid w:val="18514738"/>
    <w:rsid w:val="18531B14"/>
    <w:rsid w:val="18534A25"/>
    <w:rsid w:val="18537302"/>
    <w:rsid w:val="18540DF6"/>
    <w:rsid w:val="18572BB1"/>
    <w:rsid w:val="1859174A"/>
    <w:rsid w:val="185A1CC5"/>
    <w:rsid w:val="185A28FB"/>
    <w:rsid w:val="185C643C"/>
    <w:rsid w:val="185D5773"/>
    <w:rsid w:val="18637B91"/>
    <w:rsid w:val="186B56B7"/>
    <w:rsid w:val="186C7366"/>
    <w:rsid w:val="186F5A62"/>
    <w:rsid w:val="18700F1F"/>
    <w:rsid w:val="18730A0F"/>
    <w:rsid w:val="18731B82"/>
    <w:rsid w:val="18731FB0"/>
    <w:rsid w:val="18760463"/>
    <w:rsid w:val="187C3B59"/>
    <w:rsid w:val="187C6979"/>
    <w:rsid w:val="187F35D3"/>
    <w:rsid w:val="187F46C3"/>
    <w:rsid w:val="187F6C01"/>
    <w:rsid w:val="188268EF"/>
    <w:rsid w:val="188428B3"/>
    <w:rsid w:val="1884727F"/>
    <w:rsid w:val="188474B4"/>
    <w:rsid w:val="18887947"/>
    <w:rsid w:val="18894571"/>
    <w:rsid w:val="188C7801"/>
    <w:rsid w:val="188D2271"/>
    <w:rsid w:val="188E0BE0"/>
    <w:rsid w:val="188E1A98"/>
    <w:rsid w:val="189126C4"/>
    <w:rsid w:val="189158AE"/>
    <w:rsid w:val="1895042F"/>
    <w:rsid w:val="189704A2"/>
    <w:rsid w:val="189A5906"/>
    <w:rsid w:val="189B6BD6"/>
    <w:rsid w:val="18A216BF"/>
    <w:rsid w:val="18A37182"/>
    <w:rsid w:val="18A62C96"/>
    <w:rsid w:val="18A84204"/>
    <w:rsid w:val="18A8502F"/>
    <w:rsid w:val="18A961E5"/>
    <w:rsid w:val="18B13610"/>
    <w:rsid w:val="18B6474B"/>
    <w:rsid w:val="18B9353C"/>
    <w:rsid w:val="18BA4EFB"/>
    <w:rsid w:val="18C05425"/>
    <w:rsid w:val="18C274EA"/>
    <w:rsid w:val="18C56F2D"/>
    <w:rsid w:val="18C63A78"/>
    <w:rsid w:val="18C7447E"/>
    <w:rsid w:val="18C85B44"/>
    <w:rsid w:val="18CB5983"/>
    <w:rsid w:val="18CD06AB"/>
    <w:rsid w:val="18CD1F2C"/>
    <w:rsid w:val="18CF420F"/>
    <w:rsid w:val="18D61828"/>
    <w:rsid w:val="18D822AF"/>
    <w:rsid w:val="18DA283C"/>
    <w:rsid w:val="18DB0CDB"/>
    <w:rsid w:val="18DB100E"/>
    <w:rsid w:val="18DC4807"/>
    <w:rsid w:val="18DF425A"/>
    <w:rsid w:val="18E1542F"/>
    <w:rsid w:val="18E549FD"/>
    <w:rsid w:val="18EF0837"/>
    <w:rsid w:val="18F172BE"/>
    <w:rsid w:val="18FA6A25"/>
    <w:rsid w:val="18FB5D94"/>
    <w:rsid w:val="19036F13"/>
    <w:rsid w:val="1904279F"/>
    <w:rsid w:val="190C243E"/>
    <w:rsid w:val="190C498D"/>
    <w:rsid w:val="190F0DC7"/>
    <w:rsid w:val="19107D49"/>
    <w:rsid w:val="19182722"/>
    <w:rsid w:val="19190915"/>
    <w:rsid w:val="191D6A2C"/>
    <w:rsid w:val="191D74DE"/>
    <w:rsid w:val="192025B8"/>
    <w:rsid w:val="19227FA8"/>
    <w:rsid w:val="19280F28"/>
    <w:rsid w:val="192D22C0"/>
    <w:rsid w:val="193C3B41"/>
    <w:rsid w:val="1941261B"/>
    <w:rsid w:val="19412CBA"/>
    <w:rsid w:val="1941466A"/>
    <w:rsid w:val="19434E5F"/>
    <w:rsid w:val="19472523"/>
    <w:rsid w:val="19477B7F"/>
    <w:rsid w:val="194A2F59"/>
    <w:rsid w:val="194B4466"/>
    <w:rsid w:val="194C3497"/>
    <w:rsid w:val="194F7B99"/>
    <w:rsid w:val="195142F2"/>
    <w:rsid w:val="195D455C"/>
    <w:rsid w:val="195E6FCA"/>
    <w:rsid w:val="1960232D"/>
    <w:rsid w:val="19642AE1"/>
    <w:rsid w:val="196506A8"/>
    <w:rsid w:val="196A361C"/>
    <w:rsid w:val="196D5F07"/>
    <w:rsid w:val="19745B59"/>
    <w:rsid w:val="19782A35"/>
    <w:rsid w:val="19792055"/>
    <w:rsid w:val="197B56EC"/>
    <w:rsid w:val="197E3584"/>
    <w:rsid w:val="197F2235"/>
    <w:rsid w:val="198010E3"/>
    <w:rsid w:val="1987691A"/>
    <w:rsid w:val="198B5606"/>
    <w:rsid w:val="198B618E"/>
    <w:rsid w:val="198F4C8C"/>
    <w:rsid w:val="199209CD"/>
    <w:rsid w:val="199243FB"/>
    <w:rsid w:val="199332F0"/>
    <w:rsid w:val="19962D4F"/>
    <w:rsid w:val="199873FA"/>
    <w:rsid w:val="199B08D0"/>
    <w:rsid w:val="19A20060"/>
    <w:rsid w:val="19A85E4E"/>
    <w:rsid w:val="19AA0461"/>
    <w:rsid w:val="19AC07A4"/>
    <w:rsid w:val="19AD40D0"/>
    <w:rsid w:val="19AD4CCB"/>
    <w:rsid w:val="19B03763"/>
    <w:rsid w:val="19B13B97"/>
    <w:rsid w:val="19B1709F"/>
    <w:rsid w:val="19B260B8"/>
    <w:rsid w:val="19B87771"/>
    <w:rsid w:val="19BE68EB"/>
    <w:rsid w:val="19C257AA"/>
    <w:rsid w:val="19C32CEE"/>
    <w:rsid w:val="19C649A6"/>
    <w:rsid w:val="19C84FE9"/>
    <w:rsid w:val="19CB3E43"/>
    <w:rsid w:val="19CB5CF7"/>
    <w:rsid w:val="19CC12DD"/>
    <w:rsid w:val="19CC39F1"/>
    <w:rsid w:val="19CF1734"/>
    <w:rsid w:val="19CF31E2"/>
    <w:rsid w:val="19D92F4C"/>
    <w:rsid w:val="19D9503C"/>
    <w:rsid w:val="19DF6B35"/>
    <w:rsid w:val="19E1758C"/>
    <w:rsid w:val="19E62F6C"/>
    <w:rsid w:val="19E80F89"/>
    <w:rsid w:val="19EB6108"/>
    <w:rsid w:val="19ED27A9"/>
    <w:rsid w:val="19EE4158"/>
    <w:rsid w:val="19EF19B2"/>
    <w:rsid w:val="19F11B17"/>
    <w:rsid w:val="19F92667"/>
    <w:rsid w:val="19F95FC3"/>
    <w:rsid w:val="19FE459A"/>
    <w:rsid w:val="1A011588"/>
    <w:rsid w:val="1A03266A"/>
    <w:rsid w:val="1A08407F"/>
    <w:rsid w:val="1A085294"/>
    <w:rsid w:val="1A0A45F5"/>
    <w:rsid w:val="1A0C2ED8"/>
    <w:rsid w:val="1A0C4397"/>
    <w:rsid w:val="1A0F35D7"/>
    <w:rsid w:val="1A0F45C5"/>
    <w:rsid w:val="1A116F39"/>
    <w:rsid w:val="1A1252A8"/>
    <w:rsid w:val="1A133A77"/>
    <w:rsid w:val="1A147FD0"/>
    <w:rsid w:val="1A151B41"/>
    <w:rsid w:val="1A1617C3"/>
    <w:rsid w:val="1A1D5D8E"/>
    <w:rsid w:val="1A203FA9"/>
    <w:rsid w:val="1A2671B2"/>
    <w:rsid w:val="1A272A4E"/>
    <w:rsid w:val="1A2B3FAB"/>
    <w:rsid w:val="1A2B7629"/>
    <w:rsid w:val="1A3011B8"/>
    <w:rsid w:val="1A3159F2"/>
    <w:rsid w:val="1A345330"/>
    <w:rsid w:val="1A35241E"/>
    <w:rsid w:val="1A3640CA"/>
    <w:rsid w:val="1A365BAA"/>
    <w:rsid w:val="1A3957D2"/>
    <w:rsid w:val="1A3B5A89"/>
    <w:rsid w:val="1A3C07C3"/>
    <w:rsid w:val="1A416A1B"/>
    <w:rsid w:val="1A4227C9"/>
    <w:rsid w:val="1A4547AD"/>
    <w:rsid w:val="1A455BB5"/>
    <w:rsid w:val="1A4570E3"/>
    <w:rsid w:val="1A4872A0"/>
    <w:rsid w:val="1A494C83"/>
    <w:rsid w:val="1A4C44FB"/>
    <w:rsid w:val="1A4C7BEB"/>
    <w:rsid w:val="1A4D0A5A"/>
    <w:rsid w:val="1A51652A"/>
    <w:rsid w:val="1A521ABE"/>
    <w:rsid w:val="1A532EBE"/>
    <w:rsid w:val="1A5B6575"/>
    <w:rsid w:val="1A637C73"/>
    <w:rsid w:val="1A640790"/>
    <w:rsid w:val="1A663942"/>
    <w:rsid w:val="1A6731D9"/>
    <w:rsid w:val="1A674960"/>
    <w:rsid w:val="1A6A1D44"/>
    <w:rsid w:val="1A6E2C42"/>
    <w:rsid w:val="1A6E6AD7"/>
    <w:rsid w:val="1A702D22"/>
    <w:rsid w:val="1A706CBA"/>
    <w:rsid w:val="1A710F7F"/>
    <w:rsid w:val="1A725422"/>
    <w:rsid w:val="1A736F93"/>
    <w:rsid w:val="1A7E033F"/>
    <w:rsid w:val="1A837666"/>
    <w:rsid w:val="1A8769F4"/>
    <w:rsid w:val="1A886E97"/>
    <w:rsid w:val="1A8D3F6D"/>
    <w:rsid w:val="1A8F1F29"/>
    <w:rsid w:val="1A917094"/>
    <w:rsid w:val="1A924A27"/>
    <w:rsid w:val="1A983C93"/>
    <w:rsid w:val="1AA05082"/>
    <w:rsid w:val="1AA22B74"/>
    <w:rsid w:val="1AA75912"/>
    <w:rsid w:val="1AA87272"/>
    <w:rsid w:val="1AAA5A86"/>
    <w:rsid w:val="1AAC7502"/>
    <w:rsid w:val="1AAF7964"/>
    <w:rsid w:val="1AB1366B"/>
    <w:rsid w:val="1AB33A59"/>
    <w:rsid w:val="1AB36B46"/>
    <w:rsid w:val="1AB57EF3"/>
    <w:rsid w:val="1AB735E1"/>
    <w:rsid w:val="1AB83020"/>
    <w:rsid w:val="1AB94576"/>
    <w:rsid w:val="1AC41664"/>
    <w:rsid w:val="1AC60DAC"/>
    <w:rsid w:val="1AC6664B"/>
    <w:rsid w:val="1AC74A95"/>
    <w:rsid w:val="1ACC4055"/>
    <w:rsid w:val="1ACC7820"/>
    <w:rsid w:val="1AD07D4D"/>
    <w:rsid w:val="1AD50082"/>
    <w:rsid w:val="1AD80EAE"/>
    <w:rsid w:val="1AD876AF"/>
    <w:rsid w:val="1ADB455F"/>
    <w:rsid w:val="1AE4782A"/>
    <w:rsid w:val="1AE6272E"/>
    <w:rsid w:val="1AE7212C"/>
    <w:rsid w:val="1AEA7D53"/>
    <w:rsid w:val="1AEB2ADF"/>
    <w:rsid w:val="1AED2FF5"/>
    <w:rsid w:val="1AEE29A9"/>
    <w:rsid w:val="1AF27FC9"/>
    <w:rsid w:val="1AF53561"/>
    <w:rsid w:val="1AF542CF"/>
    <w:rsid w:val="1AFF0167"/>
    <w:rsid w:val="1B001A24"/>
    <w:rsid w:val="1B037F44"/>
    <w:rsid w:val="1B0533CE"/>
    <w:rsid w:val="1B053723"/>
    <w:rsid w:val="1B0A3460"/>
    <w:rsid w:val="1B0C1338"/>
    <w:rsid w:val="1B0D5C2A"/>
    <w:rsid w:val="1B101FB6"/>
    <w:rsid w:val="1B123E8E"/>
    <w:rsid w:val="1B124AE9"/>
    <w:rsid w:val="1B1564E5"/>
    <w:rsid w:val="1B16198A"/>
    <w:rsid w:val="1B1712B5"/>
    <w:rsid w:val="1B177C3F"/>
    <w:rsid w:val="1B2204EF"/>
    <w:rsid w:val="1B2304CB"/>
    <w:rsid w:val="1B236390"/>
    <w:rsid w:val="1B2403A8"/>
    <w:rsid w:val="1B263E19"/>
    <w:rsid w:val="1B271067"/>
    <w:rsid w:val="1B2A329C"/>
    <w:rsid w:val="1B2B3A18"/>
    <w:rsid w:val="1B2B47AB"/>
    <w:rsid w:val="1B2D1349"/>
    <w:rsid w:val="1B2D1B15"/>
    <w:rsid w:val="1B2D35DC"/>
    <w:rsid w:val="1B334078"/>
    <w:rsid w:val="1B366A93"/>
    <w:rsid w:val="1B3D67BD"/>
    <w:rsid w:val="1B3F1F7D"/>
    <w:rsid w:val="1B3F5002"/>
    <w:rsid w:val="1B3F73D4"/>
    <w:rsid w:val="1B437844"/>
    <w:rsid w:val="1B492499"/>
    <w:rsid w:val="1B49405F"/>
    <w:rsid w:val="1B4B451B"/>
    <w:rsid w:val="1B4B6808"/>
    <w:rsid w:val="1B4F2662"/>
    <w:rsid w:val="1B502212"/>
    <w:rsid w:val="1B505EA9"/>
    <w:rsid w:val="1B507C38"/>
    <w:rsid w:val="1B521BAE"/>
    <w:rsid w:val="1B522602"/>
    <w:rsid w:val="1B5B3BCE"/>
    <w:rsid w:val="1B5B644C"/>
    <w:rsid w:val="1B5D32F9"/>
    <w:rsid w:val="1B6033DC"/>
    <w:rsid w:val="1B62269C"/>
    <w:rsid w:val="1B642891"/>
    <w:rsid w:val="1B6539C9"/>
    <w:rsid w:val="1B653D27"/>
    <w:rsid w:val="1B672D3F"/>
    <w:rsid w:val="1B680D37"/>
    <w:rsid w:val="1B681C82"/>
    <w:rsid w:val="1B720CB1"/>
    <w:rsid w:val="1B7B534B"/>
    <w:rsid w:val="1B7E2030"/>
    <w:rsid w:val="1B8231D9"/>
    <w:rsid w:val="1B82756A"/>
    <w:rsid w:val="1B882A24"/>
    <w:rsid w:val="1B8A1A6C"/>
    <w:rsid w:val="1B8F4692"/>
    <w:rsid w:val="1B9000CE"/>
    <w:rsid w:val="1B905E86"/>
    <w:rsid w:val="1B9118D8"/>
    <w:rsid w:val="1B96435A"/>
    <w:rsid w:val="1B972930"/>
    <w:rsid w:val="1B9A74BB"/>
    <w:rsid w:val="1B9B2B30"/>
    <w:rsid w:val="1B9F7EF2"/>
    <w:rsid w:val="1BA12BAF"/>
    <w:rsid w:val="1BA32097"/>
    <w:rsid w:val="1BA54E27"/>
    <w:rsid w:val="1BA72B7C"/>
    <w:rsid w:val="1BAB49D5"/>
    <w:rsid w:val="1BAE2171"/>
    <w:rsid w:val="1BB40386"/>
    <w:rsid w:val="1BB70F8E"/>
    <w:rsid w:val="1BC0047A"/>
    <w:rsid w:val="1BC41784"/>
    <w:rsid w:val="1BC57206"/>
    <w:rsid w:val="1BC962C0"/>
    <w:rsid w:val="1BCB00D1"/>
    <w:rsid w:val="1BCB4452"/>
    <w:rsid w:val="1BCC7929"/>
    <w:rsid w:val="1BCD1315"/>
    <w:rsid w:val="1BCE702F"/>
    <w:rsid w:val="1BD236E5"/>
    <w:rsid w:val="1BD41DDB"/>
    <w:rsid w:val="1BD8309E"/>
    <w:rsid w:val="1BD85BD2"/>
    <w:rsid w:val="1BDA5409"/>
    <w:rsid w:val="1BDC361A"/>
    <w:rsid w:val="1BDC7DA0"/>
    <w:rsid w:val="1BDF3BCC"/>
    <w:rsid w:val="1BE0587A"/>
    <w:rsid w:val="1BE35EAC"/>
    <w:rsid w:val="1BE57162"/>
    <w:rsid w:val="1BEA2C63"/>
    <w:rsid w:val="1BEB6E4C"/>
    <w:rsid w:val="1BF41CD1"/>
    <w:rsid w:val="1BF76FA6"/>
    <w:rsid w:val="1BF875F2"/>
    <w:rsid w:val="1BFA1990"/>
    <w:rsid w:val="1BFE5FF1"/>
    <w:rsid w:val="1C061A7F"/>
    <w:rsid w:val="1C0B1D99"/>
    <w:rsid w:val="1C101718"/>
    <w:rsid w:val="1C110535"/>
    <w:rsid w:val="1C113EE3"/>
    <w:rsid w:val="1C120AE2"/>
    <w:rsid w:val="1C143B07"/>
    <w:rsid w:val="1C152963"/>
    <w:rsid w:val="1C163C51"/>
    <w:rsid w:val="1C17237A"/>
    <w:rsid w:val="1C181FD8"/>
    <w:rsid w:val="1C19661F"/>
    <w:rsid w:val="1C196BB0"/>
    <w:rsid w:val="1C202E03"/>
    <w:rsid w:val="1C204A0A"/>
    <w:rsid w:val="1C226D50"/>
    <w:rsid w:val="1C24274C"/>
    <w:rsid w:val="1C271037"/>
    <w:rsid w:val="1C2955E5"/>
    <w:rsid w:val="1C296337"/>
    <w:rsid w:val="1C2A163F"/>
    <w:rsid w:val="1C2C2524"/>
    <w:rsid w:val="1C2C4B64"/>
    <w:rsid w:val="1C2D1E74"/>
    <w:rsid w:val="1C336B90"/>
    <w:rsid w:val="1C3620B3"/>
    <w:rsid w:val="1C3636B8"/>
    <w:rsid w:val="1C391169"/>
    <w:rsid w:val="1C3B361C"/>
    <w:rsid w:val="1C3B4B90"/>
    <w:rsid w:val="1C3C78C6"/>
    <w:rsid w:val="1C3D0941"/>
    <w:rsid w:val="1C411445"/>
    <w:rsid w:val="1C447172"/>
    <w:rsid w:val="1C47468D"/>
    <w:rsid w:val="1C485582"/>
    <w:rsid w:val="1C4A7CD9"/>
    <w:rsid w:val="1C4C5B5C"/>
    <w:rsid w:val="1C4F71E1"/>
    <w:rsid w:val="1C504193"/>
    <w:rsid w:val="1C507555"/>
    <w:rsid w:val="1C5341C2"/>
    <w:rsid w:val="1C5768AF"/>
    <w:rsid w:val="1C5B33DE"/>
    <w:rsid w:val="1C5F0F84"/>
    <w:rsid w:val="1C5F7595"/>
    <w:rsid w:val="1C603587"/>
    <w:rsid w:val="1C60736F"/>
    <w:rsid w:val="1C627E8F"/>
    <w:rsid w:val="1C685072"/>
    <w:rsid w:val="1C6B3411"/>
    <w:rsid w:val="1C6C2EF7"/>
    <w:rsid w:val="1C6C4BA3"/>
    <w:rsid w:val="1C6F4E16"/>
    <w:rsid w:val="1C7163F4"/>
    <w:rsid w:val="1C7313C8"/>
    <w:rsid w:val="1C742B5F"/>
    <w:rsid w:val="1C794A0B"/>
    <w:rsid w:val="1C7B323E"/>
    <w:rsid w:val="1C7B4791"/>
    <w:rsid w:val="1C7B6CE3"/>
    <w:rsid w:val="1C7B79F4"/>
    <w:rsid w:val="1C8249A6"/>
    <w:rsid w:val="1C831C24"/>
    <w:rsid w:val="1C840A96"/>
    <w:rsid w:val="1C8808A6"/>
    <w:rsid w:val="1C882AAD"/>
    <w:rsid w:val="1C894DEE"/>
    <w:rsid w:val="1C8C521E"/>
    <w:rsid w:val="1C8C5F86"/>
    <w:rsid w:val="1C8D07CB"/>
    <w:rsid w:val="1C933922"/>
    <w:rsid w:val="1C9466ED"/>
    <w:rsid w:val="1C976AA9"/>
    <w:rsid w:val="1C986940"/>
    <w:rsid w:val="1C9B0535"/>
    <w:rsid w:val="1CA23671"/>
    <w:rsid w:val="1CA81192"/>
    <w:rsid w:val="1CA8494E"/>
    <w:rsid w:val="1CAD0834"/>
    <w:rsid w:val="1CB20175"/>
    <w:rsid w:val="1CB7684C"/>
    <w:rsid w:val="1CB83204"/>
    <w:rsid w:val="1CB93972"/>
    <w:rsid w:val="1CBE02E4"/>
    <w:rsid w:val="1CC278E2"/>
    <w:rsid w:val="1CC27E7E"/>
    <w:rsid w:val="1CC74074"/>
    <w:rsid w:val="1CC8061C"/>
    <w:rsid w:val="1CCA277A"/>
    <w:rsid w:val="1CCC278B"/>
    <w:rsid w:val="1CCD683C"/>
    <w:rsid w:val="1CD11779"/>
    <w:rsid w:val="1CD43315"/>
    <w:rsid w:val="1CD8574B"/>
    <w:rsid w:val="1CD94FE2"/>
    <w:rsid w:val="1CDB19B2"/>
    <w:rsid w:val="1CE04199"/>
    <w:rsid w:val="1CE128E5"/>
    <w:rsid w:val="1CE1469A"/>
    <w:rsid w:val="1CE15584"/>
    <w:rsid w:val="1CE26651"/>
    <w:rsid w:val="1CE64EAD"/>
    <w:rsid w:val="1CE67A02"/>
    <w:rsid w:val="1CEA6C04"/>
    <w:rsid w:val="1CEC33EB"/>
    <w:rsid w:val="1CED4849"/>
    <w:rsid w:val="1CED7D03"/>
    <w:rsid w:val="1CF04F4F"/>
    <w:rsid w:val="1CF10027"/>
    <w:rsid w:val="1CF40935"/>
    <w:rsid w:val="1CF45F98"/>
    <w:rsid w:val="1CFE42F6"/>
    <w:rsid w:val="1CFF2330"/>
    <w:rsid w:val="1D0127BE"/>
    <w:rsid w:val="1D063A40"/>
    <w:rsid w:val="1D0D4145"/>
    <w:rsid w:val="1D160DCE"/>
    <w:rsid w:val="1D167BDC"/>
    <w:rsid w:val="1D171433"/>
    <w:rsid w:val="1D192DA2"/>
    <w:rsid w:val="1D213ABB"/>
    <w:rsid w:val="1D2406F0"/>
    <w:rsid w:val="1D274522"/>
    <w:rsid w:val="1D2E6E13"/>
    <w:rsid w:val="1D2F5B2A"/>
    <w:rsid w:val="1D340AC1"/>
    <w:rsid w:val="1D3C3005"/>
    <w:rsid w:val="1D410849"/>
    <w:rsid w:val="1D450E86"/>
    <w:rsid w:val="1D486C82"/>
    <w:rsid w:val="1D4B77FF"/>
    <w:rsid w:val="1D52602C"/>
    <w:rsid w:val="1D532951"/>
    <w:rsid w:val="1D550A5B"/>
    <w:rsid w:val="1D594632"/>
    <w:rsid w:val="1D5C6560"/>
    <w:rsid w:val="1D63359F"/>
    <w:rsid w:val="1D687975"/>
    <w:rsid w:val="1D69594B"/>
    <w:rsid w:val="1D6D62A3"/>
    <w:rsid w:val="1D6F3DC4"/>
    <w:rsid w:val="1D710672"/>
    <w:rsid w:val="1D715850"/>
    <w:rsid w:val="1D7518EE"/>
    <w:rsid w:val="1D777EC7"/>
    <w:rsid w:val="1D787B4E"/>
    <w:rsid w:val="1D794905"/>
    <w:rsid w:val="1D7A639C"/>
    <w:rsid w:val="1D7C32FD"/>
    <w:rsid w:val="1D7F6677"/>
    <w:rsid w:val="1D805EA0"/>
    <w:rsid w:val="1D8463EC"/>
    <w:rsid w:val="1D853A23"/>
    <w:rsid w:val="1D8C27F4"/>
    <w:rsid w:val="1D8E188C"/>
    <w:rsid w:val="1D912F6A"/>
    <w:rsid w:val="1D954C16"/>
    <w:rsid w:val="1D96442A"/>
    <w:rsid w:val="1D9D241A"/>
    <w:rsid w:val="1DA17964"/>
    <w:rsid w:val="1DAF1EE2"/>
    <w:rsid w:val="1DB23EDF"/>
    <w:rsid w:val="1DB8221E"/>
    <w:rsid w:val="1DB91275"/>
    <w:rsid w:val="1DBF2E2F"/>
    <w:rsid w:val="1DC02F0C"/>
    <w:rsid w:val="1DC64084"/>
    <w:rsid w:val="1DC93E51"/>
    <w:rsid w:val="1DCA21A7"/>
    <w:rsid w:val="1DCA411D"/>
    <w:rsid w:val="1DCA6510"/>
    <w:rsid w:val="1DCB3A00"/>
    <w:rsid w:val="1DCD2633"/>
    <w:rsid w:val="1DD75A65"/>
    <w:rsid w:val="1DDF63E4"/>
    <w:rsid w:val="1DE0312D"/>
    <w:rsid w:val="1DE21090"/>
    <w:rsid w:val="1DE211C5"/>
    <w:rsid w:val="1DE636A6"/>
    <w:rsid w:val="1DEC6532"/>
    <w:rsid w:val="1DEE0B9D"/>
    <w:rsid w:val="1DF3687A"/>
    <w:rsid w:val="1DF71404"/>
    <w:rsid w:val="1DF82BAF"/>
    <w:rsid w:val="1DFB45A9"/>
    <w:rsid w:val="1E024614"/>
    <w:rsid w:val="1E026A6F"/>
    <w:rsid w:val="1E0311D4"/>
    <w:rsid w:val="1E0600E5"/>
    <w:rsid w:val="1E090E74"/>
    <w:rsid w:val="1E0C615F"/>
    <w:rsid w:val="1E18707C"/>
    <w:rsid w:val="1E1A6591"/>
    <w:rsid w:val="1E1C16BB"/>
    <w:rsid w:val="1E203567"/>
    <w:rsid w:val="1E227D98"/>
    <w:rsid w:val="1E252CCF"/>
    <w:rsid w:val="1E274C4D"/>
    <w:rsid w:val="1E294BD3"/>
    <w:rsid w:val="1E2B0B0E"/>
    <w:rsid w:val="1E2E214C"/>
    <w:rsid w:val="1E2E5DC4"/>
    <w:rsid w:val="1E2E61EA"/>
    <w:rsid w:val="1E2F3CC8"/>
    <w:rsid w:val="1E3418CC"/>
    <w:rsid w:val="1E353E46"/>
    <w:rsid w:val="1E360353"/>
    <w:rsid w:val="1E36109D"/>
    <w:rsid w:val="1E382A51"/>
    <w:rsid w:val="1E406F8C"/>
    <w:rsid w:val="1E4157B5"/>
    <w:rsid w:val="1E44476F"/>
    <w:rsid w:val="1E460A80"/>
    <w:rsid w:val="1E471FF9"/>
    <w:rsid w:val="1E477CAA"/>
    <w:rsid w:val="1E484DB3"/>
    <w:rsid w:val="1E4E698A"/>
    <w:rsid w:val="1E4F6DD2"/>
    <w:rsid w:val="1E506328"/>
    <w:rsid w:val="1E581979"/>
    <w:rsid w:val="1E59500F"/>
    <w:rsid w:val="1E597356"/>
    <w:rsid w:val="1E5B0338"/>
    <w:rsid w:val="1E5B4971"/>
    <w:rsid w:val="1E5F5CBE"/>
    <w:rsid w:val="1E603D6A"/>
    <w:rsid w:val="1E614799"/>
    <w:rsid w:val="1E624CF5"/>
    <w:rsid w:val="1E62559E"/>
    <w:rsid w:val="1E665AD1"/>
    <w:rsid w:val="1E6D6135"/>
    <w:rsid w:val="1E733838"/>
    <w:rsid w:val="1E772329"/>
    <w:rsid w:val="1E7748A4"/>
    <w:rsid w:val="1E777D80"/>
    <w:rsid w:val="1E7B42A7"/>
    <w:rsid w:val="1E7B54B7"/>
    <w:rsid w:val="1E7C0783"/>
    <w:rsid w:val="1E801171"/>
    <w:rsid w:val="1E8025DB"/>
    <w:rsid w:val="1E8038FE"/>
    <w:rsid w:val="1E8422E4"/>
    <w:rsid w:val="1E872889"/>
    <w:rsid w:val="1E886F14"/>
    <w:rsid w:val="1E8D172E"/>
    <w:rsid w:val="1E8D1D53"/>
    <w:rsid w:val="1E8F161F"/>
    <w:rsid w:val="1E9049CE"/>
    <w:rsid w:val="1E941459"/>
    <w:rsid w:val="1E947205"/>
    <w:rsid w:val="1E9531DC"/>
    <w:rsid w:val="1E954550"/>
    <w:rsid w:val="1E984DD1"/>
    <w:rsid w:val="1E985CD1"/>
    <w:rsid w:val="1E9A7171"/>
    <w:rsid w:val="1E9B0921"/>
    <w:rsid w:val="1E9C11A8"/>
    <w:rsid w:val="1EA16AD0"/>
    <w:rsid w:val="1EA7613A"/>
    <w:rsid w:val="1EAD1042"/>
    <w:rsid w:val="1EB34EC4"/>
    <w:rsid w:val="1EBF02A8"/>
    <w:rsid w:val="1EC44509"/>
    <w:rsid w:val="1EC605B0"/>
    <w:rsid w:val="1EC60759"/>
    <w:rsid w:val="1EC71923"/>
    <w:rsid w:val="1EC77266"/>
    <w:rsid w:val="1EC827D8"/>
    <w:rsid w:val="1ECC6FCC"/>
    <w:rsid w:val="1ECD2EE1"/>
    <w:rsid w:val="1ED31812"/>
    <w:rsid w:val="1ED369E5"/>
    <w:rsid w:val="1ED65589"/>
    <w:rsid w:val="1ED67B8C"/>
    <w:rsid w:val="1EDC0C0C"/>
    <w:rsid w:val="1EDE5C3F"/>
    <w:rsid w:val="1EE17488"/>
    <w:rsid w:val="1EE40D56"/>
    <w:rsid w:val="1EE86DC4"/>
    <w:rsid w:val="1EE97D17"/>
    <w:rsid w:val="1EEB7FBF"/>
    <w:rsid w:val="1EED18D6"/>
    <w:rsid w:val="1EF02DBA"/>
    <w:rsid w:val="1EF2469F"/>
    <w:rsid w:val="1EF25708"/>
    <w:rsid w:val="1EF635C8"/>
    <w:rsid w:val="1EF76CF3"/>
    <w:rsid w:val="1EF82F10"/>
    <w:rsid w:val="1EFA468C"/>
    <w:rsid w:val="1EFB7AF9"/>
    <w:rsid w:val="1EFF6499"/>
    <w:rsid w:val="1F024F59"/>
    <w:rsid w:val="1F062E30"/>
    <w:rsid w:val="1F077C1E"/>
    <w:rsid w:val="1F08229B"/>
    <w:rsid w:val="1F082D49"/>
    <w:rsid w:val="1F0C48B0"/>
    <w:rsid w:val="1F0D3B20"/>
    <w:rsid w:val="1F0E3A9C"/>
    <w:rsid w:val="1F123657"/>
    <w:rsid w:val="1F16787E"/>
    <w:rsid w:val="1F172F5B"/>
    <w:rsid w:val="1F186446"/>
    <w:rsid w:val="1F195E6D"/>
    <w:rsid w:val="1F1A7788"/>
    <w:rsid w:val="1F1D03B4"/>
    <w:rsid w:val="1F205837"/>
    <w:rsid w:val="1F2061AC"/>
    <w:rsid w:val="1F2254C3"/>
    <w:rsid w:val="1F234F3D"/>
    <w:rsid w:val="1F23605D"/>
    <w:rsid w:val="1F2523F9"/>
    <w:rsid w:val="1F25511F"/>
    <w:rsid w:val="1F266CA2"/>
    <w:rsid w:val="1F334115"/>
    <w:rsid w:val="1F336040"/>
    <w:rsid w:val="1F3779B2"/>
    <w:rsid w:val="1F383A46"/>
    <w:rsid w:val="1F391B5B"/>
    <w:rsid w:val="1F3A2298"/>
    <w:rsid w:val="1F3B4612"/>
    <w:rsid w:val="1F3C61BD"/>
    <w:rsid w:val="1F3E4B2E"/>
    <w:rsid w:val="1F3F128B"/>
    <w:rsid w:val="1F41119A"/>
    <w:rsid w:val="1F41501A"/>
    <w:rsid w:val="1F421E25"/>
    <w:rsid w:val="1F431931"/>
    <w:rsid w:val="1F4346F6"/>
    <w:rsid w:val="1F4426FD"/>
    <w:rsid w:val="1F476DDB"/>
    <w:rsid w:val="1F4A5CDA"/>
    <w:rsid w:val="1F4B0F63"/>
    <w:rsid w:val="1F502E7C"/>
    <w:rsid w:val="1F51439C"/>
    <w:rsid w:val="1F52523C"/>
    <w:rsid w:val="1F543F5F"/>
    <w:rsid w:val="1F547B32"/>
    <w:rsid w:val="1F550426"/>
    <w:rsid w:val="1F571E5C"/>
    <w:rsid w:val="1F5C5525"/>
    <w:rsid w:val="1F5D48FD"/>
    <w:rsid w:val="1F63204D"/>
    <w:rsid w:val="1F632E2B"/>
    <w:rsid w:val="1F642648"/>
    <w:rsid w:val="1F6527E6"/>
    <w:rsid w:val="1F68655F"/>
    <w:rsid w:val="1F6D2357"/>
    <w:rsid w:val="1F706188"/>
    <w:rsid w:val="1F717E53"/>
    <w:rsid w:val="1F760AC9"/>
    <w:rsid w:val="1F774DDD"/>
    <w:rsid w:val="1F782A88"/>
    <w:rsid w:val="1F7A275F"/>
    <w:rsid w:val="1F7E7478"/>
    <w:rsid w:val="1F7F7C58"/>
    <w:rsid w:val="1F8057AC"/>
    <w:rsid w:val="1F87193E"/>
    <w:rsid w:val="1F8808B7"/>
    <w:rsid w:val="1F884731"/>
    <w:rsid w:val="1F8852E1"/>
    <w:rsid w:val="1F8A366F"/>
    <w:rsid w:val="1F8A7B93"/>
    <w:rsid w:val="1F8C2EB3"/>
    <w:rsid w:val="1F8C3631"/>
    <w:rsid w:val="1F8E722B"/>
    <w:rsid w:val="1F9269AF"/>
    <w:rsid w:val="1F953425"/>
    <w:rsid w:val="1F9816E2"/>
    <w:rsid w:val="1F9A37C5"/>
    <w:rsid w:val="1F9A5A7E"/>
    <w:rsid w:val="1F9C6D60"/>
    <w:rsid w:val="1F9E53FC"/>
    <w:rsid w:val="1FA31893"/>
    <w:rsid w:val="1FA52D06"/>
    <w:rsid w:val="1FA73010"/>
    <w:rsid w:val="1FA8529F"/>
    <w:rsid w:val="1FA86D80"/>
    <w:rsid w:val="1FAA6E31"/>
    <w:rsid w:val="1FAE4DB1"/>
    <w:rsid w:val="1FAE6186"/>
    <w:rsid w:val="1FB05328"/>
    <w:rsid w:val="1FB1276B"/>
    <w:rsid w:val="1FB27199"/>
    <w:rsid w:val="1FBB493D"/>
    <w:rsid w:val="1FBB4E9D"/>
    <w:rsid w:val="1FBC46E8"/>
    <w:rsid w:val="1FBD451B"/>
    <w:rsid w:val="1FBD5768"/>
    <w:rsid w:val="1FC12A98"/>
    <w:rsid w:val="1FC728E7"/>
    <w:rsid w:val="1FC97A34"/>
    <w:rsid w:val="1FCC53CB"/>
    <w:rsid w:val="1FCE2229"/>
    <w:rsid w:val="1FCE42BE"/>
    <w:rsid w:val="1FD20453"/>
    <w:rsid w:val="1FD34220"/>
    <w:rsid w:val="1FD505C8"/>
    <w:rsid w:val="1FD54D93"/>
    <w:rsid w:val="1FD82FE4"/>
    <w:rsid w:val="1FDA232A"/>
    <w:rsid w:val="1FDD68F7"/>
    <w:rsid w:val="1FE5169A"/>
    <w:rsid w:val="1FE6240D"/>
    <w:rsid w:val="1FE70FDB"/>
    <w:rsid w:val="1FE76895"/>
    <w:rsid w:val="1FE80B31"/>
    <w:rsid w:val="1FE97A0A"/>
    <w:rsid w:val="1FEA3808"/>
    <w:rsid w:val="1FEB7843"/>
    <w:rsid w:val="1FEF3950"/>
    <w:rsid w:val="1FF30D93"/>
    <w:rsid w:val="1FF3774C"/>
    <w:rsid w:val="1FF647F0"/>
    <w:rsid w:val="1FF670DD"/>
    <w:rsid w:val="1FF70178"/>
    <w:rsid w:val="1FFC578E"/>
    <w:rsid w:val="1FFC753C"/>
    <w:rsid w:val="20026AC0"/>
    <w:rsid w:val="20076707"/>
    <w:rsid w:val="2009186A"/>
    <w:rsid w:val="200A3A07"/>
    <w:rsid w:val="200C1B3B"/>
    <w:rsid w:val="200D2502"/>
    <w:rsid w:val="201B6D7F"/>
    <w:rsid w:val="201B7739"/>
    <w:rsid w:val="201D3AB4"/>
    <w:rsid w:val="201E5F05"/>
    <w:rsid w:val="201F54D3"/>
    <w:rsid w:val="20202366"/>
    <w:rsid w:val="20217CD5"/>
    <w:rsid w:val="202315B6"/>
    <w:rsid w:val="2024693B"/>
    <w:rsid w:val="20274E77"/>
    <w:rsid w:val="202D46D9"/>
    <w:rsid w:val="20331B7F"/>
    <w:rsid w:val="203C515C"/>
    <w:rsid w:val="203E05EF"/>
    <w:rsid w:val="20426436"/>
    <w:rsid w:val="2043516B"/>
    <w:rsid w:val="2045214D"/>
    <w:rsid w:val="204741FE"/>
    <w:rsid w:val="204D1901"/>
    <w:rsid w:val="204D6EF3"/>
    <w:rsid w:val="204E33FE"/>
    <w:rsid w:val="20523600"/>
    <w:rsid w:val="205313F6"/>
    <w:rsid w:val="20571ED8"/>
    <w:rsid w:val="2057204D"/>
    <w:rsid w:val="205C58D0"/>
    <w:rsid w:val="20623843"/>
    <w:rsid w:val="206357DA"/>
    <w:rsid w:val="20653E0F"/>
    <w:rsid w:val="206829CA"/>
    <w:rsid w:val="20685111"/>
    <w:rsid w:val="206A31F5"/>
    <w:rsid w:val="206A52CA"/>
    <w:rsid w:val="206B3C8D"/>
    <w:rsid w:val="206C6CEF"/>
    <w:rsid w:val="206E3D25"/>
    <w:rsid w:val="206E7475"/>
    <w:rsid w:val="2071782D"/>
    <w:rsid w:val="20755510"/>
    <w:rsid w:val="207619A9"/>
    <w:rsid w:val="207661C7"/>
    <w:rsid w:val="20796DDF"/>
    <w:rsid w:val="207A2A98"/>
    <w:rsid w:val="207B090F"/>
    <w:rsid w:val="20814ED2"/>
    <w:rsid w:val="20847C5E"/>
    <w:rsid w:val="208539D6"/>
    <w:rsid w:val="208A1849"/>
    <w:rsid w:val="208A4839"/>
    <w:rsid w:val="208F0679"/>
    <w:rsid w:val="20950DE7"/>
    <w:rsid w:val="20952D14"/>
    <w:rsid w:val="20956322"/>
    <w:rsid w:val="20960BD0"/>
    <w:rsid w:val="2097336C"/>
    <w:rsid w:val="209A00DC"/>
    <w:rsid w:val="209A5155"/>
    <w:rsid w:val="209D1D04"/>
    <w:rsid w:val="20A0369F"/>
    <w:rsid w:val="20A17A40"/>
    <w:rsid w:val="20A47E58"/>
    <w:rsid w:val="20AD5E1E"/>
    <w:rsid w:val="20B05444"/>
    <w:rsid w:val="20B130A1"/>
    <w:rsid w:val="20B20B07"/>
    <w:rsid w:val="20B500C1"/>
    <w:rsid w:val="20B66063"/>
    <w:rsid w:val="20B66929"/>
    <w:rsid w:val="20B738FF"/>
    <w:rsid w:val="20B77240"/>
    <w:rsid w:val="20B9542D"/>
    <w:rsid w:val="20BB42D2"/>
    <w:rsid w:val="20BB57DA"/>
    <w:rsid w:val="20C2018C"/>
    <w:rsid w:val="20C25F02"/>
    <w:rsid w:val="20C86C49"/>
    <w:rsid w:val="20CD76A5"/>
    <w:rsid w:val="20CF4B13"/>
    <w:rsid w:val="20D1108C"/>
    <w:rsid w:val="20D414E3"/>
    <w:rsid w:val="20D74D5F"/>
    <w:rsid w:val="20D76314"/>
    <w:rsid w:val="20D82020"/>
    <w:rsid w:val="20D9646E"/>
    <w:rsid w:val="20DE0E7A"/>
    <w:rsid w:val="20DE1C9A"/>
    <w:rsid w:val="20E221E4"/>
    <w:rsid w:val="20E53376"/>
    <w:rsid w:val="20E70C38"/>
    <w:rsid w:val="20E830D5"/>
    <w:rsid w:val="20EE095C"/>
    <w:rsid w:val="20EE5EF7"/>
    <w:rsid w:val="20FB21BF"/>
    <w:rsid w:val="20FF23F1"/>
    <w:rsid w:val="21022BC0"/>
    <w:rsid w:val="21067376"/>
    <w:rsid w:val="21096B84"/>
    <w:rsid w:val="210B41CE"/>
    <w:rsid w:val="210C1A01"/>
    <w:rsid w:val="210C2E65"/>
    <w:rsid w:val="210C52C5"/>
    <w:rsid w:val="210D22FC"/>
    <w:rsid w:val="210D620E"/>
    <w:rsid w:val="210E6C52"/>
    <w:rsid w:val="211B5F81"/>
    <w:rsid w:val="211B6D66"/>
    <w:rsid w:val="21263185"/>
    <w:rsid w:val="21294D97"/>
    <w:rsid w:val="212B5C42"/>
    <w:rsid w:val="212D1E11"/>
    <w:rsid w:val="212F5B1E"/>
    <w:rsid w:val="21307C45"/>
    <w:rsid w:val="21354AB4"/>
    <w:rsid w:val="21364FFC"/>
    <w:rsid w:val="21380E30"/>
    <w:rsid w:val="21383DA2"/>
    <w:rsid w:val="213A213C"/>
    <w:rsid w:val="2140435C"/>
    <w:rsid w:val="21477155"/>
    <w:rsid w:val="215435B5"/>
    <w:rsid w:val="21553FD0"/>
    <w:rsid w:val="2155613A"/>
    <w:rsid w:val="215746CB"/>
    <w:rsid w:val="215B0293"/>
    <w:rsid w:val="21630117"/>
    <w:rsid w:val="21652718"/>
    <w:rsid w:val="216577E9"/>
    <w:rsid w:val="21660F1A"/>
    <w:rsid w:val="21671423"/>
    <w:rsid w:val="216A59FF"/>
    <w:rsid w:val="216B40B6"/>
    <w:rsid w:val="216C6E6A"/>
    <w:rsid w:val="216E3857"/>
    <w:rsid w:val="216F5CB3"/>
    <w:rsid w:val="21715339"/>
    <w:rsid w:val="21724273"/>
    <w:rsid w:val="217465D2"/>
    <w:rsid w:val="217A4226"/>
    <w:rsid w:val="217F2A3E"/>
    <w:rsid w:val="21816786"/>
    <w:rsid w:val="21816AC6"/>
    <w:rsid w:val="2186527B"/>
    <w:rsid w:val="21867F2C"/>
    <w:rsid w:val="2188056D"/>
    <w:rsid w:val="21894815"/>
    <w:rsid w:val="2189626E"/>
    <w:rsid w:val="21896825"/>
    <w:rsid w:val="218F2809"/>
    <w:rsid w:val="218F513B"/>
    <w:rsid w:val="21916094"/>
    <w:rsid w:val="219A3DCF"/>
    <w:rsid w:val="219A4DB4"/>
    <w:rsid w:val="219A58D6"/>
    <w:rsid w:val="219C6AE7"/>
    <w:rsid w:val="219E2669"/>
    <w:rsid w:val="219F3D03"/>
    <w:rsid w:val="219F5777"/>
    <w:rsid w:val="21A02DF2"/>
    <w:rsid w:val="21A23CC1"/>
    <w:rsid w:val="21A24300"/>
    <w:rsid w:val="21A25BF8"/>
    <w:rsid w:val="21A26020"/>
    <w:rsid w:val="21A44ACE"/>
    <w:rsid w:val="21A44AD3"/>
    <w:rsid w:val="21A8797C"/>
    <w:rsid w:val="21AF0627"/>
    <w:rsid w:val="21B222C0"/>
    <w:rsid w:val="21B239C6"/>
    <w:rsid w:val="21B3155B"/>
    <w:rsid w:val="21B764CD"/>
    <w:rsid w:val="21B812D8"/>
    <w:rsid w:val="21BD6196"/>
    <w:rsid w:val="21C173F3"/>
    <w:rsid w:val="21C3208B"/>
    <w:rsid w:val="21C347B6"/>
    <w:rsid w:val="21C839CE"/>
    <w:rsid w:val="21C979FE"/>
    <w:rsid w:val="21CD2655"/>
    <w:rsid w:val="21CD3378"/>
    <w:rsid w:val="21CD75D5"/>
    <w:rsid w:val="21D20555"/>
    <w:rsid w:val="21D23A45"/>
    <w:rsid w:val="21D327EF"/>
    <w:rsid w:val="21DA6174"/>
    <w:rsid w:val="21DB5C86"/>
    <w:rsid w:val="21DC6D0A"/>
    <w:rsid w:val="21DD133D"/>
    <w:rsid w:val="21E026BA"/>
    <w:rsid w:val="21E140A1"/>
    <w:rsid w:val="21E25679"/>
    <w:rsid w:val="21E42B61"/>
    <w:rsid w:val="21E524FD"/>
    <w:rsid w:val="21EB011F"/>
    <w:rsid w:val="21EB292F"/>
    <w:rsid w:val="21F220A8"/>
    <w:rsid w:val="21F957CF"/>
    <w:rsid w:val="21FA1EDF"/>
    <w:rsid w:val="21FA63AE"/>
    <w:rsid w:val="21FE01EB"/>
    <w:rsid w:val="21FE043B"/>
    <w:rsid w:val="21FF65AB"/>
    <w:rsid w:val="22063755"/>
    <w:rsid w:val="220D5A31"/>
    <w:rsid w:val="22114AF7"/>
    <w:rsid w:val="22121DA1"/>
    <w:rsid w:val="22125273"/>
    <w:rsid w:val="221340A0"/>
    <w:rsid w:val="22142ECB"/>
    <w:rsid w:val="22143478"/>
    <w:rsid w:val="22146DBF"/>
    <w:rsid w:val="22163203"/>
    <w:rsid w:val="22164847"/>
    <w:rsid w:val="221C31DD"/>
    <w:rsid w:val="221C6660"/>
    <w:rsid w:val="22202727"/>
    <w:rsid w:val="22223ED6"/>
    <w:rsid w:val="2223103F"/>
    <w:rsid w:val="22255E1B"/>
    <w:rsid w:val="22264DFE"/>
    <w:rsid w:val="22266513"/>
    <w:rsid w:val="2228687C"/>
    <w:rsid w:val="2228794E"/>
    <w:rsid w:val="22293DAC"/>
    <w:rsid w:val="222B4109"/>
    <w:rsid w:val="222D66D8"/>
    <w:rsid w:val="222F32A5"/>
    <w:rsid w:val="223215B0"/>
    <w:rsid w:val="22345C93"/>
    <w:rsid w:val="223C5396"/>
    <w:rsid w:val="224A7E32"/>
    <w:rsid w:val="224D0688"/>
    <w:rsid w:val="224D407F"/>
    <w:rsid w:val="224E1A8D"/>
    <w:rsid w:val="22536448"/>
    <w:rsid w:val="22540F67"/>
    <w:rsid w:val="2256273C"/>
    <w:rsid w:val="22570048"/>
    <w:rsid w:val="22610A32"/>
    <w:rsid w:val="22650199"/>
    <w:rsid w:val="2268071D"/>
    <w:rsid w:val="226B7204"/>
    <w:rsid w:val="226E18C3"/>
    <w:rsid w:val="22706523"/>
    <w:rsid w:val="2274388F"/>
    <w:rsid w:val="2274695C"/>
    <w:rsid w:val="22761853"/>
    <w:rsid w:val="22783D2E"/>
    <w:rsid w:val="227A10CF"/>
    <w:rsid w:val="227C3FA3"/>
    <w:rsid w:val="227F6D14"/>
    <w:rsid w:val="22805DB8"/>
    <w:rsid w:val="228248F7"/>
    <w:rsid w:val="22827D86"/>
    <w:rsid w:val="2283316A"/>
    <w:rsid w:val="22833377"/>
    <w:rsid w:val="22856993"/>
    <w:rsid w:val="22875C06"/>
    <w:rsid w:val="228A4566"/>
    <w:rsid w:val="228B7A47"/>
    <w:rsid w:val="228C6BE1"/>
    <w:rsid w:val="228F15FE"/>
    <w:rsid w:val="228F35EA"/>
    <w:rsid w:val="228F5FE7"/>
    <w:rsid w:val="228F603B"/>
    <w:rsid w:val="22915BE2"/>
    <w:rsid w:val="22951FB4"/>
    <w:rsid w:val="229554CA"/>
    <w:rsid w:val="229606CD"/>
    <w:rsid w:val="22974544"/>
    <w:rsid w:val="22995516"/>
    <w:rsid w:val="229D380F"/>
    <w:rsid w:val="229E0CF1"/>
    <w:rsid w:val="22A1482E"/>
    <w:rsid w:val="22A25C6E"/>
    <w:rsid w:val="22A540C5"/>
    <w:rsid w:val="22A65197"/>
    <w:rsid w:val="22A763F2"/>
    <w:rsid w:val="22AC3486"/>
    <w:rsid w:val="22AD2C58"/>
    <w:rsid w:val="22B42BFE"/>
    <w:rsid w:val="22BC769E"/>
    <w:rsid w:val="22BD00CB"/>
    <w:rsid w:val="22C81958"/>
    <w:rsid w:val="22CB20FD"/>
    <w:rsid w:val="22CD7867"/>
    <w:rsid w:val="22CF7C29"/>
    <w:rsid w:val="22D1341D"/>
    <w:rsid w:val="22D24FF5"/>
    <w:rsid w:val="22D94935"/>
    <w:rsid w:val="22DA5D77"/>
    <w:rsid w:val="22DC493D"/>
    <w:rsid w:val="22DF2808"/>
    <w:rsid w:val="22E356C6"/>
    <w:rsid w:val="22E5460B"/>
    <w:rsid w:val="22E64441"/>
    <w:rsid w:val="22E86431"/>
    <w:rsid w:val="22ED5DB9"/>
    <w:rsid w:val="22EE67DF"/>
    <w:rsid w:val="22F05CC6"/>
    <w:rsid w:val="22F81E58"/>
    <w:rsid w:val="22FA1939"/>
    <w:rsid w:val="22FC1021"/>
    <w:rsid w:val="22FC1804"/>
    <w:rsid w:val="23025FFD"/>
    <w:rsid w:val="23042A2B"/>
    <w:rsid w:val="230756FE"/>
    <w:rsid w:val="23096FA4"/>
    <w:rsid w:val="23097526"/>
    <w:rsid w:val="230E0777"/>
    <w:rsid w:val="230F65CF"/>
    <w:rsid w:val="231221D3"/>
    <w:rsid w:val="23185657"/>
    <w:rsid w:val="231A4A95"/>
    <w:rsid w:val="23247E68"/>
    <w:rsid w:val="2325314E"/>
    <w:rsid w:val="23256999"/>
    <w:rsid w:val="2327530F"/>
    <w:rsid w:val="23281931"/>
    <w:rsid w:val="23283A4A"/>
    <w:rsid w:val="23297221"/>
    <w:rsid w:val="232F07D6"/>
    <w:rsid w:val="2332271B"/>
    <w:rsid w:val="23372E82"/>
    <w:rsid w:val="23383351"/>
    <w:rsid w:val="23385236"/>
    <w:rsid w:val="233C27BF"/>
    <w:rsid w:val="233E6B04"/>
    <w:rsid w:val="233F4A01"/>
    <w:rsid w:val="23405B5C"/>
    <w:rsid w:val="234A41ED"/>
    <w:rsid w:val="235365DE"/>
    <w:rsid w:val="2357581F"/>
    <w:rsid w:val="235A68FF"/>
    <w:rsid w:val="235B2182"/>
    <w:rsid w:val="235B3A2D"/>
    <w:rsid w:val="235F3580"/>
    <w:rsid w:val="236310D2"/>
    <w:rsid w:val="23674683"/>
    <w:rsid w:val="23687E3D"/>
    <w:rsid w:val="236A3C2A"/>
    <w:rsid w:val="236B2580"/>
    <w:rsid w:val="23716B0D"/>
    <w:rsid w:val="23741D13"/>
    <w:rsid w:val="23763610"/>
    <w:rsid w:val="23771B3D"/>
    <w:rsid w:val="237A6AE7"/>
    <w:rsid w:val="237A782D"/>
    <w:rsid w:val="237B334F"/>
    <w:rsid w:val="237C6EFA"/>
    <w:rsid w:val="237F683B"/>
    <w:rsid w:val="23812232"/>
    <w:rsid w:val="23870FBC"/>
    <w:rsid w:val="23875BFA"/>
    <w:rsid w:val="2387747E"/>
    <w:rsid w:val="2389175A"/>
    <w:rsid w:val="238A6E15"/>
    <w:rsid w:val="238D796B"/>
    <w:rsid w:val="238D79B9"/>
    <w:rsid w:val="239007B8"/>
    <w:rsid w:val="23907E9E"/>
    <w:rsid w:val="23947259"/>
    <w:rsid w:val="23960655"/>
    <w:rsid w:val="239620C2"/>
    <w:rsid w:val="239878A9"/>
    <w:rsid w:val="239A5433"/>
    <w:rsid w:val="23A02D44"/>
    <w:rsid w:val="23AD2651"/>
    <w:rsid w:val="23AE6016"/>
    <w:rsid w:val="23B1431C"/>
    <w:rsid w:val="23B45798"/>
    <w:rsid w:val="23B5295E"/>
    <w:rsid w:val="23B70CEE"/>
    <w:rsid w:val="23BA226E"/>
    <w:rsid w:val="23C22E2D"/>
    <w:rsid w:val="23C23AA7"/>
    <w:rsid w:val="23C607CF"/>
    <w:rsid w:val="23C66316"/>
    <w:rsid w:val="23C867EA"/>
    <w:rsid w:val="23C95ECA"/>
    <w:rsid w:val="23CB1B6E"/>
    <w:rsid w:val="23D02BFD"/>
    <w:rsid w:val="23D35E41"/>
    <w:rsid w:val="23D375EA"/>
    <w:rsid w:val="23D411E5"/>
    <w:rsid w:val="23D67A67"/>
    <w:rsid w:val="23D72988"/>
    <w:rsid w:val="23D92195"/>
    <w:rsid w:val="23DB5FAC"/>
    <w:rsid w:val="23DB7683"/>
    <w:rsid w:val="23DC64ED"/>
    <w:rsid w:val="23DD1B81"/>
    <w:rsid w:val="23DE352F"/>
    <w:rsid w:val="23E306B4"/>
    <w:rsid w:val="23E641AD"/>
    <w:rsid w:val="23F02655"/>
    <w:rsid w:val="23F152F7"/>
    <w:rsid w:val="23F4022A"/>
    <w:rsid w:val="23F5635B"/>
    <w:rsid w:val="23F73C78"/>
    <w:rsid w:val="23F779C4"/>
    <w:rsid w:val="23F90CF5"/>
    <w:rsid w:val="23F91D04"/>
    <w:rsid w:val="23FC2C2E"/>
    <w:rsid w:val="23FC7260"/>
    <w:rsid w:val="240370EB"/>
    <w:rsid w:val="24061787"/>
    <w:rsid w:val="240717E1"/>
    <w:rsid w:val="240B79E4"/>
    <w:rsid w:val="240C73E0"/>
    <w:rsid w:val="240D76AC"/>
    <w:rsid w:val="241119BA"/>
    <w:rsid w:val="2413511F"/>
    <w:rsid w:val="24144A64"/>
    <w:rsid w:val="24164F85"/>
    <w:rsid w:val="241F18CE"/>
    <w:rsid w:val="241F721E"/>
    <w:rsid w:val="24206012"/>
    <w:rsid w:val="24215AB5"/>
    <w:rsid w:val="2425120C"/>
    <w:rsid w:val="242603AF"/>
    <w:rsid w:val="242A5F8D"/>
    <w:rsid w:val="242B0080"/>
    <w:rsid w:val="243224C7"/>
    <w:rsid w:val="243276BE"/>
    <w:rsid w:val="24342528"/>
    <w:rsid w:val="24357B40"/>
    <w:rsid w:val="24392B1A"/>
    <w:rsid w:val="243A0532"/>
    <w:rsid w:val="243C60EA"/>
    <w:rsid w:val="243E45C7"/>
    <w:rsid w:val="24420D9A"/>
    <w:rsid w:val="24433F6E"/>
    <w:rsid w:val="24536A5D"/>
    <w:rsid w:val="245770D5"/>
    <w:rsid w:val="24582133"/>
    <w:rsid w:val="24584A5A"/>
    <w:rsid w:val="245F0B9B"/>
    <w:rsid w:val="2461233C"/>
    <w:rsid w:val="24635A73"/>
    <w:rsid w:val="246613C1"/>
    <w:rsid w:val="2466769D"/>
    <w:rsid w:val="24693FAA"/>
    <w:rsid w:val="246A5438"/>
    <w:rsid w:val="246D16A3"/>
    <w:rsid w:val="246E02FA"/>
    <w:rsid w:val="246E2240"/>
    <w:rsid w:val="246F2B60"/>
    <w:rsid w:val="246F396D"/>
    <w:rsid w:val="24725F25"/>
    <w:rsid w:val="247471B7"/>
    <w:rsid w:val="247A0DC8"/>
    <w:rsid w:val="247D1CDF"/>
    <w:rsid w:val="24816E5D"/>
    <w:rsid w:val="2483408C"/>
    <w:rsid w:val="248507CD"/>
    <w:rsid w:val="24857441"/>
    <w:rsid w:val="24882038"/>
    <w:rsid w:val="24885842"/>
    <w:rsid w:val="2488643B"/>
    <w:rsid w:val="248A70C1"/>
    <w:rsid w:val="248F2B66"/>
    <w:rsid w:val="24971597"/>
    <w:rsid w:val="24982A8B"/>
    <w:rsid w:val="24995226"/>
    <w:rsid w:val="24A3267C"/>
    <w:rsid w:val="24A54CE4"/>
    <w:rsid w:val="24A55543"/>
    <w:rsid w:val="24A8230B"/>
    <w:rsid w:val="24A935BB"/>
    <w:rsid w:val="24AF428E"/>
    <w:rsid w:val="24C03D5A"/>
    <w:rsid w:val="24C17942"/>
    <w:rsid w:val="24C719FC"/>
    <w:rsid w:val="24C85037"/>
    <w:rsid w:val="24CA0964"/>
    <w:rsid w:val="24CA42F2"/>
    <w:rsid w:val="24D3050C"/>
    <w:rsid w:val="24D37118"/>
    <w:rsid w:val="24D707B7"/>
    <w:rsid w:val="24DB7062"/>
    <w:rsid w:val="24DC74DF"/>
    <w:rsid w:val="24DD67A6"/>
    <w:rsid w:val="24DD6CC8"/>
    <w:rsid w:val="24DF1645"/>
    <w:rsid w:val="24DF5A46"/>
    <w:rsid w:val="24E135A4"/>
    <w:rsid w:val="24E42E49"/>
    <w:rsid w:val="24E52C95"/>
    <w:rsid w:val="24E65C5C"/>
    <w:rsid w:val="24E92EE4"/>
    <w:rsid w:val="24ED3F9A"/>
    <w:rsid w:val="24EF0F84"/>
    <w:rsid w:val="24F05E57"/>
    <w:rsid w:val="24FB7DC2"/>
    <w:rsid w:val="24FF70CD"/>
    <w:rsid w:val="25007288"/>
    <w:rsid w:val="250A7EBC"/>
    <w:rsid w:val="250D1501"/>
    <w:rsid w:val="250F4C0D"/>
    <w:rsid w:val="25114490"/>
    <w:rsid w:val="25132B03"/>
    <w:rsid w:val="251B11C5"/>
    <w:rsid w:val="251C1E43"/>
    <w:rsid w:val="251C6A1C"/>
    <w:rsid w:val="251C714D"/>
    <w:rsid w:val="251D7794"/>
    <w:rsid w:val="252209BD"/>
    <w:rsid w:val="25227EA9"/>
    <w:rsid w:val="252703E7"/>
    <w:rsid w:val="252900D9"/>
    <w:rsid w:val="252B15DA"/>
    <w:rsid w:val="252C06F0"/>
    <w:rsid w:val="252C3FEF"/>
    <w:rsid w:val="25331EF1"/>
    <w:rsid w:val="253A08E9"/>
    <w:rsid w:val="253A76BF"/>
    <w:rsid w:val="253B15D5"/>
    <w:rsid w:val="253B665B"/>
    <w:rsid w:val="253B6FC9"/>
    <w:rsid w:val="253F0F0B"/>
    <w:rsid w:val="254039F6"/>
    <w:rsid w:val="25424970"/>
    <w:rsid w:val="25465F6E"/>
    <w:rsid w:val="25472416"/>
    <w:rsid w:val="254C0545"/>
    <w:rsid w:val="25517794"/>
    <w:rsid w:val="25602848"/>
    <w:rsid w:val="2560482B"/>
    <w:rsid w:val="25652585"/>
    <w:rsid w:val="25665CF3"/>
    <w:rsid w:val="256707D3"/>
    <w:rsid w:val="256965A5"/>
    <w:rsid w:val="25697422"/>
    <w:rsid w:val="256A71A4"/>
    <w:rsid w:val="256B60AC"/>
    <w:rsid w:val="256C4188"/>
    <w:rsid w:val="256E7C33"/>
    <w:rsid w:val="257134D3"/>
    <w:rsid w:val="25717C07"/>
    <w:rsid w:val="25730CDC"/>
    <w:rsid w:val="2578235D"/>
    <w:rsid w:val="25784649"/>
    <w:rsid w:val="257B7B3C"/>
    <w:rsid w:val="257C200B"/>
    <w:rsid w:val="257C5563"/>
    <w:rsid w:val="257D01AB"/>
    <w:rsid w:val="257F0BD9"/>
    <w:rsid w:val="258502B6"/>
    <w:rsid w:val="25892239"/>
    <w:rsid w:val="258A4D70"/>
    <w:rsid w:val="258C1362"/>
    <w:rsid w:val="258C637B"/>
    <w:rsid w:val="258D09EA"/>
    <w:rsid w:val="258D1D03"/>
    <w:rsid w:val="258F0D12"/>
    <w:rsid w:val="259A2722"/>
    <w:rsid w:val="259A502E"/>
    <w:rsid w:val="259B2A55"/>
    <w:rsid w:val="259B3762"/>
    <w:rsid w:val="259B3CAF"/>
    <w:rsid w:val="259C3F00"/>
    <w:rsid w:val="259D2036"/>
    <w:rsid w:val="259D4DEC"/>
    <w:rsid w:val="259F0D13"/>
    <w:rsid w:val="25A133A1"/>
    <w:rsid w:val="25A62424"/>
    <w:rsid w:val="25A6663A"/>
    <w:rsid w:val="25AE268E"/>
    <w:rsid w:val="25AE5E0D"/>
    <w:rsid w:val="25AE72ED"/>
    <w:rsid w:val="25AF5C7C"/>
    <w:rsid w:val="25B57586"/>
    <w:rsid w:val="25B773F6"/>
    <w:rsid w:val="25B84F0F"/>
    <w:rsid w:val="25B86CE5"/>
    <w:rsid w:val="25BE3B1F"/>
    <w:rsid w:val="25BF0648"/>
    <w:rsid w:val="25C51333"/>
    <w:rsid w:val="25C64956"/>
    <w:rsid w:val="25C91C6F"/>
    <w:rsid w:val="25CA0F76"/>
    <w:rsid w:val="25CA71F3"/>
    <w:rsid w:val="25CB0FBC"/>
    <w:rsid w:val="25CB3C39"/>
    <w:rsid w:val="25CC13E1"/>
    <w:rsid w:val="25D3227B"/>
    <w:rsid w:val="25D954DE"/>
    <w:rsid w:val="25DA1D28"/>
    <w:rsid w:val="25DC3ED9"/>
    <w:rsid w:val="25DD339D"/>
    <w:rsid w:val="25E02821"/>
    <w:rsid w:val="25E11F8B"/>
    <w:rsid w:val="25E24086"/>
    <w:rsid w:val="25E311FD"/>
    <w:rsid w:val="25E36393"/>
    <w:rsid w:val="25E46AA9"/>
    <w:rsid w:val="25E473EA"/>
    <w:rsid w:val="25E53520"/>
    <w:rsid w:val="25E567A7"/>
    <w:rsid w:val="25E622E5"/>
    <w:rsid w:val="25E63280"/>
    <w:rsid w:val="25EB1AA8"/>
    <w:rsid w:val="25EC1BA3"/>
    <w:rsid w:val="25ED4701"/>
    <w:rsid w:val="25EE1902"/>
    <w:rsid w:val="25F013FE"/>
    <w:rsid w:val="25F548EE"/>
    <w:rsid w:val="25F63DA7"/>
    <w:rsid w:val="25F7527E"/>
    <w:rsid w:val="25F95FB0"/>
    <w:rsid w:val="25FF40B1"/>
    <w:rsid w:val="26064D94"/>
    <w:rsid w:val="260B04D9"/>
    <w:rsid w:val="260D2889"/>
    <w:rsid w:val="260F1E15"/>
    <w:rsid w:val="26102BBC"/>
    <w:rsid w:val="26144122"/>
    <w:rsid w:val="26144D7B"/>
    <w:rsid w:val="26157A02"/>
    <w:rsid w:val="26172E44"/>
    <w:rsid w:val="26175527"/>
    <w:rsid w:val="26193FCA"/>
    <w:rsid w:val="261C01E2"/>
    <w:rsid w:val="261C2C48"/>
    <w:rsid w:val="261D0B5A"/>
    <w:rsid w:val="261D53AC"/>
    <w:rsid w:val="262125D9"/>
    <w:rsid w:val="26215F4F"/>
    <w:rsid w:val="26236EB1"/>
    <w:rsid w:val="26245A7B"/>
    <w:rsid w:val="262616B4"/>
    <w:rsid w:val="262E41C8"/>
    <w:rsid w:val="26324570"/>
    <w:rsid w:val="26327CB5"/>
    <w:rsid w:val="2634044F"/>
    <w:rsid w:val="2639077B"/>
    <w:rsid w:val="263D4A60"/>
    <w:rsid w:val="264345C4"/>
    <w:rsid w:val="264D70EC"/>
    <w:rsid w:val="26533519"/>
    <w:rsid w:val="26545489"/>
    <w:rsid w:val="26677D23"/>
    <w:rsid w:val="266B1DF6"/>
    <w:rsid w:val="266B2A8F"/>
    <w:rsid w:val="266B45F8"/>
    <w:rsid w:val="266D11DC"/>
    <w:rsid w:val="267354ED"/>
    <w:rsid w:val="26754D6E"/>
    <w:rsid w:val="267F67D1"/>
    <w:rsid w:val="268158F0"/>
    <w:rsid w:val="26817F04"/>
    <w:rsid w:val="26831EC9"/>
    <w:rsid w:val="26853881"/>
    <w:rsid w:val="268735D3"/>
    <w:rsid w:val="26882D64"/>
    <w:rsid w:val="268907C4"/>
    <w:rsid w:val="268A7DD4"/>
    <w:rsid w:val="268D1F28"/>
    <w:rsid w:val="268E7C6E"/>
    <w:rsid w:val="269364D1"/>
    <w:rsid w:val="26942BE6"/>
    <w:rsid w:val="269448A2"/>
    <w:rsid w:val="26990243"/>
    <w:rsid w:val="269909FA"/>
    <w:rsid w:val="269C2D19"/>
    <w:rsid w:val="269C36EB"/>
    <w:rsid w:val="269F3F2E"/>
    <w:rsid w:val="26A01AA9"/>
    <w:rsid w:val="26A54056"/>
    <w:rsid w:val="26A64B87"/>
    <w:rsid w:val="26A76647"/>
    <w:rsid w:val="26A772A6"/>
    <w:rsid w:val="26AD333E"/>
    <w:rsid w:val="26B30D64"/>
    <w:rsid w:val="26B92159"/>
    <w:rsid w:val="26B970BC"/>
    <w:rsid w:val="26BF3756"/>
    <w:rsid w:val="26BF43FE"/>
    <w:rsid w:val="26C674FF"/>
    <w:rsid w:val="26C8746F"/>
    <w:rsid w:val="26CA18F9"/>
    <w:rsid w:val="26CA662E"/>
    <w:rsid w:val="26CF40B4"/>
    <w:rsid w:val="26D02203"/>
    <w:rsid w:val="26D14C9B"/>
    <w:rsid w:val="26D16018"/>
    <w:rsid w:val="26D670A7"/>
    <w:rsid w:val="26D752DB"/>
    <w:rsid w:val="26D76CA2"/>
    <w:rsid w:val="26DC736A"/>
    <w:rsid w:val="26DE7745"/>
    <w:rsid w:val="26DF027A"/>
    <w:rsid w:val="26E03714"/>
    <w:rsid w:val="26E20CC5"/>
    <w:rsid w:val="26E55866"/>
    <w:rsid w:val="26E61A05"/>
    <w:rsid w:val="26E66498"/>
    <w:rsid w:val="26E745B0"/>
    <w:rsid w:val="26E767F2"/>
    <w:rsid w:val="26E80D87"/>
    <w:rsid w:val="26E91006"/>
    <w:rsid w:val="26EB2F69"/>
    <w:rsid w:val="26ED069B"/>
    <w:rsid w:val="26F34B68"/>
    <w:rsid w:val="26F50EE9"/>
    <w:rsid w:val="26F73F63"/>
    <w:rsid w:val="26F75D51"/>
    <w:rsid w:val="26F87FD5"/>
    <w:rsid w:val="26F96584"/>
    <w:rsid w:val="26FC4A2E"/>
    <w:rsid w:val="26FE4A65"/>
    <w:rsid w:val="26FE55FB"/>
    <w:rsid w:val="270C6DF9"/>
    <w:rsid w:val="270D07B4"/>
    <w:rsid w:val="270F58C6"/>
    <w:rsid w:val="27127447"/>
    <w:rsid w:val="27145CEA"/>
    <w:rsid w:val="271A7A51"/>
    <w:rsid w:val="27227B59"/>
    <w:rsid w:val="272635C1"/>
    <w:rsid w:val="27277840"/>
    <w:rsid w:val="2728682D"/>
    <w:rsid w:val="272878EB"/>
    <w:rsid w:val="2729149F"/>
    <w:rsid w:val="272B5AA5"/>
    <w:rsid w:val="272D7C1F"/>
    <w:rsid w:val="27316F9A"/>
    <w:rsid w:val="27366784"/>
    <w:rsid w:val="2737500C"/>
    <w:rsid w:val="273E1FB6"/>
    <w:rsid w:val="273F0DF2"/>
    <w:rsid w:val="2741013D"/>
    <w:rsid w:val="27413943"/>
    <w:rsid w:val="274271D5"/>
    <w:rsid w:val="27473793"/>
    <w:rsid w:val="27482FF7"/>
    <w:rsid w:val="274A55D2"/>
    <w:rsid w:val="274B414B"/>
    <w:rsid w:val="274B47F5"/>
    <w:rsid w:val="274C7F09"/>
    <w:rsid w:val="274E6AD8"/>
    <w:rsid w:val="274E7845"/>
    <w:rsid w:val="275167D8"/>
    <w:rsid w:val="275206D3"/>
    <w:rsid w:val="275C53E0"/>
    <w:rsid w:val="275C6E3E"/>
    <w:rsid w:val="2761210A"/>
    <w:rsid w:val="27694E23"/>
    <w:rsid w:val="27696B90"/>
    <w:rsid w:val="276A20FB"/>
    <w:rsid w:val="277108C7"/>
    <w:rsid w:val="27717826"/>
    <w:rsid w:val="277215A9"/>
    <w:rsid w:val="27762E98"/>
    <w:rsid w:val="27787249"/>
    <w:rsid w:val="277924A6"/>
    <w:rsid w:val="2779659D"/>
    <w:rsid w:val="277A64AD"/>
    <w:rsid w:val="277A7C04"/>
    <w:rsid w:val="277C751D"/>
    <w:rsid w:val="277E26FE"/>
    <w:rsid w:val="277F2258"/>
    <w:rsid w:val="2780287F"/>
    <w:rsid w:val="27817380"/>
    <w:rsid w:val="278443E2"/>
    <w:rsid w:val="278454A2"/>
    <w:rsid w:val="27857FDA"/>
    <w:rsid w:val="27861942"/>
    <w:rsid w:val="27871DE1"/>
    <w:rsid w:val="2788682C"/>
    <w:rsid w:val="27890935"/>
    <w:rsid w:val="278A0904"/>
    <w:rsid w:val="278B0AFF"/>
    <w:rsid w:val="278C0057"/>
    <w:rsid w:val="278C0EBF"/>
    <w:rsid w:val="278C730F"/>
    <w:rsid w:val="27935D7B"/>
    <w:rsid w:val="279437A9"/>
    <w:rsid w:val="27956805"/>
    <w:rsid w:val="279A3DDC"/>
    <w:rsid w:val="279B7441"/>
    <w:rsid w:val="279C775D"/>
    <w:rsid w:val="279D7857"/>
    <w:rsid w:val="27A07E5C"/>
    <w:rsid w:val="27A35C54"/>
    <w:rsid w:val="27A74232"/>
    <w:rsid w:val="27AA155C"/>
    <w:rsid w:val="27AB15FD"/>
    <w:rsid w:val="27AB4110"/>
    <w:rsid w:val="27AC2C19"/>
    <w:rsid w:val="27AC5CEC"/>
    <w:rsid w:val="27AD1CE5"/>
    <w:rsid w:val="27B449FF"/>
    <w:rsid w:val="27B54BA0"/>
    <w:rsid w:val="27B61A19"/>
    <w:rsid w:val="27B95AC0"/>
    <w:rsid w:val="27BA5653"/>
    <w:rsid w:val="27BD7F15"/>
    <w:rsid w:val="27BE5CBE"/>
    <w:rsid w:val="27C0380D"/>
    <w:rsid w:val="27C35DCC"/>
    <w:rsid w:val="27CB3412"/>
    <w:rsid w:val="27CC63A1"/>
    <w:rsid w:val="27CE591C"/>
    <w:rsid w:val="27CE64E0"/>
    <w:rsid w:val="27D02239"/>
    <w:rsid w:val="27D17B12"/>
    <w:rsid w:val="27D248A9"/>
    <w:rsid w:val="27D50283"/>
    <w:rsid w:val="27D76CA3"/>
    <w:rsid w:val="27D9090E"/>
    <w:rsid w:val="27DA4584"/>
    <w:rsid w:val="27DB3EDB"/>
    <w:rsid w:val="27DC0836"/>
    <w:rsid w:val="27DC1F8E"/>
    <w:rsid w:val="27DD40F7"/>
    <w:rsid w:val="27DF6DB9"/>
    <w:rsid w:val="27E027FE"/>
    <w:rsid w:val="27E22514"/>
    <w:rsid w:val="27E437B8"/>
    <w:rsid w:val="27E560C0"/>
    <w:rsid w:val="27EF0CFE"/>
    <w:rsid w:val="27F03715"/>
    <w:rsid w:val="27F4149C"/>
    <w:rsid w:val="27FC4762"/>
    <w:rsid w:val="27FC7950"/>
    <w:rsid w:val="28007516"/>
    <w:rsid w:val="2801446D"/>
    <w:rsid w:val="28016C21"/>
    <w:rsid w:val="28046195"/>
    <w:rsid w:val="28093E63"/>
    <w:rsid w:val="280957F1"/>
    <w:rsid w:val="280975A5"/>
    <w:rsid w:val="280A1D84"/>
    <w:rsid w:val="280A2F20"/>
    <w:rsid w:val="280D5205"/>
    <w:rsid w:val="2814744B"/>
    <w:rsid w:val="28153397"/>
    <w:rsid w:val="28171975"/>
    <w:rsid w:val="281A25E4"/>
    <w:rsid w:val="281A7A93"/>
    <w:rsid w:val="281C05E2"/>
    <w:rsid w:val="282152F8"/>
    <w:rsid w:val="28250D48"/>
    <w:rsid w:val="28261BEB"/>
    <w:rsid w:val="282836A8"/>
    <w:rsid w:val="28294C82"/>
    <w:rsid w:val="282B60A0"/>
    <w:rsid w:val="283261F1"/>
    <w:rsid w:val="28330497"/>
    <w:rsid w:val="28340EAA"/>
    <w:rsid w:val="28343ED5"/>
    <w:rsid w:val="28376075"/>
    <w:rsid w:val="28390B26"/>
    <w:rsid w:val="283A6B5B"/>
    <w:rsid w:val="283B2176"/>
    <w:rsid w:val="283C0499"/>
    <w:rsid w:val="283D2D59"/>
    <w:rsid w:val="283E4383"/>
    <w:rsid w:val="284657F9"/>
    <w:rsid w:val="28495F92"/>
    <w:rsid w:val="284C562E"/>
    <w:rsid w:val="284D302B"/>
    <w:rsid w:val="284E3827"/>
    <w:rsid w:val="28505C97"/>
    <w:rsid w:val="28513CE3"/>
    <w:rsid w:val="28517DC7"/>
    <w:rsid w:val="285223EF"/>
    <w:rsid w:val="28556CE6"/>
    <w:rsid w:val="285B188A"/>
    <w:rsid w:val="285E3B40"/>
    <w:rsid w:val="28600517"/>
    <w:rsid w:val="28617324"/>
    <w:rsid w:val="28664CE2"/>
    <w:rsid w:val="286A1EFD"/>
    <w:rsid w:val="286D6A96"/>
    <w:rsid w:val="286E0A37"/>
    <w:rsid w:val="28704635"/>
    <w:rsid w:val="2874068C"/>
    <w:rsid w:val="28760888"/>
    <w:rsid w:val="2880617F"/>
    <w:rsid w:val="28821BD2"/>
    <w:rsid w:val="2883554F"/>
    <w:rsid w:val="28853CF6"/>
    <w:rsid w:val="28855985"/>
    <w:rsid w:val="288A28B4"/>
    <w:rsid w:val="288D768A"/>
    <w:rsid w:val="288E5220"/>
    <w:rsid w:val="288F7BF0"/>
    <w:rsid w:val="28973104"/>
    <w:rsid w:val="289A03E9"/>
    <w:rsid w:val="289B27AA"/>
    <w:rsid w:val="289C6AF1"/>
    <w:rsid w:val="289E7BEA"/>
    <w:rsid w:val="289F091A"/>
    <w:rsid w:val="28A0413F"/>
    <w:rsid w:val="28A10C81"/>
    <w:rsid w:val="28A349F9"/>
    <w:rsid w:val="28A504A9"/>
    <w:rsid w:val="28A65C8F"/>
    <w:rsid w:val="28A856AA"/>
    <w:rsid w:val="28AC23AD"/>
    <w:rsid w:val="28B06610"/>
    <w:rsid w:val="28B14E49"/>
    <w:rsid w:val="28B45AE7"/>
    <w:rsid w:val="28BA5B25"/>
    <w:rsid w:val="28BC18A3"/>
    <w:rsid w:val="28BC3D0D"/>
    <w:rsid w:val="28C0355E"/>
    <w:rsid w:val="28C528AC"/>
    <w:rsid w:val="28D12AB6"/>
    <w:rsid w:val="28D71C54"/>
    <w:rsid w:val="28D81A24"/>
    <w:rsid w:val="28D82689"/>
    <w:rsid w:val="28D84A2B"/>
    <w:rsid w:val="28DC63A8"/>
    <w:rsid w:val="28DE665D"/>
    <w:rsid w:val="28DF4370"/>
    <w:rsid w:val="28E15D60"/>
    <w:rsid w:val="28E756B0"/>
    <w:rsid w:val="28E94E57"/>
    <w:rsid w:val="28EC2913"/>
    <w:rsid w:val="28EC45F2"/>
    <w:rsid w:val="28EF0462"/>
    <w:rsid w:val="28F06365"/>
    <w:rsid w:val="28F138BF"/>
    <w:rsid w:val="28F22101"/>
    <w:rsid w:val="28F4155B"/>
    <w:rsid w:val="28F624EE"/>
    <w:rsid w:val="28F66332"/>
    <w:rsid w:val="28F84F84"/>
    <w:rsid w:val="28F91A97"/>
    <w:rsid w:val="28FB1B21"/>
    <w:rsid w:val="28FE231D"/>
    <w:rsid w:val="28FF2995"/>
    <w:rsid w:val="29011462"/>
    <w:rsid w:val="29041346"/>
    <w:rsid w:val="29043336"/>
    <w:rsid w:val="2906111A"/>
    <w:rsid w:val="290833AE"/>
    <w:rsid w:val="290A0F1C"/>
    <w:rsid w:val="290A2BE3"/>
    <w:rsid w:val="290B50DB"/>
    <w:rsid w:val="290C4367"/>
    <w:rsid w:val="290E1A30"/>
    <w:rsid w:val="29112033"/>
    <w:rsid w:val="29116294"/>
    <w:rsid w:val="291245CA"/>
    <w:rsid w:val="29131AF2"/>
    <w:rsid w:val="291D63D2"/>
    <w:rsid w:val="29247478"/>
    <w:rsid w:val="29251338"/>
    <w:rsid w:val="29275B38"/>
    <w:rsid w:val="29295687"/>
    <w:rsid w:val="292A4E76"/>
    <w:rsid w:val="292B4E84"/>
    <w:rsid w:val="292D3996"/>
    <w:rsid w:val="29341E48"/>
    <w:rsid w:val="29357A83"/>
    <w:rsid w:val="2936054C"/>
    <w:rsid w:val="293633A8"/>
    <w:rsid w:val="29386ABE"/>
    <w:rsid w:val="2939544F"/>
    <w:rsid w:val="293B131C"/>
    <w:rsid w:val="293C7572"/>
    <w:rsid w:val="293E45B3"/>
    <w:rsid w:val="29410A4A"/>
    <w:rsid w:val="29450CBC"/>
    <w:rsid w:val="29474B48"/>
    <w:rsid w:val="29475B0B"/>
    <w:rsid w:val="29481367"/>
    <w:rsid w:val="294837F2"/>
    <w:rsid w:val="294973CB"/>
    <w:rsid w:val="294B7DE9"/>
    <w:rsid w:val="294C168E"/>
    <w:rsid w:val="295119ED"/>
    <w:rsid w:val="29591CCB"/>
    <w:rsid w:val="295C33A0"/>
    <w:rsid w:val="295C7210"/>
    <w:rsid w:val="295D53E7"/>
    <w:rsid w:val="295F1FE9"/>
    <w:rsid w:val="296263DD"/>
    <w:rsid w:val="29627CA6"/>
    <w:rsid w:val="29687E03"/>
    <w:rsid w:val="296B5038"/>
    <w:rsid w:val="296D746F"/>
    <w:rsid w:val="296F3722"/>
    <w:rsid w:val="29701412"/>
    <w:rsid w:val="29755792"/>
    <w:rsid w:val="29766AA9"/>
    <w:rsid w:val="29772C0F"/>
    <w:rsid w:val="29783B5A"/>
    <w:rsid w:val="2978652E"/>
    <w:rsid w:val="297B7724"/>
    <w:rsid w:val="297E54B9"/>
    <w:rsid w:val="29835948"/>
    <w:rsid w:val="29856B6A"/>
    <w:rsid w:val="29910CA1"/>
    <w:rsid w:val="29974748"/>
    <w:rsid w:val="29974A28"/>
    <w:rsid w:val="29AB044A"/>
    <w:rsid w:val="29B015A7"/>
    <w:rsid w:val="29B25C6F"/>
    <w:rsid w:val="29B570DA"/>
    <w:rsid w:val="29B63F49"/>
    <w:rsid w:val="29BA120C"/>
    <w:rsid w:val="29BC51C0"/>
    <w:rsid w:val="29BF1D06"/>
    <w:rsid w:val="29C07BB3"/>
    <w:rsid w:val="29C33AF8"/>
    <w:rsid w:val="29C45989"/>
    <w:rsid w:val="29C50154"/>
    <w:rsid w:val="29C75310"/>
    <w:rsid w:val="29C76FB0"/>
    <w:rsid w:val="29CF2110"/>
    <w:rsid w:val="29D5409F"/>
    <w:rsid w:val="29D70375"/>
    <w:rsid w:val="29D858F4"/>
    <w:rsid w:val="29DA283E"/>
    <w:rsid w:val="29DA30BE"/>
    <w:rsid w:val="29DD7D20"/>
    <w:rsid w:val="29DE4906"/>
    <w:rsid w:val="29E01BFF"/>
    <w:rsid w:val="29E57E92"/>
    <w:rsid w:val="29E85E60"/>
    <w:rsid w:val="29EB1686"/>
    <w:rsid w:val="29EC34C6"/>
    <w:rsid w:val="29EF0144"/>
    <w:rsid w:val="29F361E1"/>
    <w:rsid w:val="29F81286"/>
    <w:rsid w:val="29F91C7C"/>
    <w:rsid w:val="29FB3EB8"/>
    <w:rsid w:val="29FB4442"/>
    <w:rsid w:val="29FD75BB"/>
    <w:rsid w:val="29FE55BC"/>
    <w:rsid w:val="2A024E66"/>
    <w:rsid w:val="2A036CB1"/>
    <w:rsid w:val="2A04175F"/>
    <w:rsid w:val="2A0866C9"/>
    <w:rsid w:val="2A09639D"/>
    <w:rsid w:val="2A102A03"/>
    <w:rsid w:val="2A137D64"/>
    <w:rsid w:val="2A191200"/>
    <w:rsid w:val="2A19456D"/>
    <w:rsid w:val="2A1A5203"/>
    <w:rsid w:val="2A205201"/>
    <w:rsid w:val="2A213E21"/>
    <w:rsid w:val="2A224677"/>
    <w:rsid w:val="2A264F50"/>
    <w:rsid w:val="2A2819D4"/>
    <w:rsid w:val="2A2906E7"/>
    <w:rsid w:val="2A2F1014"/>
    <w:rsid w:val="2A2F6817"/>
    <w:rsid w:val="2A2F751F"/>
    <w:rsid w:val="2A302AEF"/>
    <w:rsid w:val="2A360F19"/>
    <w:rsid w:val="2A3C392E"/>
    <w:rsid w:val="2A3E70CF"/>
    <w:rsid w:val="2A435F70"/>
    <w:rsid w:val="2A454796"/>
    <w:rsid w:val="2A4931EC"/>
    <w:rsid w:val="2A4B32B0"/>
    <w:rsid w:val="2A4E3471"/>
    <w:rsid w:val="2A4F6B68"/>
    <w:rsid w:val="2A5120DD"/>
    <w:rsid w:val="2A523115"/>
    <w:rsid w:val="2A5520BC"/>
    <w:rsid w:val="2A5A6572"/>
    <w:rsid w:val="2A611139"/>
    <w:rsid w:val="2A65595D"/>
    <w:rsid w:val="2A664470"/>
    <w:rsid w:val="2A69523E"/>
    <w:rsid w:val="2A6B6038"/>
    <w:rsid w:val="2A6F4C41"/>
    <w:rsid w:val="2A702BC2"/>
    <w:rsid w:val="2A745B3F"/>
    <w:rsid w:val="2A752D39"/>
    <w:rsid w:val="2A7551F9"/>
    <w:rsid w:val="2A755B0B"/>
    <w:rsid w:val="2A7774A8"/>
    <w:rsid w:val="2A781827"/>
    <w:rsid w:val="2A7A3E7F"/>
    <w:rsid w:val="2A7E571E"/>
    <w:rsid w:val="2A7F56CB"/>
    <w:rsid w:val="2A926529"/>
    <w:rsid w:val="2A97058D"/>
    <w:rsid w:val="2A987409"/>
    <w:rsid w:val="2A9922D2"/>
    <w:rsid w:val="2A9A086C"/>
    <w:rsid w:val="2A9B1D2F"/>
    <w:rsid w:val="2AA1254C"/>
    <w:rsid w:val="2AA4746D"/>
    <w:rsid w:val="2AAC5392"/>
    <w:rsid w:val="2AAD1601"/>
    <w:rsid w:val="2AAE7F7E"/>
    <w:rsid w:val="2AAF76F0"/>
    <w:rsid w:val="2AB033FD"/>
    <w:rsid w:val="2AB5278C"/>
    <w:rsid w:val="2AB56202"/>
    <w:rsid w:val="2AB948A9"/>
    <w:rsid w:val="2AB94C0C"/>
    <w:rsid w:val="2ABC27D7"/>
    <w:rsid w:val="2ABC4089"/>
    <w:rsid w:val="2ABF55A3"/>
    <w:rsid w:val="2AC10742"/>
    <w:rsid w:val="2AC60EF4"/>
    <w:rsid w:val="2ACA5A59"/>
    <w:rsid w:val="2ACF5329"/>
    <w:rsid w:val="2AD05046"/>
    <w:rsid w:val="2AD10396"/>
    <w:rsid w:val="2AD22892"/>
    <w:rsid w:val="2AD57308"/>
    <w:rsid w:val="2ADA0B47"/>
    <w:rsid w:val="2ADB7341"/>
    <w:rsid w:val="2AE0548C"/>
    <w:rsid w:val="2AE24B2B"/>
    <w:rsid w:val="2AE25FF9"/>
    <w:rsid w:val="2AE33ABC"/>
    <w:rsid w:val="2AE74DD0"/>
    <w:rsid w:val="2AEA24C3"/>
    <w:rsid w:val="2AEE11A9"/>
    <w:rsid w:val="2AEF107C"/>
    <w:rsid w:val="2AF05E7F"/>
    <w:rsid w:val="2AF068FD"/>
    <w:rsid w:val="2AF11252"/>
    <w:rsid w:val="2AF44F3E"/>
    <w:rsid w:val="2AF4693F"/>
    <w:rsid w:val="2AF83748"/>
    <w:rsid w:val="2AF869AE"/>
    <w:rsid w:val="2AF91FDB"/>
    <w:rsid w:val="2AFC0D73"/>
    <w:rsid w:val="2AFC197A"/>
    <w:rsid w:val="2AFF2395"/>
    <w:rsid w:val="2B0463EB"/>
    <w:rsid w:val="2B067C5B"/>
    <w:rsid w:val="2B081151"/>
    <w:rsid w:val="2B096F0E"/>
    <w:rsid w:val="2B0A7B11"/>
    <w:rsid w:val="2B0B0AA8"/>
    <w:rsid w:val="2B0D41BB"/>
    <w:rsid w:val="2B0D7C58"/>
    <w:rsid w:val="2B1135DF"/>
    <w:rsid w:val="2B113FD3"/>
    <w:rsid w:val="2B115909"/>
    <w:rsid w:val="2B125E66"/>
    <w:rsid w:val="2B186D98"/>
    <w:rsid w:val="2B194F5C"/>
    <w:rsid w:val="2B1A6475"/>
    <w:rsid w:val="2B1B1323"/>
    <w:rsid w:val="2B1C0C64"/>
    <w:rsid w:val="2B1C3DB4"/>
    <w:rsid w:val="2B227DE3"/>
    <w:rsid w:val="2B240326"/>
    <w:rsid w:val="2B247A52"/>
    <w:rsid w:val="2B266C6E"/>
    <w:rsid w:val="2B284B68"/>
    <w:rsid w:val="2B3362D4"/>
    <w:rsid w:val="2B357DD6"/>
    <w:rsid w:val="2B36645A"/>
    <w:rsid w:val="2B3B016F"/>
    <w:rsid w:val="2B3B5DFE"/>
    <w:rsid w:val="2B403175"/>
    <w:rsid w:val="2B4114D5"/>
    <w:rsid w:val="2B43497A"/>
    <w:rsid w:val="2B464BEB"/>
    <w:rsid w:val="2B487612"/>
    <w:rsid w:val="2B490125"/>
    <w:rsid w:val="2B4A23D1"/>
    <w:rsid w:val="2B4B36FF"/>
    <w:rsid w:val="2B5205AF"/>
    <w:rsid w:val="2B5C7894"/>
    <w:rsid w:val="2B5D1579"/>
    <w:rsid w:val="2B6562D3"/>
    <w:rsid w:val="2B686388"/>
    <w:rsid w:val="2B6A58FB"/>
    <w:rsid w:val="2B6B750C"/>
    <w:rsid w:val="2B740004"/>
    <w:rsid w:val="2B785D3C"/>
    <w:rsid w:val="2B7D401E"/>
    <w:rsid w:val="2B7D5B8F"/>
    <w:rsid w:val="2B851CB7"/>
    <w:rsid w:val="2B852687"/>
    <w:rsid w:val="2B871EC2"/>
    <w:rsid w:val="2B8A0B04"/>
    <w:rsid w:val="2B8D3206"/>
    <w:rsid w:val="2B8D74F2"/>
    <w:rsid w:val="2B8E1F03"/>
    <w:rsid w:val="2B8E7BE2"/>
    <w:rsid w:val="2B932B42"/>
    <w:rsid w:val="2B936FA7"/>
    <w:rsid w:val="2B937A70"/>
    <w:rsid w:val="2B9416B4"/>
    <w:rsid w:val="2B945E22"/>
    <w:rsid w:val="2B950BAC"/>
    <w:rsid w:val="2B9626D3"/>
    <w:rsid w:val="2B9B5222"/>
    <w:rsid w:val="2BA054FE"/>
    <w:rsid w:val="2BA613A2"/>
    <w:rsid w:val="2BA615D6"/>
    <w:rsid w:val="2BA81698"/>
    <w:rsid w:val="2BAB466B"/>
    <w:rsid w:val="2BAC11FE"/>
    <w:rsid w:val="2BAD05E2"/>
    <w:rsid w:val="2BB03972"/>
    <w:rsid w:val="2BB45511"/>
    <w:rsid w:val="2BB67924"/>
    <w:rsid w:val="2BB7389D"/>
    <w:rsid w:val="2BBD1B4D"/>
    <w:rsid w:val="2BBE1332"/>
    <w:rsid w:val="2BC36926"/>
    <w:rsid w:val="2BC4598B"/>
    <w:rsid w:val="2BC81964"/>
    <w:rsid w:val="2BCC13E2"/>
    <w:rsid w:val="2BCC52AB"/>
    <w:rsid w:val="2BCE582A"/>
    <w:rsid w:val="2BD26B1D"/>
    <w:rsid w:val="2BD66D2F"/>
    <w:rsid w:val="2BDC5E0E"/>
    <w:rsid w:val="2BE32FA6"/>
    <w:rsid w:val="2BE43EFD"/>
    <w:rsid w:val="2BE824C1"/>
    <w:rsid w:val="2BE861C9"/>
    <w:rsid w:val="2BE87709"/>
    <w:rsid w:val="2BEE0AFA"/>
    <w:rsid w:val="2BEE40D1"/>
    <w:rsid w:val="2BF05480"/>
    <w:rsid w:val="2BF12638"/>
    <w:rsid w:val="2BF32DDD"/>
    <w:rsid w:val="2BF44D9C"/>
    <w:rsid w:val="2BF97735"/>
    <w:rsid w:val="2BFA4368"/>
    <w:rsid w:val="2BFB77B1"/>
    <w:rsid w:val="2BFF288E"/>
    <w:rsid w:val="2C002162"/>
    <w:rsid w:val="2C041C52"/>
    <w:rsid w:val="2C044CCD"/>
    <w:rsid w:val="2C06547B"/>
    <w:rsid w:val="2C0D4002"/>
    <w:rsid w:val="2C0E0DFC"/>
    <w:rsid w:val="2C0E6982"/>
    <w:rsid w:val="2C104070"/>
    <w:rsid w:val="2C116303"/>
    <w:rsid w:val="2C1520B2"/>
    <w:rsid w:val="2C194CE9"/>
    <w:rsid w:val="2C1A40FC"/>
    <w:rsid w:val="2C1C5262"/>
    <w:rsid w:val="2C1E708F"/>
    <w:rsid w:val="2C1E7C6F"/>
    <w:rsid w:val="2C214A48"/>
    <w:rsid w:val="2C2161AA"/>
    <w:rsid w:val="2C27027B"/>
    <w:rsid w:val="2C277C1E"/>
    <w:rsid w:val="2C286FF9"/>
    <w:rsid w:val="2C2960FC"/>
    <w:rsid w:val="2C2B021E"/>
    <w:rsid w:val="2C2D2D0D"/>
    <w:rsid w:val="2C375944"/>
    <w:rsid w:val="2C3B155A"/>
    <w:rsid w:val="2C3F2EB7"/>
    <w:rsid w:val="2C454CDB"/>
    <w:rsid w:val="2C4D184B"/>
    <w:rsid w:val="2C4D7F46"/>
    <w:rsid w:val="2C4F0497"/>
    <w:rsid w:val="2C506442"/>
    <w:rsid w:val="2C541335"/>
    <w:rsid w:val="2C57251C"/>
    <w:rsid w:val="2C5C51D5"/>
    <w:rsid w:val="2C5F6823"/>
    <w:rsid w:val="2C605945"/>
    <w:rsid w:val="2C62700C"/>
    <w:rsid w:val="2C65438B"/>
    <w:rsid w:val="2C6631F9"/>
    <w:rsid w:val="2C685693"/>
    <w:rsid w:val="2C6967BE"/>
    <w:rsid w:val="2C6E047E"/>
    <w:rsid w:val="2C7374C1"/>
    <w:rsid w:val="2C750454"/>
    <w:rsid w:val="2C77194B"/>
    <w:rsid w:val="2C78360C"/>
    <w:rsid w:val="2C791DFE"/>
    <w:rsid w:val="2C7B41AF"/>
    <w:rsid w:val="2C7E0EC4"/>
    <w:rsid w:val="2C7E31EF"/>
    <w:rsid w:val="2C8132A3"/>
    <w:rsid w:val="2C844B41"/>
    <w:rsid w:val="2C877BAF"/>
    <w:rsid w:val="2C896503"/>
    <w:rsid w:val="2C8A1A4E"/>
    <w:rsid w:val="2C8E4410"/>
    <w:rsid w:val="2C8F3D1D"/>
    <w:rsid w:val="2C8F6315"/>
    <w:rsid w:val="2C907D44"/>
    <w:rsid w:val="2C917D80"/>
    <w:rsid w:val="2C9416C9"/>
    <w:rsid w:val="2C942FC4"/>
    <w:rsid w:val="2C974C95"/>
    <w:rsid w:val="2C9D53B1"/>
    <w:rsid w:val="2C9F04DE"/>
    <w:rsid w:val="2CA22DF0"/>
    <w:rsid w:val="2CA44196"/>
    <w:rsid w:val="2CA73697"/>
    <w:rsid w:val="2CAC40FB"/>
    <w:rsid w:val="2CAD772D"/>
    <w:rsid w:val="2CB0248B"/>
    <w:rsid w:val="2CB063A3"/>
    <w:rsid w:val="2CB10B57"/>
    <w:rsid w:val="2CB54B9C"/>
    <w:rsid w:val="2CB87A66"/>
    <w:rsid w:val="2CBE2DC2"/>
    <w:rsid w:val="2CBE5720"/>
    <w:rsid w:val="2CC0642B"/>
    <w:rsid w:val="2CC73674"/>
    <w:rsid w:val="2CC80A14"/>
    <w:rsid w:val="2CC83363"/>
    <w:rsid w:val="2CC83457"/>
    <w:rsid w:val="2CCD59E0"/>
    <w:rsid w:val="2CCE16F2"/>
    <w:rsid w:val="2CCE6BEB"/>
    <w:rsid w:val="2CD15D7C"/>
    <w:rsid w:val="2CD24FC6"/>
    <w:rsid w:val="2CD6400B"/>
    <w:rsid w:val="2CD85700"/>
    <w:rsid w:val="2CDA6053"/>
    <w:rsid w:val="2CE85A97"/>
    <w:rsid w:val="2CEA1DE2"/>
    <w:rsid w:val="2CEB2E12"/>
    <w:rsid w:val="2CF11B08"/>
    <w:rsid w:val="2CF15C47"/>
    <w:rsid w:val="2CF71927"/>
    <w:rsid w:val="2CFC7880"/>
    <w:rsid w:val="2D006738"/>
    <w:rsid w:val="2D011501"/>
    <w:rsid w:val="2D0352B4"/>
    <w:rsid w:val="2D0434FD"/>
    <w:rsid w:val="2D045DB8"/>
    <w:rsid w:val="2D057B99"/>
    <w:rsid w:val="2D08251D"/>
    <w:rsid w:val="2D086BBC"/>
    <w:rsid w:val="2D0D39D2"/>
    <w:rsid w:val="2D0D452C"/>
    <w:rsid w:val="2D0D51A5"/>
    <w:rsid w:val="2D0E3C4C"/>
    <w:rsid w:val="2D106D1F"/>
    <w:rsid w:val="2D141AD4"/>
    <w:rsid w:val="2D17361D"/>
    <w:rsid w:val="2D174E97"/>
    <w:rsid w:val="2D1B3EAA"/>
    <w:rsid w:val="2D1D497B"/>
    <w:rsid w:val="2D233594"/>
    <w:rsid w:val="2D262384"/>
    <w:rsid w:val="2D265A5D"/>
    <w:rsid w:val="2D28247E"/>
    <w:rsid w:val="2D2C20F4"/>
    <w:rsid w:val="2D2E5B44"/>
    <w:rsid w:val="2D2E5CFC"/>
    <w:rsid w:val="2D2E6BC9"/>
    <w:rsid w:val="2D302CEA"/>
    <w:rsid w:val="2D31142D"/>
    <w:rsid w:val="2D382B32"/>
    <w:rsid w:val="2D3E2E39"/>
    <w:rsid w:val="2D4367AA"/>
    <w:rsid w:val="2D44383F"/>
    <w:rsid w:val="2D4441A5"/>
    <w:rsid w:val="2D4A18E7"/>
    <w:rsid w:val="2D4D460A"/>
    <w:rsid w:val="2D4F024E"/>
    <w:rsid w:val="2D506162"/>
    <w:rsid w:val="2D581200"/>
    <w:rsid w:val="2D5B0DF0"/>
    <w:rsid w:val="2D5B1712"/>
    <w:rsid w:val="2D5D5820"/>
    <w:rsid w:val="2D5F5730"/>
    <w:rsid w:val="2D643919"/>
    <w:rsid w:val="2D6A3D37"/>
    <w:rsid w:val="2D6C7950"/>
    <w:rsid w:val="2D6F2144"/>
    <w:rsid w:val="2D7053B5"/>
    <w:rsid w:val="2D71745E"/>
    <w:rsid w:val="2D753303"/>
    <w:rsid w:val="2D7547DE"/>
    <w:rsid w:val="2D7E7C40"/>
    <w:rsid w:val="2D800417"/>
    <w:rsid w:val="2D821D2E"/>
    <w:rsid w:val="2D831CD4"/>
    <w:rsid w:val="2D83304B"/>
    <w:rsid w:val="2D837574"/>
    <w:rsid w:val="2D842F3D"/>
    <w:rsid w:val="2D8722FC"/>
    <w:rsid w:val="2D872B3B"/>
    <w:rsid w:val="2D8B0D1B"/>
    <w:rsid w:val="2D8F60D8"/>
    <w:rsid w:val="2D913E2D"/>
    <w:rsid w:val="2D970330"/>
    <w:rsid w:val="2D990AC0"/>
    <w:rsid w:val="2DA56B08"/>
    <w:rsid w:val="2DAB2232"/>
    <w:rsid w:val="2DAC1FE6"/>
    <w:rsid w:val="2DAD2467"/>
    <w:rsid w:val="2DAD345A"/>
    <w:rsid w:val="2DAE06CC"/>
    <w:rsid w:val="2DB37C4B"/>
    <w:rsid w:val="2DB56F81"/>
    <w:rsid w:val="2DB90B37"/>
    <w:rsid w:val="2DBB03DE"/>
    <w:rsid w:val="2DBC4DFA"/>
    <w:rsid w:val="2DBC70EA"/>
    <w:rsid w:val="2DBF56D4"/>
    <w:rsid w:val="2DC23B73"/>
    <w:rsid w:val="2DCC4EAA"/>
    <w:rsid w:val="2DD34C95"/>
    <w:rsid w:val="2DD366DD"/>
    <w:rsid w:val="2DD410FC"/>
    <w:rsid w:val="2DD8146A"/>
    <w:rsid w:val="2DD85FF6"/>
    <w:rsid w:val="2DDC2996"/>
    <w:rsid w:val="2DDD2C93"/>
    <w:rsid w:val="2DE17C47"/>
    <w:rsid w:val="2DE42621"/>
    <w:rsid w:val="2DF328DF"/>
    <w:rsid w:val="2DF57043"/>
    <w:rsid w:val="2DFB0CFD"/>
    <w:rsid w:val="2DFC163C"/>
    <w:rsid w:val="2DFE0923"/>
    <w:rsid w:val="2DFE3326"/>
    <w:rsid w:val="2DFF182D"/>
    <w:rsid w:val="2DFF3E40"/>
    <w:rsid w:val="2DFF601B"/>
    <w:rsid w:val="2E002B06"/>
    <w:rsid w:val="2E013E72"/>
    <w:rsid w:val="2E0349BB"/>
    <w:rsid w:val="2E034A0D"/>
    <w:rsid w:val="2E035F90"/>
    <w:rsid w:val="2E0573D3"/>
    <w:rsid w:val="2E097564"/>
    <w:rsid w:val="2E0E5C82"/>
    <w:rsid w:val="2E0E6014"/>
    <w:rsid w:val="2E0F0F14"/>
    <w:rsid w:val="2E0F48DF"/>
    <w:rsid w:val="2E0F650A"/>
    <w:rsid w:val="2E13323D"/>
    <w:rsid w:val="2E1C68B2"/>
    <w:rsid w:val="2E205348"/>
    <w:rsid w:val="2E226E79"/>
    <w:rsid w:val="2E2335A9"/>
    <w:rsid w:val="2E25369B"/>
    <w:rsid w:val="2E256949"/>
    <w:rsid w:val="2E29214F"/>
    <w:rsid w:val="2E2A302D"/>
    <w:rsid w:val="2E2A34C6"/>
    <w:rsid w:val="2E2A6429"/>
    <w:rsid w:val="2E2B6E2B"/>
    <w:rsid w:val="2E2E7A92"/>
    <w:rsid w:val="2E33181E"/>
    <w:rsid w:val="2E3456B1"/>
    <w:rsid w:val="2E355705"/>
    <w:rsid w:val="2E377971"/>
    <w:rsid w:val="2E3D3D12"/>
    <w:rsid w:val="2E3D769E"/>
    <w:rsid w:val="2E427D0E"/>
    <w:rsid w:val="2E446AD1"/>
    <w:rsid w:val="2E460067"/>
    <w:rsid w:val="2E470981"/>
    <w:rsid w:val="2E4834F6"/>
    <w:rsid w:val="2E4A7EB5"/>
    <w:rsid w:val="2E4C147C"/>
    <w:rsid w:val="2E57653F"/>
    <w:rsid w:val="2E597CFD"/>
    <w:rsid w:val="2E606113"/>
    <w:rsid w:val="2E623782"/>
    <w:rsid w:val="2E6A4DFF"/>
    <w:rsid w:val="2E6C0977"/>
    <w:rsid w:val="2E6C5938"/>
    <w:rsid w:val="2E6F4119"/>
    <w:rsid w:val="2E7057C2"/>
    <w:rsid w:val="2E783B10"/>
    <w:rsid w:val="2E846B9D"/>
    <w:rsid w:val="2E855286"/>
    <w:rsid w:val="2E875DCA"/>
    <w:rsid w:val="2E8B7DD1"/>
    <w:rsid w:val="2E8D7E94"/>
    <w:rsid w:val="2E8F3650"/>
    <w:rsid w:val="2E9217AD"/>
    <w:rsid w:val="2E923D0D"/>
    <w:rsid w:val="2E9E177F"/>
    <w:rsid w:val="2E9F4116"/>
    <w:rsid w:val="2EA11F28"/>
    <w:rsid w:val="2EA20593"/>
    <w:rsid w:val="2EA2406F"/>
    <w:rsid w:val="2EA32CCD"/>
    <w:rsid w:val="2EA60B92"/>
    <w:rsid w:val="2EA84D5E"/>
    <w:rsid w:val="2EAB5B12"/>
    <w:rsid w:val="2EB1632E"/>
    <w:rsid w:val="2EB37960"/>
    <w:rsid w:val="2EB447AF"/>
    <w:rsid w:val="2EB4699C"/>
    <w:rsid w:val="2EB53BFB"/>
    <w:rsid w:val="2EB96286"/>
    <w:rsid w:val="2EB97A68"/>
    <w:rsid w:val="2EBB3E0A"/>
    <w:rsid w:val="2EBD7709"/>
    <w:rsid w:val="2EC17BCE"/>
    <w:rsid w:val="2ED36616"/>
    <w:rsid w:val="2ED41928"/>
    <w:rsid w:val="2ED52D19"/>
    <w:rsid w:val="2EDA4C86"/>
    <w:rsid w:val="2EDC036F"/>
    <w:rsid w:val="2EDC33F8"/>
    <w:rsid w:val="2EDD6A5B"/>
    <w:rsid w:val="2EE027E8"/>
    <w:rsid w:val="2EE56B5D"/>
    <w:rsid w:val="2EE67B0A"/>
    <w:rsid w:val="2EE848E7"/>
    <w:rsid w:val="2EE946DF"/>
    <w:rsid w:val="2EED2BC6"/>
    <w:rsid w:val="2EEF4E14"/>
    <w:rsid w:val="2EF41CC9"/>
    <w:rsid w:val="2EF7595B"/>
    <w:rsid w:val="2EF830F5"/>
    <w:rsid w:val="2EFB3DC5"/>
    <w:rsid w:val="2EFB68D6"/>
    <w:rsid w:val="2F0003D4"/>
    <w:rsid w:val="2F00322A"/>
    <w:rsid w:val="2F006348"/>
    <w:rsid w:val="2F053722"/>
    <w:rsid w:val="2F070D18"/>
    <w:rsid w:val="2F0E7651"/>
    <w:rsid w:val="2F106200"/>
    <w:rsid w:val="2F123E21"/>
    <w:rsid w:val="2F16063C"/>
    <w:rsid w:val="2F17239A"/>
    <w:rsid w:val="2F1964B0"/>
    <w:rsid w:val="2F196F0F"/>
    <w:rsid w:val="2F1D7537"/>
    <w:rsid w:val="2F1F3EDF"/>
    <w:rsid w:val="2F2014D1"/>
    <w:rsid w:val="2F20747D"/>
    <w:rsid w:val="2F260132"/>
    <w:rsid w:val="2F270B57"/>
    <w:rsid w:val="2F27590D"/>
    <w:rsid w:val="2F27710F"/>
    <w:rsid w:val="2F281646"/>
    <w:rsid w:val="2F2A651E"/>
    <w:rsid w:val="2F2C7FF7"/>
    <w:rsid w:val="2F2D3340"/>
    <w:rsid w:val="2F2E5C57"/>
    <w:rsid w:val="2F30212C"/>
    <w:rsid w:val="2F315864"/>
    <w:rsid w:val="2F32137F"/>
    <w:rsid w:val="2F351AE9"/>
    <w:rsid w:val="2F356E15"/>
    <w:rsid w:val="2F383F7A"/>
    <w:rsid w:val="2F3A3B2A"/>
    <w:rsid w:val="2F3B6C23"/>
    <w:rsid w:val="2F3E6D36"/>
    <w:rsid w:val="2F424C27"/>
    <w:rsid w:val="2F456409"/>
    <w:rsid w:val="2F491769"/>
    <w:rsid w:val="2F4B2B42"/>
    <w:rsid w:val="2F4B56FE"/>
    <w:rsid w:val="2F4C15AA"/>
    <w:rsid w:val="2F5132F9"/>
    <w:rsid w:val="2F513DD4"/>
    <w:rsid w:val="2F514063"/>
    <w:rsid w:val="2F516DBD"/>
    <w:rsid w:val="2F533C52"/>
    <w:rsid w:val="2F562F7B"/>
    <w:rsid w:val="2F57653D"/>
    <w:rsid w:val="2F5861CE"/>
    <w:rsid w:val="2F5F4E9B"/>
    <w:rsid w:val="2F5F6A66"/>
    <w:rsid w:val="2F645535"/>
    <w:rsid w:val="2F672DE1"/>
    <w:rsid w:val="2F6A2FBA"/>
    <w:rsid w:val="2F6B6C1F"/>
    <w:rsid w:val="2F6E0A8E"/>
    <w:rsid w:val="2F6E6146"/>
    <w:rsid w:val="2F71797B"/>
    <w:rsid w:val="2F762ECF"/>
    <w:rsid w:val="2F79396A"/>
    <w:rsid w:val="2F794388"/>
    <w:rsid w:val="2F797559"/>
    <w:rsid w:val="2F7B09F7"/>
    <w:rsid w:val="2F7B1ACD"/>
    <w:rsid w:val="2F84513A"/>
    <w:rsid w:val="2F847616"/>
    <w:rsid w:val="2F89354E"/>
    <w:rsid w:val="2F900A2C"/>
    <w:rsid w:val="2F926167"/>
    <w:rsid w:val="2F934EE0"/>
    <w:rsid w:val="2F952D05"/>
    <w:rsid w:val="2F985348"/>
    <w:rsid w:val="2F9A1DF7"/>
    <w:rsid w:val="2F9A7834"/>
    <w:rsid w:val="2F9C7C0E"/>
    <w:rsid w:val="2F9E1705"/>
    <w:rsid w:val="2FA6565E"/>
    <w:rsid w:val="2FA67734"/>
    <w:rsid w:val="2FA70441"/>
    <w:rsid w:val="2FA825D2"/>
    <w:rsid w:val="2FB02672"/>
    <w:rsid w:val="2FB120F1"/>
    <w:rsid w:val="2FB34EB5"/>
    <w:rsid w:val="2FB500DD"/>
    <w:rsid w:val="2FB50F3A"/>
    <w:rsid w:val="2FB90E30"/>
    <w:rsid w:val="2FBA5307"/>
    <w:rsid w:val="2FBB05D0"/>
    <w:rsid w:val="2FC038DE"/>
    <w:rsid w:val="2FC17A26"/>
    <w:rsid w:val="2FC2342B"/>
    <w:rsid w:val="2FC47D08"/>
    <w:rsid w:val="2FC95CB7"/>
    <w:rsid w:val="2FC9724F"/>
    <w:rsid w:val="2FCA3CFF"/>
    <w:rsid w:val="2FCB17FC"/>
    <w:rsid w:val="2FCC0C0A"/>
    <w:rsid w:val="2FCF06A7"/>
    <w:rsid w:val="2FDA35EE"/>
    <w:rsid w:val="2FDC1075"/>
    <w:rsid w:val="2FDE0B3A"/>
    <w:rsid w:val="2FDF1EAD"/>
    <w:rsid w:val="2FDF37F8"/>
    <w:rsid w:val="2FE11FC5"/>
    <w:rsid w:val="2FE31BDC"/>
    <w:rsid w:val="2FE3634B"/>
    <w:rsid w:val="2FE61C64"/>
    <w:rsid w:val="2FE778C1"/>
    <w:rsid w:val="2FEE5C7B"/>
    <w:rsid w:val="2FF03336"/>
    <w:rsid w:val="2FF06A19"/>
    <w:rsid w:val="2FF854C4"/>
    <w:rsid w:val="2FF86157"/>
    <w:rsid w:val="2FFA3A98"/>
    <w:rsid w:val="2FFA4362"/>
    <w:rsid w:val="2FFD1CD6"/>
    <w:rsid w:val="2FFD79AF"/>
    <w:rsid w:val="2FFF79D7"/>
    <w:rsid w:val="3000496E"/>
    <w:rsid w:val="30056C30"/>
    <w:rsid w:val="3007758B"/>
    <w:rsid w:val="30083FE2"/>
    <w:rsid w:val="30087BDD"/>
    <w:rsid w:val="300B221D"/>
    <w:rsid w:val="300C7C38"/>
    <w:rsid w:val="300D152F"/>
    <w:rsid w:val="30126EC4"/>
    <w:rsid w:val="3018020F"/>
    <w:rsid w:val="301A4934"/>
    <w:rsid w:val="301A7ACB"/>
    <w:rsid w:val="302208F9"/>
    <w:rsid w:val="30254FAB"/>
    <w:rsid w:val="30275F10"/>
    <w:rsid w:val="30283F91"/>
    <w:rsid w:val="303337F6"/>
    <w:rsid w:val="303A6F6A"/>
    <w:rsid w:val="303C2A97"/>
    <w:rsid w:val="30415B0C"/>
    <w:rsid w:val="304257CD"/>
    <w:rsid w:val="30441493"/>
    <w:rsid w:val="30470B40"/>
    <w:rsid w:val="304C3897"/>
    <w:rsid w:val="304D1B78"/>
    <w:rsid w:val="304F61E8"/>
    <w:rsid w:val="30523B79"/>
    <w:rsid w:val="30530B02"/>
    <w:rsid w:val="30534CAC"/>
    <w:rsid w:val="30596661"/>
    <w:rsid w:val="305B3127"/>
    <w:rsid w:val="305B6C67"/>
    <w:rsid w:val="305F3AD5"/>
    <w:rsid w:val="305F65A0"/>
    <w:rsid w:val="306158D5"/>
    <w:rsid w:val="30624661"/>
    <w:rsid w:val="30663CE0"/>
    <w:rsid w:val="306B0BE5"/>
    <w:rsid w:val="306E1D25"/>
    <w:rsid w:val="307621A8"/>
    <w:rsid w:val="307623FD"/>
    <w:rsid w:val="30770529"/>
    <w:rsid w:val="30826653"/>
    <w:rsid w:val="30881550"/>
    <w:rsid w:val="308A7825"/>
    <w:rsid w:val="308C66BA"/>
    <w:rsid w:val="308E3C46"/>
    <w:rsid w:val="309077B8"/>
    <w:rsid w:val="309115C4"/>
    <w:rsid w:val="30956884"/>
    <w:rsid w:val="309646B2"/>
    <w:rsid w:val="30985912"/>
    <w:rsid w:val="309B2C14"/>
    <w:rsid w:val="309D467E"/>
    <w:rsid w:val="309E4D64"/>
    <w:rsid w:val="30A1216A"/>
    <w:rsid w:val="30A57154"/>
    <w:rsid w:val="30AB6AB4"/>
    <w:rsid w:val="30AC35BB"/>
    <w:rsid w:val="30AC3E30"/>
    <w:rsid w:val="30AD5A06"/>
    <w:rsid w:val="30AE5D9C"/>
    <w:rsid w:val="30B1191F"/>
    <w:rsid w:val="30B239E6"/>
    <w:rsid w:val="30B34961"/>
    <w:rsid w:val="30B9057A"/>
    <w:rsid w:val="30BC5F3B"/>
    <w:rsid w:val="30BD32E1"/>
    <w:rsid w:val="30C005F8"/>
    <w:rsid w:val="30C97954"/>
    <w:rsid w:val="30CB2D3F"/>
    <w:rsid w:val="30CE7D62"/>
    <w:rsid w:val="30D065A7"/>
    <w:rsid w:val="30D10A06"/>
    <w:rsid w:val="30D12AEF"/>
    <w:rsid w:val="30D7425B"/>
    <w:rsid w:val="30DD0E38"/>
    <w:rsid w:val="30DE46FC"/>
    <w:rsid w:val="30DE6C60"/>
    <w:rsid w:val="30E52A0A"/>
    <w:rsid w:val="30E64F4E"/>
    <w:rsid w:val="30E7501B"/>
    <w:rsid w:val="30E761B3"/>
    <w:rsid w:val="30E81B43"/>
    <w:rsid w:val="30EB193A"/>
    <w:rsid w:val="30ED25C8"/>
    <w:rsid w:val="30EF3F28"/>
    <w:rsid w:val="30F331EA"/>
    <w:rsid w:val="30F779FC"/>
    <w:rsid w:val="30F9414D"/>
    <w:rsid w:val="30FF2572"/>
    <w:rsid w:val="30FF521A"/>
    <w:rsid w:val="310608A2"/>
    <w:rsid w:val="31070CFB"/>
    <w:rsid w:val="310A7D8A"/>
    <w:rsid w:val="310B5B07"/>
    <w:rsid w:val="310C5C8C"/>
    <w:rsid w:val="310D2E33"/>
    <w:rsid w:val="311A58AC"/>
    <w:rsid w:val="311A5A74"/>
    <w:rsid w:val="311B78B5"/>
    <w:rsid w:val="311E254F"/>
    <w:rsid w:val="31211E00"/>
    <w:rsid w:val="31253BBB"/>
    <w:rsid w:val="312608BD"/>
    <w:rsid w:val="3127353B"/>
    <w:rsid w:val="312A6A01"/>
    <w:rsid w:val="312C087D"/>
    <w:rsid w:val="312C673E"/>
    <w:rsid w:val="312C7923"/>
    <w:rsid w:val="312E650F"/>
    <w:rsid w:val="3131611A"/>
    <w:rsid w:val="3138243A"/>
    <w:rsid w:val="313A1C72"/>
    <w:rsid w:val="313C2B78"/>
    <w:rsid w:val="313C73CD"/>
    <w:rsid w:val="313D1351"/>
    <w:rsid w:val="31415D7C"/>
    <w:rsid w:val="31421D81"/>
    <w:rsid w:val="31441851"/>
    <w:rsid w:val="31471BF6"/>
    <w:rsid w:val="314F7247"/>
    <w:rsid w:val="3150378B"/>
    <w:rsid w:val="31506E9A"/>
    <w:rsid w:val="315414C0"/>
    <w:rsid w:val="31566DE9"/>
    <w:rsid w:val="315B78E8"/>
    <w:rsid w:val="315F20B7"/>
    <w:rsid w:val="315F7848"/>
    <w:rsid w:val="315F7B3A"/>
    <w:rsid w:val="31634122"/>
    <w:rsid w:val="31635067"/>
    <w:rsid w:val="31673193"/>
    <w:rsid w:val="31681810"/>
    <w:rsid w:val="3169515B"/>
    <w:rsid w:val="316A2770"/>
    <w:rsid w:val="316B17AA"/>
    <w:rsid w:val="316F01DB"/>
    <w:rsid w:val="316F62ED"/>
    <w:rsid w:val="31714F08"/>
    <w:rsid w:val="31735DAE"/>
    <w:rsid w:val="317529A4"/>
    <w:rsid w:val="317657CC"/>
    <w:rsid w:val="3185261A"/>
    <w:rsid w:val="31852B84"/>
    <w:rsid w:val="31891244"/>
    <w:rsid w:val="3189332C"/>
    <w:rsid w:val="318D5DF3"/>
    <w:rsid w:val="318D6E68"/>
    <w:rsid w:val="318F303E"/>
    <w:rsid w:val="319078B2"/>
    <w:rsid w:val="3192591A"/>
    <w:rsid w:val="3192760A"/>
    <w:rsid w:val="319765D1"/>
    <w:rsid w:val="3198270C"/>
    <w:rsid w:val="319A0963"/>
    <w:rsid w:val="319B5C66"/>
    <w:rsid w:val="319B7C77"/>
    <w:rsid w:val="31A44B1B"/>
    <w:rsid w:val="31A57A34"/>
    <w:rsid w:val="31AA25A9"/>
    <w:rsid w:val="31AB6682"/>
    <w:rsid w:val="31B446A5"/>
    <w:rsid w:val="31B54804"/>
    <w:rsid w:val="31B553CE"/>
    <w:rsid w:val="31BB4CA9"/>
    <w:rsid w:val="31BD7D6E"/>
    <w:rsid w:val="31BF52A6"/>
    <w:rsid w:val="31C22D72"/>
    <w:rsid w:val="31C6105E"/>
    <w:rsid w:val="31C861F5"/>
    <w:rsid w:val="31C9167C"/>
    <w:rsid w:val="31CD2AE7"/>
    <w:rsid w:val="31CF7B6C"/>
    <w:rsid w:val="31D26A8E"/>
    <w:rsid w:val="31D42F82"/>
    <w:rsid w:val="31D46EE2"/>
    <w:rsid w:val="31DB384F"/>
    <w:rsid w:val="31DD1917"/>
    <w:rsid w:val="31DF76F1"/>
    <w:rsid w:val="31E00FB5"/>
    <w:rsid w:val="31E45B8C"/>
    <w:rsid w:val="31E645B1"/>
    <w:rsid w:val="31EC756B"/>
    <w:rsid w:val="31EE29B3"/>
    <w:rsid w:val="31EE412C"/>
    <w:rsid w:val="31F32FBF"/>
    <w:rsid w:val="31F745D3"/>
    <w:rsid w:val="31F83CBF"/>
    <w:rsid w:val="31FA339D"/>
    <w:rsid w:val="31FB28EC"/>
    <w:rsid w:val="31FC58E9"/>
    <w:rsid w:val="31FE3095"/>
    <w:rsid w:val="31FE67FD"/>
    <w:rsid w:val="31FF671F"/>
    <w:rsid w:val="32020056"/>
    <w:rsid w:val="32034F14"/>
    <w:rsid w:val="3203787E"/>
    <w:rsid w:val="3204181A"/>
    <w:rsid w:val="32056815"/>
    <w:rsid w:val="320A2560"/>
    <w:rsid w:val="320A55E2"/>
    <w:rsid w:val="320B31DE"/>
    <w:rsid w:val="320B557C"/>
    <w:rsid w:val="321233F7"/>
    <w:rsid w:val="32174B2D"/>
    <w:rsid w:val="3219399B"/>
    <w:rsid w:val="32195A0B"/>
    <w:rsid w:val="321B036C"/>
    <w:rsid w:val="321B5F1A"/>
    <w:rsid w:val="321E67BD"/>
    <w:rsid w:val="32251EDB"/>
    <w:rsid w:val="32253A27"/>
    <w:rsid w:val="32261E1F"/>
    <w:rsid w:val="32290598"/>
    <w:rsid w:val="322D2553"/>
    <w:rsid w:val="322D542D"/>
    <w:rsid w:val="322D5670"/>
    <w:rsid w:val="322F2C94"/>
    <w:rsid w:val="323077A3"/>
    <w:rsid w:val="3231515D"/>
    <w:rsid w:val="32321F02"/>
    <w:rsid w:val="32327AC6"/>
    <w:rsid w:val="323A1C7F"/>
    <w:rsid w:val="323B605F"/>
    <w:rsid w:val="323F7927"/>
    <w:rsid w:val="324228EA"/>
    <w:rsid w:val="32435C91"/>
    <w:rsid w:val="3247083A"/>
    <w:rsid w:val="32476D3D"/>
    <w:rsid w:val="324E7081"/>
    <w:rsid w:val="324F387C"/>
    <w:rsid w:val="324F6855"/>
    <w:rsid w:val="32541F87"/>
    <w:rsid w:val="325517EA"/>
    <w:rsid w:val="325C1643"/>
    <w:rsid w:val="32657A06"/>
    <w:rsid w:val="326D1DE7"/>
    <w:rsid w:val="326E5131"/>
    <w:rsid w:val="32700190"/>
    <w:rsid w:val="32764E3E"/>
    <w:rsid w:val="32771E4B"/>
    <w:rsid w:val="327E6123"/>
    <w:rsid w:val="32822B91"/>
    <w:rsid w:val="32845A07"/>
    <w:rsid w:val="3285274F"/>
    <w:rsid w:val="328D317B"/>
    <w:rsid w:val="328D7338"/>
    <w:rsid w:val="328F15D2"/>
    <w:rsid w:val="32903113"/>
    <w:rsid w:val="32920760"/>
    <w:rsid w:val="3294299E"/>
    <w:rsid w:val="32942D03"/>
    <w:rsid w:val="32950344"/>
    <w:rsid w:val="329948BE"/>
    <w:rsid w:val="32A37382"/>
    <w:rsid w:val="32A744D6"/>
    <w:rsid w:val="32A8786D"/>
    <w:rsid w:val="32A91A35"/>
    <w:rsid w:val="32AB0F18"/>
    <w:rsid w:val="32AF5A8A"/>
    <w:rsid w:val="32AF7866"/>
    <w:rsid w:val="32B10AED"/>
    <w:rsid w:val="32B7671F"/>
    <w:rsid w:val="32B76FB3"/>
    <w:rsid w:val="32B80F6B"/>
    <w:rsid w:val="32BB000D"/>
    <w:rsid w:val="32BD49B3"/>
    <w:rsid w:val="32C23BFF"/>
    <w:rsid w:val="32C262B0"/>
    <w:rsid w:val="32C426C6"/>
    <w:rsid w:val="32C57858"/>
    <w:rsid w:val="32C70FBD"/>
    <w:rsid w:val="32C74733"/>
    <w:rsid w:val="32C75667"/>
    <w:rsid w:val="32C77C70"/>
    <w:rsid w:val="32C83002"/>
    <w:rsid w:val="32C96AA6"/>
    <w:rsid w:val="32CA77EA"/>
    <w:rsid w:val="32CD6313"/>
    <w:rsid w:val="32CE3A31"/>
    <w:rsid w:val="32CF388C"/>
    <w:rsid w:val="32D0674A"/>
    <w:rsid w:val="32D22CA9"/>
    <w:rsid w:val="32D305F1"/>
    <w:rsid w:val="32D34DAA"/>
    <w:rsid w:val="32D50A2F"/>
    <w:rsid w:val="32D61978"/>
    <w:rsid w:val="32D94D35"/>
    <w:rsid w:val="32DB7ABA"/>
    <w:rsid w:val="32E378E0"/>
    <w:rsid w:val="32E44E6D"/>
    <w:rsid w:val="32E62C7B"/>
    <w:rsid w:val="32E91759"/>
    <w:rsid w:val="32EA5644"/>
    <w:rsid w:val="32EB4878"/>
    <w:rsid w:val="32F15FBB"/>
    <w:rsid w:val="32F3225B"/>
    <w:rsid w:val="32F4463C"/>
    <w:rsid w:val="32F5243A"/>
    <w:rsid w:val="32F72C4D"/>
    <w:rsid w:val="32F84903"/>
    <w:rsid w:val="3300464B"/>
    <w:rsid w:val="3301082C"/>
    <w:rsid w:val="330322F7"/>
    <w:rsid w:val="33041BAC"/>
    <w:rsid w:val="330439EA"/>
    <w:rsid w:val="33074674"/>
    <w:rsid w:val="3307578A"/>
    <w:rsid w:val="330D644D"/>
    <w:rsid w:val="330E5C64"/>
    <w:rsid w:val="331171E1"/>
    <w:rsid w:val="33123F2B"/>
    <w:rsid w:val="3316338D"/>
    <w:rsid w:val="33166D0E"/>
    <w:rsid w:val="331775A8"/>
    <w:rsid w:val="331B1691"/>
    <w:rsid w:val="331B2226"/>
    <w:rsid w:val="331C1D31"/>
    <w:rsid w:val="332152BA"/>
    <w:rsid w:val="33220090"/>
    <w:rsid w:val="33220A74"/>
    <w:rsid w:val="33264087"/>
    <w:rsid w:val="33273224"/>
    <w:rsid w:val="332D05DB"/>
    <w:rsid w:val="332F3C0E"/>
    <w:rsid w:val="33323549"/>
    <w:rsid w:val="33327240"/>
    <w:rsid w:val="3339105D"/>
    <w:rsid w:val="333A2D0C"/>
    <w:rsid w:val="333D18A4"/>
    <w:rsid w:val="33416387"/>
    <w:rsid w:val="33433299"/>
    <w:rsid w:val="3348686B"/>
    <w:rsid w:val="334877FD"/>
    <w:rsid w:val="334A4166"/>
    <w:rsid w:val="334C33CB"/>
    <w:rsid w:val="33504918"/>
    <w:rsid w:val="33514F92"/>
    <w:rsid w:val="335369A4"/>
    <w:rsid w:val="335A2AA0"/>
    <w:rsid w:val="335A4EFD"/>
    <w:rsid w:val="335F2036"/>
    <w:rsid w:val="33624687"/>
    <w:rsid w:val="33646C00"/>
    <w:rsid w:val="336B23CA"/>
    <w:rsid w:val="336B6AF8"/>
    <w:rsid w:val="336C3F9A"/>
    <w:rsid w:val="336E1C28"/>
    <w:rsid w:val="33706042"/>
    <w:rsid w:val="3374309B"/>
    <w:rsid w:val="3376354A"/>
    <w:rsid w:val="3378039E"/>
    <w:rsid w:val="33784BB6"/>
    <w:rsid w:val="3379318F"/>
    <w:rsid w:val="337A2555"/>
    <w:rsid w:val="337B4E5F"/>
    <w:rsid w:val="338652D4"/>
    <w:rsid w:val="338E32F7"/>
    <w:rsid w:val="33907413"/>
    <w:rsid w:val="33970FF3"/>
    <w:rsid w:val="339D5500"/>
    <w:rsid w:val="33A042DD"/>
    <w:rsid w:val="33A377EC"/>
    <w:rsid w:val="33A5428E"/>
    <w:rsid w:val="33AB0CCD"/>
    <w:rsid w:val="33AD497E"/>
    <w:rsid w:val="33B006C0"/>
    <w:rsid w:val="33B45679"/>
    <w:rsid w:val="33B53954"/>
    <w:rsid w:val="33BB0A89"/>
    <w:rsid w:val="33BB474F"/>
    <w:rsid w:val="33BC0C81"/>
    <w:rsid w:val="33BD7658"/>
    <w:rsid w:val="33C01925"/>
    <w:rsid w:val="33C3213A"/>
    <w:rsid w:val="33C51903"/>
    <w:rsid w:val="33C92C0F"/>
    <w:rsid w:val="33C975F2"/>
    <w:rsid w:val="33CA711E"/>
    <w:rsid w:val="33CE1036"/>
    <w:rsid w:val="33D01CFF"/>
    <w:rsid w:val="33D05886"/>
    <w:rsid w:val="33D8429F"/>
    <w:rsid w:val="33DC49FC"/>
    <w:rsid w:val="33DD1CED"/>
    <w:rsid w:val="33DD4B8C"/>
    <w:rsid w:val="33E22905"/>
    <w:rsid w:val="33E67E90"/>
    <w:rsid w:val="33E81AAD"/>
    <w:rsid w:val="33F1185C"/>
    <w:rsid w:val="33F4411B"/>
    <w:rsid w:val="33F53ABA"/>
    <w:rsid w:val="33F80E40"/>
    <w:rsid w:val="33F87419"/>
    <w:rsid w:val="33FA1CF6"/>
    <w:rsid w:val="33FB6795"/>
    <w:rsid w:val="33FE78CF"/>
    <w:rsid w:val="34015814"/>
    <w:rsid w:val="3409075B"/>
    <w:rsid w:val="340A0022"/>
    <w:rsid w:val="340C0534"/>
    <w:rsid w:val="341241D2"/>
    <w:rsid w:val="341B4538"/>
    <w:rsid w:val="34237336"/>
    <w:rsid w:val="342555B9"/>
    <w:rsid w:val="34284126"/>
    <w:rsid w:val="342B1210"/>
    <w:rsid w:val="342E2345"/>
    <w:rsid w:val="34316F6E"/>
    <w:rsid w:val="3432626E"/>
    <w:rsid w:val="3433138C"/>
    <w:rsid w:val="34341EA3"/>
    <w:rsid w:val="34344C01"/>
    <w:rsid w:val="34403FE2"/>
    <w:rsid w:val="344275DA"/>
    <w:rsid w:val="34463846"/>
    <w:rsid w:val="34496C6F"/>
    <w:rsid w:val="344B1013"/>
    <w:rsid w:val="344F3BB9"/>
    <w:rsid w:val="344F48A5"/>
    <w:rsid w:val="34552DB6"/>
    <w:rsid w:val="34572B3B"/>
    <w:rsid w:val="345E036E"/>
    <w:rsid w:val="3460536E"/>
    <w:rsid w:val="34605DAE"/>
    <w:rsid w:val="346E7417"/>
    <w:rsid w:val="347342B3"/>
    <w:rsid w:val="3479318F"/>
    <w:rsid w:val="3479582F"/>
    <w:rsid w:val="347A2085"/>
    <w:rsid w:val="347B4C94"/>
    <w:rsid w:val="347F0216"/>
    <w:rsid w:val="34810281"/>
    <w:rsid w:val="348475E4"/>
    <w:rsid w:val="348847CF"/>
    <w:rsid w:val="348A435C"/>
    <w:rsid w:val="348B3E29"/>
    <w:rsid w:val="348E2208"/>
    <w:rsid w:val="348E4BCA"/>
    <w:rsid w:val="348F7DF7"/>
    <w:rsid w:val="34917532"/>
    <w:rsid w:val="34925E2A"/>
    <w:rsid w:val="34A222A2"/>
    <w:rsid w:val="34AA38CA"/>
    <w:rsid w:val="34B01D5A"/>
    <w:rsid w:val="34B04A3D"/>
    <w:rsid w:val="34B2580F"/>
    <w:rsid w:val="34B41020"/>
    <w:rsid w:val="34B41D3C"/>
    <w:rsid w:val="34B962E0"/>
    <w:rsid w:val="34BF33D6"/>
    <w:rsid w:val="34C27A5A"/>
    <w:rsid w:val="34C30824"/>
    <w:rsid w:val="34C64994"/>
    <w:rsid w:val="34C82459"/>
    <w:rsid w:val="34C93E4B"/>
    <w:rsid w:val="34CC7593"/>
    <w:rsid w:val="34D467DD"/>
    <w:rsid w:val="34DA3E98"/>
    <w:rsid w:val="34DB7B3E"/>
    <w:rsid w:val="34E97AB3"/>
    <w:rsid w:val="34EA018F"/>
    <w:rsid w:val="34EA0FA1"/>
    <w:rsid w:val="34EB768F"/>
    <w:rsid w:val="34ED5259"/>
    <w:rsid w:val="34F0335F"/>
    <w:rsid w:val="34F52260"/>
    <w:rsid w:val="34FC127E"/>
    <w:rsid w:val="34FC5CDE"/>
    <w:rsid w:val="34FD4211"/>
    <w:rsid w:val="35020C24"/>
    <w:rsid w:val="35057A63"/>
    <w:rsid w:val="35094118"/>
    <w:rsid w:val="350958B6"/>
    <w:rsid w:val="35097BEB"/>
    <w:rsid w:val="350B7FA6"/>
    <w:rsid w:val="350C1103"/>
    <w:rsid w:val="350C7A7A"/>
    <w:rsid w:val="350D601C"/>
    <w:rsid w:val="351C27CC"/>
    <w:rsid w:val="351D1349"/>
    <w:rsid w:val="351F7239"/>
    <w:rsid w:val="35243EAF"/>
    <w:rsid w:val="35254870"/>
    <w:rsid w:val="35274FFD"/>
    <w:rsid w:val="352C7EA8"/>
    <w:rsid w:val="352D27C8"/>
    <w:rsid w:val="352F24DA"/>
    <w:rsid w:val="35327730"/>
    <w:rsid w:val="353428AB"/>
    <w:rsid w:val="35345C5F"/>
    <w:rsid w:val="35406296"/>
    <w:rsid w:val="35460781"/>
    <w:rsid w:val="35460F8F"/>
    <w:rsid w:val="35465232"/>
    <w:rsid w:val="354658AE"/>
    <w:rsid w:val="354743B8"/>
    <w:rsid w:val="354778D5"/>
    <w:rsid w:val="354A2ECE"/>
    <w:rsid w:val="354F3A2C"/>
    <w:rsid w:val="35507522"/>
    <w:rsid w:val="35525AE2"/>
    <w:rsid w:val="3555351F"/>
    <w:rsid w:val="35570F65"/>
    <w:rsid w:val="355A70EF"/>
    <w:rsid w:val="355B1111"/>
    <w:rsid w:val="355C665B"/>
    <w:rsid w:val="355D375C"/>
    <w:rsid w:val="355D5EB0"/>
    <w:rsid w:val="356B705C"/>
    <w:rsid w:val="356C6085"/>
    <w:rsid w:val="356D40E4"/>
    <w:rsid w:val="35702CE1"/>
    <w:rsid w:val="35704EB0"/>
    <w:rsid w:val="35710A55"/>
    <w:rsid w:val="35720AAE"/>
    <w:rsid w:val="357617BA"/>
    <w:rsid w:val="35790CB9"/>
    <w:rsid w:val="357936BF"/>
    <w:rsid w:val="357A6A6C"/>
    <w:rsid w:val="357D5BF1"/>
    <w:rsid w:val="357E7F99"/>
    <w:rsid w:val="357F234A"/>
    <w:rsid w:val="357F58ED"/>
    <w:rsid w:val="357F736D"/>
    <w:rsid w:val="3584606C"/>
    <w:rsid w:val="35861800"/>
    <w:rsid w:val="3586192A"/>
    <w:rsid w:val="35872075"/>
    <w:rsid w:val="358D306E"/>
    <w:rsid w:val="358F26DC"/>
    <w:rsid w:val="358F69ED"/>
    <w:rsid w:val="359143C4"/>
    <w:rsid w:val="359202CF"/>
    <w:rsid w:val="35987485"/>
    <w:rsid w:val="359A7C34"/>
    <w:rsid w:val="359B20D9"/>
    <w:rsid w:val="359C5BC8"/>
    <w:rsid w:val="359E3729"/>
    <w:rsid w:val="359E4EC6"/>
    <w:rsid w:val="359F4467"/>
    <w:rsid w:val="359F51FF"/>
    <w:rsid w:val="35A10512"/>
    <w:rsid w:val="35A81E7D"/>
    <w:rsid w:val="35AF49E7"/>
    <w:rsid w:val="35B47FF9"/>
    <w:rsid w:val="35B818C3"/>
    <w:rsid w:val="35B92F9A"/>
    <w:rsid w:val="35C12CD7"/>
    <w:rsid w:val="35C206F0"/>
    <w:rsid w:val="35C25409"/>
    <w:rsid w:val="35C4598D"/>
    <w:rsid w:val="35C66639"/>
    <w:rsid w:val="35C8395E"/>
    <w:rsid w:val="35CB3A3B"/>
    <w:rsid w:val="35CE6B26"/>
    <w:rsid w:val="35CE73E4"/>
    <w:rsid w:val="35D0351E"/>
    <w:rsid w:val="35D474D8"/>
    <w:rsid w:val="35D95A71"/>
    <w:rsid w:val="35DC0948"/>
    <w:rsid w:val="35DC0B8B"/>
    <w:rsid w:val="35DC0DBF"/>
    <w:rsid w:val="35DC2C03"/>
    <w:rsid w:val="35DD3440"/>
    <w:rsid w:val="35DE3514"/>
    <w:rsid w:val="35E261B8"/>
    <w:rsid w:val="35E76E9E"/>
    <w:rsid w:val="35E83028"/>
    <w:rsid w:val="35E85F37"/>
    <w:rsid w:val="35EA5C87"/>
    <w:rsid w:val="35EB405B"/>
    <w:rsid w:val="35ED7BFB"/>
    <w:rsid w:val="35F1191C"/>
    <w:rsid w:val="35F47D66"/>
    <w:rsid w:val="35F534F2"/>
    <w:rsid w:val="35F64D86"/>
    <w:rsid w:val="35FA3067"/>
    <w:rsid w:val="35FB2318"/>
    <w:rsid w:val="35FC5BC2"/>
    <w:rsid w:val="35FF3876"/>
    <w:rsid w:val="36005857"/>
    <w:rsid w:val="36084DE0"/>
    <w:rsid w:val="360C624C"/>
    <w:rsid w:val="360E0905"/>
    <w:rsid w:val="36131530"/>
    <w:rsid w:val="36161297"/>
    <w:rsid w:val="36172AD7"/>
    <w:rsid w:val="361865A9"/>
    <w:rsid w:val="36191A1A"/>
    <w:rsid w:val="361D583E"/>
    <w:rsid w:val="36232B4F"/>
    <w:rsid w:val="362543C2"/>
    <w:rsid w:val="362613D4"/>
    <w:rsid w:val="3627310D"/>
    <w:rsid w:val="3628055D"/>
    <w:rsid w:val="36285CC3"/>
    <w:rsid w:val="362918FE"/>
    <w:rsid w:val="362B0040"/>
    <w:rsid w:val="362C5D14"/>
    <w:rsid w:val="362C6B6A"/>
    <w:rsid w:val="362C7769"/>
    <w:rsid w:val="36351176"/>
    <w:rsid w:val="36385E46"/>
    <w:rsid w:val="363D46DF"/>
    <w:rsid w:val="364170E9"/>
    <w:rsid w:val="36450087"/>
    <w:rsid w:val="36481C39"/>
    <w:rsid w:val="36482B5B"/>
    <w:rsid w:val="364D4E00"/>
    <w:rsid w:val="36550EF4"/>
    <w:rsid w:val="3658194D"/>
    <w:rsid w:val="365F3716"/>
    <w:rsid w:val="3661141F"/>
    <w:rsid w:val="36621823"/>
    <w:rsid w:val="3667491D"/>
    <w:rsid w:val="3667497C"/>
    <w:rsid w:val="366D1C16"/>
    <w:rsid w:val="366D66AA"/>
    <w:rsid w:val="366D798E"/>
    <w:rsid w:val="366F0C87"/>
    <w:rsid w:val="366F6862"/>
    <w:rsid w:val="367147F2"/>
    <w:rsid w:val="36746004"/>
    <w:rsid w:val="367A778B"/>
    <w:rsid w:val="367B0939"/>
    <w:rsid w:val="367D69FE"/>
    <w:rsid w:val="367D77BE"/>
    <w:rsid w:val="367F4B4E"/>
    <w:rsid w:val="3681438C"/>
    <w:rsid w:val="36824FDE"/>
    <w:rsid w:val="36850670"/>
    <w:rsid w:val="368915AB"/>
    <w:rsid w:val="368F5E38"/>
    <w:rsid w:val="36992376"/>
    <w:rsid w:val="36A02251"/>
    <w:rsid w:val="36A04C6E"/>
    <w:rsid w:val="36A07334"/>
    <w:rsid w:val="36A24C27"/>
    <w:rsid w:val="36AA1CC1"/>
    <w:rsid w:val="36AA789A"/>
    <w:rsid w:val="36AB47F9"/>
    <w:rsid w:val="36AE4F1E"/>
    <w:rsid w:val="36AF0608"/>
    <w:rsid w:val="36B454E0"/>
    <w:rsid w:val="36BA0CFD"/>
    <w:rsid w:val="36BB4D82"/>
    <w:rsid w:val="36BE6075"/>
    <w:rsid w:val="36BE6EE5"/>
    <w:rsid w:val="36BF0287"/>
    <w:rsid w:val="36C07F2D"/>
    <w:rsid w:val="36C11A54"/>
    <w:rsid w:val="36C616C3"/>
    <w:rsid w:val="36C752B5"/>
    <w:rsid w:val="36CF361F"/>
    <w:rsid w:val="36CF7301"/>
    <w:rsid w:val="36D05B3E"/>
    <w:rsid w:val="36D160AA"/>
    <w:rsid w:val="36D37827"/>
    <w:rsid w:val="36D9332B"/>
    <w:rsid w:val="36DA58CF"/>
    <w:rsid w:val="36DD6410"/>
    <w:rsid w:val="36DE18BC"/>
    <w:rsid w:val="36E16A1D"/>
    <w:rsid w:val="36E71D3E"/>
    <w:rsid w:val="36E92BA2"/>
    <w:rsid w:val="36EA4555"/>
    <w:rsid w:val="36EE3C2B"/>
    <w:rsid w:val="36F04AC6"/>
    <w:rsid w:val="36F113E8"/>
    <w:rsid w:val="36F823B4"/>
    <w:rsid w:val="36F912E1"/>
    <w:rsid w:val="36FB46AE"/>
    <w:rsid w:val="36FB723E"/>
    <w:rsid w:val="36FD22B1"/>
    <w:rsid w:val="37012D6F"/>
    <w:rsid w:val="370357FF"/>
    <w:rsid w:val="3705340E"/>
    <w:rsid w:val="3706500E"/>
    <w:rsid w:val="370729FA"/>
    <w:rsid w:val="37075783"/>
    <w:rsid w:val="3708011D"/>
    <w:rsid w:val="3709253A"/>
    <w:rsid w:val="370A5956"/>
    <w:rsid w:val="370C6A69"/>
    <w:rsid w:val="370D1A43"/>
    <w:rsid w:val="370F1247"/>
    <w:rsid w:val="37103CDA"/>
    <w:rsid w:val="37104E51"/>
    <w:rsid w:val="371B5CAA"/>
    <w:rsid w:val="371D3722"/>
    <w:rsid w:val="371D475A"/>
    <w:rsid w:val="371F090E"/>
    <w:rsid w:val="37202FA2"/>
    <w:rsid w:val="3723186B"/>
    <w:rsid w:val="37254E3E"/>
    <w:rsid w:val="372968D4"/>
    <w:rsid w:val="372B56D0"/>
    <w:rsid w:val="372E089D"/>
    <w:rsid w:val="372F5D0A"/>
    <w:rsid w:val="373018DF"/>
    <w:rsid w:val="373B3EEF"/>
    <w:rsid w:val="374072FC"/>
    <w:rsid w:val="3742385D"/>
    <w:rsid w:val="37435300"/>
    <w:rsid w:val="374455F9"/>
    <w:rsid w:val="374719FB"/>
    <w:rsid w:val="374C2E47"/>
    <w:rsid w:val="374E6478"/>
    <w:rsid w:val="37523868"/>
    <w:rsid w:val="3757357E"/>
    <w:rsid w:val="376051D4"/>
    <w:rsid w:val="3763533E"/>
    <w:rsid w:val="376B18F0"/>
    <w:rsid w:val="376E2F19"/>
    <w:rsid w:val="37702ABF"/>
    <w:rsid w:val="37704F5D"/>
    <w:rsid w:val="37731EFA"/>
    <w:rsid w:val="37741153"/>
    <w:rsid w:val="377518BF"/>
    <w:rsid w:val="37757EA8"/>
    <w:rsid w:val="377A133A"/>
    <w:rsid w:val="377A4E1C"/>
    <w:rsid w:val="377B18A7"/>
    <w:rsid w:val="378243D8"/>
    <w:rsid w:val="3786696D"/>
    <w:rsid w:val="3787477A"/>
    <w:rsid w:val="378B6EF1"/>
    <w:rsid w:val="37916D11"/>
    <w:rsid w:val="37936580"/>
    <w:rsid w:val="37941FC4"/>
    <w:rsid w:val="37953769"/>
    <w:rsid w:val="379752F8"/>
    <w:rsid w:val="37976EE2"/>
    <w:rsid w:val="379A16BD"/>
    <w:rsid w:val="379C27DB"/>
    <w:rsid w:val="379F508B"/>
    <w:rsid w:val="37A44A07"/>
    <w:rsid w:val="37A73145"/>
    <w:rsid w:val="37AB6A8B"/>
    <w:rsid w:val="37AF43BA"/>
    <w:rsid w:val="37B05F3F"/>
    <w:rsid w:val="37B07132"/>
    <w:rsid w:val="37B1393B"/>
    <w:rsid w:val="37B24051"/>
    <w:rsid w:val="37B45FCD"/>
    <w:rsid w:val="37B51098"/>
    <w:rsid w:val="37BC425A"/>
    <w:rsid w:val="37C24A54"/>
    <w:rsid w:val="37C63FE1"/>
    <w:rsid w:val="37C96302"/>
    <w:rsid w:val="37CB0479"/>
    <w:rsid w:val="37D3042B"/>
    <w:rsid w:val="37D53AD0"/>
    <w:rsid w:val="37D60CCA"/>
    <w:rsid w:val="37D62258"/>
    <w:rsid w:val="37D72BF0"/>
    <w:rsid w:val="37D862C3"/>
    <w:rsid w:val="37DB0446"/>
    <w:rsid w:val="37DE35B6"/>
    <w:rsid w:val="37DE6136"/>
    <w:rsid w:val="37DF1CF4"/>
    <w:rsid w:val="37E311D3"/>
    <w:rsid w:val="37E54462"/>
    <w:rsid w:val="37E603F5"/>
    <w:rsid w:val="37E76798"/>
    <w:rsid w:val="37E821C3"/>
    <w:rsid w:val="37E83263"/>
    <w:rsid w:val="37E87083"/>
    <w:rsid w:val="37EA6C16"/>
    <w:rsid w:val="37EB6883"/>
    <w:rsid w:val="37ED50BF"/>
    <w:rsid w:val="37F06336"/>
    <w:rsid w:val="37F10FD8"/>
    <w:rsid w:val="37F30DCD"/>
    <w:rsid w:val="37F86459"/>
    <w:rsid w:val="37F87E08"/>
    <w:rsid w:val="37FE7CF4"/>
    <w:rsid w:val="38033706"/>
    <w:rsid w:val="38095AFA"/>
    <w:rsid w:val="380C102D"/>
    <w:rsid w:val="3810403D"/>
    <w:rsid w:val="38111388"/>
    <w:rsid w:val="38121C96"/>
    <w:rsid w:val="38184B0B"/>
    <w:rsid w:val="381C1FC2"/>
    <w:rsid w:val="381C2197"/>
    <w:rsid w:val="381C24FB"/>
    <w:rsid w:val="381D07E9"/>
    <w:rsid w:val="381F74DA"/>
    <w:rsid w:val="38201CE6"/>
    <w:rsid w:val="38223BD6"/>
    <w:rsid w:val="382573C4"/>
    <w:rsid w:val="3829749A"/>
    <w:rsid w:val="382B5E01"/>
    <w:rsid w:val="382C55F8"/>
    <w:rsid w:val="382E0B22"/>
    <w:rsid w:val="382F03B6"/>
    <w:rsid w:val="383031AF"/>
    <w:rsid w:val="38380036"/>
    <w:rsid w:val="3838311F"/>
    <w:rsid w:val="38397C6A"/>
    <w:rsid w:val="383A025F"/>
    <w:rsid w:val="383D5520"/>
    <w:rsid w:val="383E043B"/>
    <w:rsid w:val="384563C8"/>
    <w:rsid w:val="384A10A6"/>
    <w:rsid w:val="384B3071"/>
    <w:rsid w:val="384D7D4B"/>
    <w:rsid w:val="384E596A"/>
    <w:rsid w:val="385133D3"/>
    <w:rsid w:val="38517C12"/>
    <w:rsid w:val="385A02F6"/>
    <w:rsid w:val="385B149E"/>
    <w:rsid w:val="3865252F"/>
    <w:rsid w:val="386528AA"/>
    <w:rsid w:val="3865447B"/>
    <w:rsid w:val="3867592A"/>
    <w:rsid w:val="38693474"/>
    <w:rsid w:val="386A621E"/>
    <w:rsid w:val="386B0E24"/>
    <w:rsid w:val="386C309B"/>
    <w:rsid w:val="386F5385"/>
    <w:rsid w:val="386F7882"/>
    <w:rsid w:val="3872431A"/>
    <w:rsid w:val="3874097D"/>
    <w:rsid w:val="38776802"/>
    <w:rsid w:val="387A2E59"/>
    <w:rsid w:val="387D2B8A"/>
    <w:rsid w:val="387E68C1"/>
    <w:rsid w:val="3881389A"/>
    <w:rsid w:val="388624AD"/>
    <w:rsid w:val="388760E5"/>
    <w:rsid w:val="38892684"/>
    <w:rsid w:val="38893370"/>
    <w:rsid w:val="388B20F8"/>
    <w:rsid w:val="388B52AE"/>
    <w:rsid w:val="388D11E8"/>
    <w:rsid w:val="3891617B"/>
    <w:rsid w:val="38943267"/>
    <w:rsid w:val="38963172"/>
    <w:rsid w:val="389C56A2"/>
    <w:rsid w:val="38A16B47"/>
    <w:rsid w:val="38A50118"/>
    <w:rsid w:val="38A53ACF"/>
    <w:rsid w:val="38A6393D"/>
    <w:rsid w:val="38A67955"/>
    <w:rsid w:val="38AC78FA"/>
    <w:rsid w:val="38AD4198"/>
    <w:rsid w:val="38B02942"/>
    <w:rsid w:val="38B16CB8"/>
    <w:rsid w:val="38B22037"/>
    <w:rsid w:val="38C01C3B"/>
    <w:rsid w:val="38C44111"/>
    <w:rsid w:val="38C52D1C"/>
    <w:rsid w:val="38C71AA4"/>
    <w:rsid w:val="38CA0EAF"/>
    <w:rsid w:val="38CA796D"/>
    <w:rsid w:val="38CB64F2"/>
    <w:rsid w:val="38CC17E4"/>
    <w:rsid w:val="38CE4E96"/>
    <w:rsid w:val="38CE5A01"/>
    <w:rsid w:val="38D155B2"/>
    <w:rsid w:val="38D22F58"/>
    <w:rsid w:val="38D41661"/>
    <w:rsid w:val="38D45F3F"/>
    <w:rsid w:val="38D6348B"/>
    <w:rsid w:val="38D664FD"/>
    <w:rsid w:val="38E64746"/>
    <w:rsid w:val="38E86A77"/>
    <w:rsid w:val="38EB1919"/>
    <w:rsid w:val="38EB631B"/>
    <w:rsid w:val="38EC0024"/>
    <w:rsid w:val="38ED2760"/>
    <w:rsid w:val="38EE5228"/>
    <w:rsid w:val="38EE5673"/>
    <w:rsid w:val="38F00185"/>
    <w:rsid w:val="38F12EA6"/>
    <w:rsid w:val="38F52462"/>
    <w:rsid w:val="38F55454"/>
    <w:rsid w:val="38FA0657"/>
    <w:rsid w:val="38FC574E"/>
    <w:rsid w:val="38FD4424"/>
    <w:rsid w:val="390048BC"/>
    <w:rsid w:val="39022894"/>
    <w:rsid w:val="39026962"/>
    <w:rsid w:val="39043CCC"/>
    <w:rsid w:val="3906240B"/>
    <w:rsid w:val="390748CE"/>
    <w:rsid w:val="39085FA1"/>
    <w:rsid w:val="390F2D2A"/>
    <w:rsid w:val="3911091E"/>
    <w:rsid w:val="39151917"/>
    <w:rsid w:val="391A2F14"/>
    <w:rsid w:val="391F2D12"/>
    <w:rsid w:val="39227193"/>
    <w:rsid w:val="39237EB6"/>
    <w:rsid w:val="3926048C"/>
    <w:rsid w:val="39271442"/>
    <w:rsid w:val="39272C48"/>
    <w:rsid w:val="39277236"/>
    <w:rsid w:val="39286B5A"/>
    <w:rsid w:val="392F2FE8"/>
    <w:rsid w:val="3932110D"/>
    <w:rsid w:val="39327AA6"/>
    <w:rsid w:val="39335925"/>
    <w:rsid w:val="39346BDA"/>
    <w:rsid w:val="39362B6F"/>
    <w:rsid w:val="3936377C"/>
    <w:rsid w:val="39384DB8"/>
    <w:rsid w:val="393A35E4"/>
    <w:rsid w:val="393B78E5"/>
    <w:rsid w:val="393E4B36"/>
    <w:rsid w:val="393E52CD"/>
    <w:rsid w:val="393E5E48"/>
    <w:rsid w:val="394B5B83"/>
    <w:rsid w:val="394D7D75"/>
    <w:rsid w:val="394F07E2"/>
    <w:rsid w:val="39526BCA"/>
    <w:rsid w:val="39580983"/>
    <w:rsid w:val="39581830"/>
    <w:rsid w:val="39587F5E"/>
    <w:rsid w:val="395E2506"/>
    <w:rsid w:val="39613119"/>
    <w:rsid w:val="39641F82"/>
    <w:rsid w:val="396A5E6C"/>
    <w:rsid w:val="396F3E0C"/>
    <w:rsid w:val="39725971"/>
    <w:rsid w:val="397C2FE1"/>
    <w:rsid w:val="39841B27"/>
    <w:rsid w:val="3984496B"/>
    <w:rsid w:val="39883220"/>
    <w:rsid w:val="39884064"/>
    <w:rsid w:val="39891427"/>
    <w:rsid w:val="39893177"/>
    <w:rsid w:val="398956C6"/>
    <w:rsid w:val="398C7A35"/>
    <w:rsid w:val="3995299F"/>
    <w:rsid w:val="39962A7D"/>
    <w:rsid w:val="39964A8A"/>
    <w:rsid w:val="39965EB4"/>
    <w:rsid w:val="39976F4B"/>
    <w:rsid w:val="39994203"/>
    <w:rsid w:val="399966B9"/>
    <w:rsid w:val="399B3346"/>
    <w:rsid w:val="399D2894"/>
    <w:rsid w:val="399D36E6"/>
    <w:rsid w:val="399E6B3E"/>
    <w:rsid w:val="39A32E7D"/>
    <w:rsid w:val="39A51422"/>
    <w:rsid w:val="39A520A3"/>
    <w:rsid w:val="39A66488"/>
    <w:rsid w:val="39A76C82"/>
    <w:rsid w:val="39AC790A"/>
    <w:rsid w:val="39AD1739"/>
    <w:rsid w:val="39AF0D0E"/>
    <w:rsid w:val="39AF31D3"/>
    <w:rsid w:val="39B073E0"/>
    <w:rsid w:val="39B22305"/>
    <w:rsid w:val="39B47737"/>
    <w:rsid w:val="39B563DA"/>
    <w:rsid w:val="39B60304"/>
    <w:rsid w:val="39B7492C"/>
    <w:rsid w:val="39B834B2"/>
    <w:rsid w:val="39B86795"/>
    <w:rsid w:val="39B875C8"/>
    <w:rsid w:val="39BC3B6C"/>
    <w:rsid w:val="39BE1A36"/>
    <w:rsid w:val="39BE5EBB"/>
    <w:rsid w:val="39BF0C61"/>
    <w:rsid w:val="39C3713B"/>
    <w:rsid w:val="39C62106"/>
    <w:rsid w:val="39CB2CE5"/>
    <w:rsid w:val="39CD3846"/>
    <w:rsid w:val="39CF1213"/>
    <w:rsid w:val="39CF143E"/>
    <w:rsid w:val="39D76BF8"/>
    <w:rsid w:val="39D86FC9"/>
    <w:rsid w:val="39D9157E"/>
    <w:rsid w:val="39DA2245"/>
    <w:rsid w:val="39DF1EED"/>
    <w:rsid w:val="39E77249"/>
    <w:rsid w:val="39E8306D"/>
    <w:rsid w:val="39EA7965"/>
    <w:rsid w:val="39EC063F"/>
    <w:rsid w:val="39EC2BEE"/>
    <w:rsid w:val="39F270B3"/>
    <w:rsid w:val="39FA5D09"/>
    <w:rsid w:val="39FC0E8D"/>
    <w:rsid w:val="39FD07F7"/>
    <w:rsid w:val="39FE0637"/>
    <w:rsid w:val="3A0101F8"/>
    <w:rsid w:val="3A0336F7"/>
    <w:rsid w:val="3A0A2AB5"/>
    <w:rsid w:val="3A0C0A88"/>
    <w:rsid w:val="3A104127"/>
    <w:rsid w:val="3A124895"/>
    <w:rsid w:val="3A131D9F"/>
    <w:rsid w:val="3A132080"/>
    <w:rsid w:val="3A152CDE"/>
    <w:rsid w:val="3A18663A"/>
    <w:rsid w:val="3A1B0906"/>
    <w:rsid w:val="3A1E1610"/>
    <w:rsid w:val="3A1E2E9B"/>
    <w:rsid w:val="3A1E3F9C"/>
    <w:rsid w:val="3A235627"/>
    <w:rsid w:val="3A254833"/>
    <w:rsid w:val="3A2C63BB"/>
    <w:rsid w:val="3A2C7375"/>
    <w:rsid w:val="3A2F3093"/>
    <w:rsid w:val="3A3605C8"/>
    <w:rsid w:val="3A3610A8"/>
    <w:rsid w:val="3A381BC6"/>
    <w:rsid w:val="3A38610E"/>
    <w:rsid w:val="3A395AF1"/>
    <w:rsid w:val="3A414158"/>
    <w:rsid w:val="3A4405AD"/>
    <w:rsid w:val="3A4449C9"/>
    <w:rsid w:val="3A473EAA"/>
    <w:rsid w:val="3A486CA9"/>
    <w:rsid w:val="3A4A48AB"/>
    <w:rsid w:val="3A4F21D7"/>
    <w:rsid w:val="3A523285"/>
    <w:rsid w:val="3A55359F"/>
    <w:rsid w:val="3A5602E9"/>
    <w:rsid w:val="3A5620C2"/>
    <w:rsid w:val="3A563FEB"/>
    <w:rsid w:val="3A5B199F"/>
    <w:rsid w:val="3A5C03AC"/>
    <w:rsid w:val="3A5D4B28"/>
    <w:rsid w:val="3A5D73E3"/>
    <w:rsid w:val="3A5E21DF"/>
    <w:rsid w:val="3A5E61BB"/>
    <w:rsid w:val="3A5F16E8"/>
    <w:rsid w:val="3A5F1FCB"/>
    <w:rsid w:val="3A624523"/>
    <w:rsid w:val="3A660FD9"/>
    <w:rsid w:val="3A673754"/>
    <w:rsid w:val="3A69111E"/>
    <w:rsid w:val="3A6962CC"/>
    <w:rsid w:val="3A6D5D7D"/>
    <w:rsid w:val="3A720069"/>
    <w:rsid w:val="3A7320BA"/>
    <w:rsid w:val="3A74542A"/>
    <w:rsid w:val="3A782938"/>
    <w:rsid w:val="3A791A5E"/>
    <w:rsid w:val="3A802EC6"/>
    <w:rsid w:val="3A8103DD"/>
    <w:rsid w:val="3A8C150B"/>
    <w:rsid w:val="3A8D2404"/>
    <w:rsid w:val="3A8F07D5"/>
    <w:rsid w:val="3A91238C"/>
    <w:rsid w:val="3A91284B"/>
    <w:rsid w:val="3A9207B2"/>
    <w:rsid w:val="3A920E92"/>
    <w:rsid w:val="3A96377E"/>
    <w:rsid w:val="3A9E1AE9"/>
    <w:rsid w:val="3A9E4D77"/>
    <w:rsid w:val="3A9E6F9C"/>
    <w:rsid w:val="3A9F412B"/>
    <w:rsid w:val="3AA23AE7"/>
    <w:rsid w:val="3AA42CF6"/>
    <w:rsid w:val="3AA819EA"/>
    <w:rsid w:val="3AAB3972"/>
    <w:rsid w:val="3AAF3FE1"/>
    <w:rsid w:val="3AB74220"/>
    <w:rsid w:val="3ABA1967"/>
    <w:rsid w:val="3ABA260E"/>
    <w:rsid w:val="3ABA3BF1"/>
    <w:rsid w:val="3ABB0577"/>
    <w:rsid w:val="3ABF49AB"/>
    <w:rsid w:val="3AC12EE6"/>
    <w:rsid w:val="3AC34987"/>
    <w:rsid w:val="3AC3681F"/>
    <w:rsid w:val="3AC37B24"/>
    <w:rsid w:val="3AC93583"/>
    <w:rsid w:val="3AC9777B"/>
    <w:rsid w:val="3ACB6F1D"/>
    <w:rsid w:val="3ACC0001"/>
    <w:rsid w:val="3ACC4276"/>
    <w:rsid w:val="3AD47BFC"/>
    <w:rsid w:val="3AE01ADD"/>
    <w:rsid w:val="3AE03E54"/>
    <w:rsid w:val="3AE25DE5"/>
    <w:rsid w:val="3AE275A2"/>
    <w:rsid w:val="3AE341A3"/>
    <w:rsid w:val="3AE918C9"/>
    <w:rsid w:val="3AE93EB2"/>
    <w:rsid w:val="3AEB6118"/>
    <w:rsid w:val="3AF33520"/>
    <w:rsid w:val="3AF66579"/>
    <w:rsid w:val="3B02753F"/>
    <w:rsid w:val="3B0321C5"/>
    <w:rsid w:val="3B090622"/>
    <w:rsid w:val="3B0A6DCA"/>
    <w:rsid w:val="3B0B2F23"/>
    <w:rsid w:val="3B0C43E7"/>
    <w:rsid w:val="3B0C61EA"/>
    <w:rsid w:val="3B0E66EF"/>
    <w:rsid w:val="3B0E7BE2"/>
    <w:rsid w:val="3B0F14B0"/>
    <w:rsid w:val="3B0F1A3A"/>
    <w:rsid w:val="3B1022AD"/>
    <w:rsid w:val="3B131EB2"/>
    <w:rsid w:val="3B1D2CBB"/>
    <w:rsid w:val="3B1D4ADF"/>
    <w:rsid w:val="3B1E479A"/>
    <w:rsid w:val="3B227785"/>
    <w:rsid w:val="3B231FCB"/>
    <w:rsid w:val="3B282133"/>
    <w:rsid w:val="3B310425"/>
    <w:rsid w:val="3B324941"/>
    <w:rsid w:val="3B346891"/>
    <w:rsid w:val="3B362765"/>
    <w:rsid w:val="3B366374"/>
    <w:rsid w:val="3B373BE4"/>
    <w:rsid w:val="3B382859"/>
    <w:rsid w:val="3B3936E6"/>
    <w:rsid w:val="3B3A5A35"/>
    <w:rsid w:val="3B406D8A"/>
    <w:rsid w:val="3B416FA9"/>
    <w:rsid w:val="3B424545"/>
    <w:rsid w:val="3B425B9A"/>
    <w:rsid w:val="3B473508"/>
    <w:rsid w:val="3B474903"/>
    <w:rsid w:val="3B49276C"/>
    <w:rsid w:val="3B495A98"/>
    <w:rsid w:val="3B4B1E81"/>
    <w:rsid w:val="3B4B3D73"/>
    <w:rsid w:val="3B4E01BC"/>
    <w:rsid w:val="3B4E075C"/>
    <w:rsid w:val="3B4F0431"/>
    <w:rsid w:val="3B525889"/>
    <w:rsid w:val="3B542F34"/>
    <w:rsid w:val="3B555E05"/>
    <w:rsid w:val="3B5700EE"/>
    <w:rsid w:val="3B5C4BF8"/>
    <w:rsid w:val="3B5D324E"/>
    <w:rsid w:val="3B5E1617"/>
    <w:rsid w:val="3B5F4366"/>
    <w:rsid w:val="3B5F670A"/>
    <w:rsid w:val="3B627AE0"/>
    <w:rsid w:val="3B656327"/>
    <w:rsid w:val="3B6640DE"/>
    <w:rsid w:val="3B675488"/>
    <w:rsid w:val="3B680D89"/>
    <w:rsid w:val="3B691254"/>
    <w:rsid w:val="3B691AD2"/>
    <w:rsid w:val="3B694923"/>
    <w:rsid w:val="3B6C2E65"/>
    <w:rsid w:val="3B6D21FB"/>
    <w:rsid w:val="3B6F7B4A"/>
    <w:rsid w:val="3B713FA0"/>
    <w:rsid w:val="3B717DFE"/>
    <w:rsid w:val="3B787C13"/>
    <w:rsid w:val="3B7F0F65"/>
    <w:rsid w:val="3B842FF1"/>
    <w:rsid w:val="3B867B48"/>
    <w:rsid w:val="3B8810F4"/>
    <w:rsid w:val="3B883424"/>
    <w:rsid w:val="3B914B72"/>
    <w:rsid w:val="3B914EF6"/>
    <w:rsid w:val="3B9A6288"/>
    <w:rsid w:val="3B9C1EA7"/>
    <w:rsid w:val="3B9E56DC"/>
    <w:rsid w:val="3B9E59CF"/>
    <w:rsid w:val="3BA356A2"/>
    <w:rsid w:val="3BA46468"/>
    <w:rsid w:val="3BA64AD4"/>
    <w:rsid w:val="3BA87E76"/>
    <w:rsid w:val="3BAA2E0C"/>
    <w:rsid w:val="3BAB3F7E"/>
    <w:rsid w:val="3BAE09F6"/>
    <w:rsid w:val="3BAE5FAC"/>
    <w:rsid w:val="3BB25712"/>
    <w:rsid w:val="3BB55E1B"/>
    <w:rsid w:val="3BB56723"/>
    <w:rsid w:val="3BB63295"/>
    <w:rsid w:val="3BBC1E2E"/>
    <w:rsid w:val="3BC25141"/>
    <w:rsid w:val="3BC40A05"/>
    <w:rsid w:val="3BC45656"/>
    <w:rsid w:val="3BCA618B"/>
    <w:rsid w:val="3BCC66D0"/>
    <w:rsid w:val="3BCF49A0"/>
    <w:rsid w:val="3BD07D70"/>
    <w:rsid w:val="3BD279A4"/>
    <w:rsid w:val="3BD3519D"/>
    <w:rsid w:val="3BD65F4E"/>
    <w:rsid w:val="3BD75720"/>
    <w:rsid w:val="3BD760D1"/>
    <w:rsid w:val="3BD82B14"/>
    <w:rsid w:val="3BD95A30"/>
    <w:rsid w:val="3BDD28E9"/>
    <w:rsid w:val="3BDD7268"/>
    <w:rsid w:val="3BDF0520"/>
    <w:rsid w:val="3BDF0EF5"/>
    <w:rsid w:val="3BE31CBA"/>
    <w:rsid w:val="3BE529B2"/>
    <w:rsid w:val="3BE92981"/>
    <w:rsid w:val="3BEA6EB3"/>
    <w:rsid w:val="3BEE78C2"/>
    <w:rsid w:val="3BF25FCA"/>
    <w:rsid w:val="3BF32267"/>
    <w:rsid w:val="3BF57FCC"/>
    <w:rsid w:val="3BF6690C"/>
    <w:rsid w:val="3BF85439"/>
    <w:rsid w:val="3BFB532C"/>
    <w:rsid w:val="3BFF5502"/>
    <w:rsid w:val="3BFF7D5C"/>
    <w:rsid w:val="3C055388"/>
    <w:rsid w:val="3C075C11"/>
    <w:rsid w:val="3C0972D1"/>
    <w:rsid w:val="3C0B4729"/>
    <w:rsid w:val="3C0C41D9"/>
    <w:rsid w:val="3C0F1363"/>
    <w:rsid w:val="3C0F1C12"/>
    <w:rsid w:val="3C0F5A1B"/>
    <w:rsid w:val="3C153A08"/>
    <w:rsid w:val="3C166BD5"/>
    <w:rsid w:val="3C171F5A"/>
    <w:rsid w:val="3C177A07"/>
    <w:rsid w:val="3C18126C"/>
    <w:rsid w:val="3C1A68B8"/>
    <w:rsid w:val="3C1A6CD7"/>
    <w:rsid w:val="3C1F3918"/>
    <w:rsid w:val="3C1F7C3C"/>
    <w:rsid w:val="3C2105FF"/>
    <w:rsid w:val="3C2456F5"/>
    <w:rsid w:val="3C2605D1"/>
    <w:rsid w:val="3C280BEF"/>
    <w:rsid w:val="3C2A0E0F"/>
    <w:rsid w:val="3C2D7215"/>
    <w:rsid w:val="3C31784D"/>
    <w:rsid w:val="3C325179"/>
    <w:rsid w:val="3C342CB7"/>
    <w:rsid w:val="3C3B3EA2"/>
    <w:rsid w:val="3C3E782A"/>
    <w:rsid w:val="3C420BBD"/>
    <w:rsid w:val="3C492407"/>
    <w:rsid w:val="3C4B259E"/>
    <w:rsid w:val="3C4B7616"/>
    <w:rsid w:val="3C4F3F08"/>
    <w:rsid w:val="3C567099"/>
    <w:rsid w:val="3C571A77"/>
    <w:rsid w:val="3C5A13EE"/>
    <w:rsid w:val="3C5D293A"/>
    <w:rsid w:val="3C5D517A"/>
    <w:rsid w:val="3C5E1AEE"/>
    <w:rsid w:val="3C5F4C83"/>
    <w:rsid w:val="3C6326EB"/>
    <w:rsid w:val="3C6449D4"/>
    <w:rsid w:val="3C652428"/>
    <w:rsid w:val="3C66428B"/>
    <w:rsid w:val="3C6666A9"/>
    <w:rsid w:val="3C673BD3"/>
    <w:rsid w:val="3C6761BD"/>
    <w:rsid w:val="3C692406"/>
    <w:rsid w:val="3C6D2D06"/>
    <w:rsid w:val="3C767612"/>
    <w:rsid w:val="3C7845C0"/>
    <w:rsid w:val="3C7C6460"/>
    <w:rsid w:val="3C7D04F1"/>
    <w:rsid w:val="3C7E144E"/>
    <w:rsid w:val="3C7E6EC6"/>
    <w:rsid w:val="3C811E69"/>
    <w:rsid w:val="3C8318B6"/>
    <w:rsid w:val="3C861C2C"/>
    <w:rsid w:val="3C8B3F8B"/>
    <w:rsid w:val="3C8D1F5B"/>
    <w:rsid w:val="3C8F7316"/>
    <w:rsid w:val="3C9356CB"/>
    <w:rsid w:val="3C9606C2"/>
    <w:rsid w:val="3C9B39A8"/>
    <w:rsid w:val="3CA459E1"/>
    <w:rsid w:val="3CA52FDE"/>
    <w:rsid w:val="3CA72EC4"/>
    <w:rsid w:val="3CAC5F7D"/>
    <w:rsid w:val="3CAC7CA6"/>
    <w:rsid w:val="3CAD4EB2"/>
    <w:rsid w:val="3CB2067F"/>
    <w:rsid w:val="3CB52AF5"/>
    <w:rsid w:val="3CBC29EE"/>
    <w:rsid w:val="3CBC3993"/>
    <w:rsid w:val="3CC16300"/>
    <w:rsid w:val="3CC724DA"/>
    <w:rsid w:val="3CC86CCC"/>
    <w:rsid w:val="3CCD3959"/>
    <w:rsid w:val="3CD154B9"/>
    <w:rsid w:val="3CD42E77"/>
    <w:rsid w:val="3CD467D8"/>
    <w:rsid w:val="3CD61AFE"/>
    <w:rsid w:val="3CD90F48"/>
    <w:rsid w:val="3CDC4122"/>
    <w:rsid w:val="3CEB64AC"/>
    <w:rsid w:val="3CEF6B9C"/>
    <w:rsid w:val="3CF3617C"/>
    <w:rsid w:val="3CF631EF"/>
    <w:rsid w:val="3CF65FB9"/>
    <w:rsid w:val="3CF736D1"/>
    <w:rsid w:val="3CF772CF"/>
    <w:rsid w:val="3CF80924"/>
    <w:rsid w:val="3CF86391"/>
    <w:rsid w:val="3D027444"/>
    <w:rsid w:val="3D11712D"/>
    <w:rsid w:val="3D14593B"/>
    <w:rsid w:val="3D151C81"/>
    <w:rsid w:val="3D154375"/>
    <w:rsid w:val="3D1617E6"/>
    <w:rsid w:val="3D1E55D0"/>
    <w:rsid w:val="3D2227F4"/>
    <w:rsid w:val="3D224565"/>
    <w:rsid w:val="3D232D48"/>
    <w:rsid w:val="3D2422D4"/>
    <w:rsid w:val="3D290DF9"/>
    <w:rsid w:val="3D2A6700"/>
    <w:rsid w:val="3D2B4063"/>
    <w:rsid w:val="3D341FFF"/>
    <w:rsid w:val="3D354433"/>
    <w:rsid w:val="3D382E9A"/>
    <w:rsid w:val="3D383FFF"/>
    <w:rsid w:val="3D3B6765"/>
    <w:rsid w:val="3D3E497C"/>
    <w:rsid w:val="3D43130B"/>
    <w:rsid w:val="3D446AE1"/>
    <w:rsid w:val="3D461992"/>
    <w:rsid w:val="3D4D337F"/>
    <w:rsid w:val="3D4F4B82"/>
    <w:rsid w:val="3D515CA1"/>
    <w:rsid w:val="3D520549"/>
    <w:rsid w:val="3D567B31"/>
    <w:rsid w:val="3D57713F"/>
    <w:rsid w:val="3D580470"/>
    <w:rsid w:val="3D593F25"/>
    <w:rsid w:val="3D5E16BB"/>
    <w:rsid w:val="3D607294"/>
    <w:rsid w:val="3D607E80"/>
    <w:rsid w:val="3D613CE4"/>
    <w:rsid w:val="3D6322CB"/>
    <w:rsid w:val="3D6D4B05"/>
    <w:rsid w:val="3D704CF9"/>
    <w:rsid w:val="3D711779"/>
    <w:rsid w:val="3D725BE4"/>
    <w:rsid w:val="3D727B66"/>
    <w:rsid w:val="3D770817"/>
    <w:rsid w:val="3D770DA3"/>
    <w:rsid w:val="3D7A6218"/>
    <w:rsid w:val="3D7D0A0F"/>
    <w:rsid w:val="3D846D07"/>
    <w:rsid w:val="3D847457"/>
    <w:rsid w:val="3D886A91"/>
    <w:rsid w:val="3D8F0290"/>
    <w:rsid w:val="3D927146"/>
    <w:rsid w:val="3D962926"/>
    <w:rsid w:val="3DA0607C"/>
    <w:rsid w:val="3DA164F8"/>
    <w:rsid w:val="3DA233E8"/>
    <w:rsid w:val="3DA31942"/>
    <w:rsid w:val="3DAC3FE7"/>
    <w:rsid w:val="3DAC435E"/>
    <w:rsid w:val="3DAE690E"/>
    <w:rsid w:val="3DB30FC8"/>
    <w:rsid w:val="3DB6476A"/>
    <w:rsid w:val="3DBF2EBB"/>
    <w:rsid w:val="3DC03F47"/>
    <w:rsid w:val="3DC91AF3"/>
    <w:rsid w:val="3DCC238F"/>
    <w:rsid w:val="3DCE36B3"/>
    <w:rsid w:val="3DD15C25"/>
    <w:rsid w:val="3DD17BBE"/>
    <w:rsid w:val="3DD61437"/>
    <w:rsid w:val="3DD86A9B"/>
    <w:rsid w:val="3DDB5BAA"/>
    <w:rsid w:val="3DE649BB"/>
    <w:rsid w:val="3DE865CE"/>
    <w:rsid w:val="3DEB4A20"/>
    <w:rsid w:val="3DF17C0D"/>
    <w:rsid w:val="3DF20D81"/>
    <w:rsid w:val="3DF33931"/>
    <w:rsid w:val="3DF42EB0"/>
    <w:rsid w:val="3E004625"/>
    <w:rsid w:val="3E01223B"/>
    <w:rsid w:val="3E062E7D"/>
    <w:rsid w:val="3E063A50"/>
    <w:rsid w:val="3E08105D"/>
    <w:rsid w:val="3E113D8A"/>
    <w:rsid w:val="3E1242E3"/>
    <w:rsid w:val="3E134A0D"/>
    <w:rsid w:val="3E137756"/>
    <w:rsid w:val="3E1602A9"/>
    <w:rsid w:val="3E165B8B"/>
    <w:rsid w:val="3E193239"/>
    <w:rsid w:val="3E1A79B5"/>
    <w:rsid w:val="3E212A77"/>
    <w:rsid w:val="3E225425"/>
    <w:rsid w:val="3E22568A"/>
    <w:rsid w:val="3E263FAB"/>
    <w:rsid w:val="3E274FB5"/>
    <w:rsid w:val="3E2913C7"/>
    <w:rsid w:val="3E2D7CEC"/>
    <w:rsid w:val="3E2E34D6"/>
    <w:rsid w:val="3E2E4150"/>
    <w:rsid w:val="3E2F3B0E"/>
    <w:rsid w:val="3E324F76"/>
    <w:rsid w:val="3E352A83"/>
    <w:rsid w:val="3E38233A"/>
    <w:rsid w:val="3E383748"/>
    <w:rsid w:val="3E3B6A60"/>
    <w:rsid w:val="3E3D78EB"/>
    <w:rsid w:val="3E3E04D6"/>
    <w:rsid w:val="3E3E2C2F"/>
    <w:rsid w:val="3E3E7246"/>
    <w:rsid w:val="3E407169"/>
    <w:rsid w:val="3E412892"/>
    <w:rsid w:val="3E413872"/>
    <w:rsid w:val="3E452D27"/>
    <w:rsid w:val="3E46436B"/>
    <w:rsid w:val="3E4654B4"/>
    <w:rsid w:val="3E4A7D11"/>
    <w:rsid w:val="3E4F5BBD"/>
    <w:rsid w:val="3E513738"/>
    <w:rsid w:val="3E553357"/>
    <w:rsid w:val="3E5834DA"/>
    <w:rsid w:val="3E5A152A"/>
    <w:rsid w:val="3E5A3954"/>
    <w:rsid w:val="3E5D2903"/>
    <w:rsid w:val="3E5F59EC"/>
    <w:rsid w:val="3E615A6E"/>
    <w:rsid w:val="3E620C79"/>
    <w:rsid w:val="3E682881"/>
    <w:rsid w:val="3E686F2B"/>
    <w:rsid w:val="3E69116A"/>
    <w:rsid w:val="3E6A09DF"/>
    <w:rsid w:val="3E6A5F63"/>
    <w:rsid w:val="3E6B74A7"/>
    <w:rsid w:val="3E71194D"/>
    <w:rsid w:val="3E735705"/>
    <w:rsid w:val="3E78047B"/>
    <w:rsid w:val="3E796BA7"/>
    <w:rsid w:val="3E7A4673"/>
    <w:rsid w:val="3E7A4892"/>
    <w:rsid w:val="3E7A6E5D"/>
    <w:rsid w:val="3E7A7ECB"/>
    <w:rsid w:val="3E803B26"/>
    <w:rsid w:val="3E80496F"/>
    <w:rsid w:val="3E831B58"/>
    <w:rsid w:val="3E85067D"/>
    <w:rsid w:val="3E874A14"/>
    <w:rsid w:val="3E877629"/>
    <w:rsid w:val="3E896F62"/>
    <w:rsid w:val="3E8B0A32"/>
    <w:rsid w:val="3E8B5B37"/>
    <w:rsid w:val="3E8E13D4"/>
    <w:rsid w:val="3E910EA6"/>
    <w:rsid w:val="3E98627E"/>
    <w:rsid w:val="3E994B44"/>
    <w:rsid w:val="3E9D5725"/>
    <w:rsid w:val="3E9E5F37"/>
    <w:rsid w:val="3E9F73FA"/>
    <w:rsid w:val="3EA313E1"/>
    <w:rsid w:val="3EA35546"/>
    <w:rsid w:val="3EA5348A"/>
    <w:rsid w:val="3EA548B4"/>
    <w:rsid w:val="3EA846BF"/>
    <w:rsid w:val="3EAF3CA0"/>
    <w:rsid w:val="3EB019F5"/>
    <w:rsid w:val="3EB02E13"/>
    <w:rsid w:val="3EB03EF7"/>
    <w:rsid w:val="3EB10DBB"/>
    <w:rsid w:val="3EB632E5"/>
    <w:rsid w:val="3EB83771"/>
    <w:rsid w:val="3EBA79EC"/>
    <w:rsid w:val="3EBD6A71"/>
    <w:rsid w:val="3EC062E6"/>
    <w:rsid w:val="3EC07C8A"/>
    <w:rsid w:val="3EC35039"/>
    <w:rsid w:val="3EC449D4"/>
    <w:rsid w:val="3EC877DC"/>
    <w:rsid w:val="3ECA27C6"/>
    <w:rsid w:val="3ED1721A"/>
    <w:rsid w:val="3ED763BA"/>
    <w:rsid w:val="3EDB3D4D"/>
    <w:rsid w:val="3EDE263C"/>
    <w:rsid w:val="3EEA6969"/>
    <w:rsid w:val="3EEE0DA9"/>
    <w:rsid w:val="3EEF4F85"/>
    <w:rsid w:val="3EEF6A08"/>
    <w:rsid w:val="3EF04A2D"/>
    <w:rsid w:val="3EF06179"/>
    <w:rsid w:val="3EF138CC"/>
    <w:rsid w:val="3EF22090"/>
    <w:rsid w:val="3EF439A0"/>
    <w:rsid w:val="3EF56B18"/>
    <w:rsid w:val="3EF603D9"/>
    <w:rsid w:val="3EF80A91"/>
    <w:rsid w:val="3EFA6C6E"/>
    <w:rsid w:val="3EFB5DDC"/>
    <w:rsid w:val="3EFE316B"/>
    <w:rsid w:val="3F001804"/>
    <w:rsid w:val="3F0152C8"/>
    <w:rsid w:val="3F024BFC"/>
    <w:rsid w:val="3F051F26"/>
    <w:rsid w:val="3F054E1C"/>
    <w:rsid w:val="3F06241D"/>
    <w:rsid w:val="3F076969"/>
    <w:rsid w:val="3F0A537A"/>
    <w:rsid w:val="3F1067C0"/>
    <w:rsid w:val="3F1170E8"/>
    <w:rsid w:val="3F133926"/>
    <w:rsid w:val="3F165F27"/>
    <w:rsid w:val="3F187CB6"/>
    <w:rsid w:val="3F1B6D7C"/>
    <w:rsid w:val="3F1D6B7B"/>
    <w:rsid w:val="3F22008E"/>
    <w:rsid w:val="3F2344FC"/>
    <w:rsid w:val="3F251CF8"/>
    <w:rsid w:val="3F281E7E"/>
    <w:rsid w:val="3F284452"/>
    <w:rsid w:val="3F2F2A60"/>
    <w:rsid w:val="3F317D3D"/>
    <w:rsid w:val="3F3C5D65"/>
    <w:rsid w:val="3F3D4E08"/>
    <w:rsid w:val="3F3D608D"/>
    <w:rsid w:val="3F3E34D2"/>
    <w:rsid w:val="3F420597"/>
    <w:rsid w:val="3F4209E1"/>
    <w:rsid w:val="3F434694"/>
    <w:rsid w:val="3F4654D6"/>
    <w:rsid w:val="3F481985"/>
    <w:rsid w:val="3F4874E3"/>
    <w:rsid w:val="3F4973BD"/>
    <w:rsid w:val="3F4C57EF"/>
    <w:rsid w:val="3F4D43D5"/>
    <w:rsid w:val="3F525A06"/>
    <w:rsid w:val="3F54627F"/>
    <w:rsid w:val="3F555903"/>
    <w:rsid w:val="3F5628A2"/>
    <w:rsid w:val="3F5751CD"/>
    <w:rsid w:val="3F581487"/>
    <w:rsid w:val="3F591257"/>
    <w:rsid w:val="3F5932A8"/>
    <w:rsid w:val="3F6039D5"/>
    <w:rsid w:val="3F626917"/>
    <w:rsid w:val="3F631882"/>
    <w:rsid w:val="3F640AD5"/>
    <w:rsid w:val="3F6525B0"/>
    <w:rsid w:val="3F6902D3"/>
    <w:rsid w:val="3F6A7005"/>
    <w:rsid w:val="3F6C5E88"/>
    <w:rsid w:val="3F6D2111"/>
    <w:rsid w:val="3F6E143F"/>
    <w:rsid w:val="3F7B57BB"/>
    <w:rsid w:val="3F7B74F0"/>
    <w:rsid w:val="3F7C1EC2"/>
    <w:rsid w:val="3F7C2FB3"/>
    <w:rsid w:val="3F8073EA"/>
    <w:rsid w:val="3F816AD6"/>
    <w:rsid w:val="3F8253CC"/>
    <w:rsid w:val="3F877ADF"/>
    <w:rsid w:val="3F8951F2"/>
    <w:rsid w:val="3F8A3A2A"/>
    <w:rsid w:val="3F8A64BB"/>
    <w:rsid w:val="3F8B0C33"/>
    <w:rsid w:val="3F8D0033"/>
    <w:rsid w:val="3F8D6F18"/>
    <w:rsid w:val="3F9050BC"/>
    <w:rsid w:val="3F906A1E"/>
    <w:rsid w:val="3F9115F7"/>
    <w:rsid w:val="3F93586E"/>
    <w:rsid w:val="3F98330A"/>
    <w:rsid w:val="3F987CAB"/>
    <w:rsid w:val="3F993CD9"/>
    <w:rsid w:val="3F9B4A13"/>
    <w:rsid w:val="3F9C2AD1"/>
    <w:rsid w:val="3F9D7469"/>
    <w:rsid w:val="3F9F559C"/>
    <w:rsid w:val="3F9F67E0"/>
    <w:rsid w:val="3FA21C22"/>
    <w:rsid w:val="3FA330D9"/>
    <w:rsid w:val="3FA361D1"/>
    <w:rsid w:val="3FA550A3"/>
    <w:rsid w:val="3FA55B9D"/>
    <w:rsid w:val="3FAF4569"/>
    <w:rsid w:val="3FB2277B"/>
    <w:rsid w:val="3FC2590C"/>
    <w:rsid w:val="3FC25B13"/>
    <w:rsid w:val="3FC82107"/>
    <w:rsid w:val="3FC86CA8"/>
    <w:rsid w:val="3FC96D45"/>
    <w:rsid w:val="3FCB2D46"/>
    <w:rsid w:val="3FCC5053"/>
    <w:rsid w:val="3FCE739E"/>
    <w:rsid w:val="3FCF5002"/>
    <w:rsid w:val="3FCF76E2"/>
    <w:rsid w:val="3FD14F66"/>
    <w:rsid w:val="3FD36FFA"/>
    <w:rsid w:val="3FD40A8C"/>
    <w:rsid w:val="3FD422C4"/>
    <w:rsid w:val="3FDA1A36"/>
    <w:rsid w:val="3FDA4BFE"/>
    <w:rsid w:val="3FDB5C17"/>
    <w:rsid w:val="3FDC5296"/>
    <w:rsid w:val="3FE32B27"/>
    <w:rsid w:val="3FE3656B"/>
    <w:rsid w:val="3FE6357B"/>
    <w:rsid w:val="3FE67F52"/>
    <w:rsid w:val="3FE756BB"/>
    <w:rsid w:val="3FEA3E1E"/>
    <w:rsid w:val="3FF12096"/>
    <w:rsid w:val="3FF34491"/>
    <w:rsid w:val="3FF34AC7"/>
    <w:rsid w:val="3FF43934"/>
    <w:rsid w:val="3FF61536"/>
    <w:rsid w:val="3FF8173F"/>
    <w:rsid w:val="3FF83425"/>
    <w:rsid w:val="3FF83F84"/>
    <w:rsid w:val="3FF90371"/>
    <w:rsid w:val="3FF93306"/>
    <w:rsid w:val="3FF955DA"/>
    <w:rsid w:val="3FFC6A81"/>
    <w:rsid w:val="40001FEE"/>
    <w:rsid w:val="40007587"/>
    <w:rsid w:val="400238AF"/>
    <w:rsid w:val="400476EF"/>
    <w:rsid w:val="40073B63"/>
    <w:rsid w:val="40074305"/>
    <w:rsid w:val="40081B1E"/>
    <w:rsid w:val="400C3301"/>
    <w:rsid w:val="40122CFA"/>
    <w:rsid w:val="401732FD"/>
    <w:rsid w:val="401C6513"/>
    <w:rsid w:val="401F5B3D"/>
    <w:rsid w:val="401F5DD2"/>
    <w:rsid w:val="401F70EF"/>
    <w:rsid w:val="40266725"/>
    <w:rsid w:val="40271963"/>
    <w:rsid w:val="402A43C9"/>
    <w:rsid w:val="402D4BF1"/>
    <w:rsid w:val="402F5721"/>
    <w:rsid w:val="403B5BE9"/>
    <w:rsid w:val="403C1AA7"/>
    <w:rsid w:val="403E4102"/>
    <w:rsid w:val="403F48E2"/>
    <w:rsid w:val="403F5EB1"/>
    <w:rsid w:val="404021EF"/>
    <w:rsid w:val="404139C5"/>
    <w:rsid w:val="4048196D"/>
    <w:rsid w:val="40483DF9"/>
    <w:rsid w:val="40490DCA"/>
    <w:rsid w:val="404A57C1"/>
    <w:rsid w:val="404A773F"/>
    <w:rsid w:val="405041D0"/>
    <w:rsid w:val="40511D86"/>
    <w:rsid w:val="40565EE2"/>
    <w:rsid w:val="405B39BA"/>
    <w:rsid w:val="405B58AF"/>
    <w:rsid w:val="4061061E"/>
    <w:rsid w:val="40611093"/>
    <w:rsid w:val="40614C31"/>
    <w:rsid w:val="40617FD4"/>
    <w:rsid w:val="406801CC"/>
    <w:rsid w:val="406C321E"/>
    <w:rsid w:val="406E09A3"/>
    <w:rsid w:val="406F06FC"/>
    <w:rsid w:val="407041A9"/>
    <w:rsid w:val="407913E8"/>
    <w:rsid w:val="407A5DF2"/>
    <w:rsid w:val="407C7E56"/>
    <w:rsid w:val="40815423"/>
    <w:rsid w:val="40863C23"/>
    <w:rsid w:val="408C19E4"/>
    <w:rsid w:val="408D28A5"/>
    <w:rsid w:val="408D2DF4"/>
    <w:rsid w:val="40914365"/>
    <w:rsid w:val="40914ED8"/>
    <w:rsid w:val="4091581D"/>
    <w:rsid w:val="40916A27"/>
    <w:rsid w:val="40950888"/>
    <w:rsid w:val="40974AB8"/>
    <w:rsid w:val="40977C2D"/>
    <w:rsid w:val="40996D7E"/>
    <w:rsid w:val="409D1C34"/>
    <w:rsid w:val="40A14FA3"/>
    <w:rsid w:val="40A32254"/>
    <w:rsid w:val="40A35A86"/>
    <w:rsid w:val="40A86BF9"/>
    <w:rsid w:val="40AA0A90"/>
    <w:rsid w:val="40AA5D54"/>
    <w:rsid w:val="40AD7207"/>
    <w:rsid w:val="40AF2F79"/>
    <w:rsid w:val="40B0438F"/>
    <w:rsid w:val="40B170DC"/>
    <w:rsid w:val="40B639A9"/>
    <w:rsid w:val="40B86408"/>
    <w:rsid w:val="40B92598"/>
    <w:rsid w:val="40B92D72"/>
    <w:rsid w:val="40BB0CBF"/>
    <w:rsid w:val="40C00B1B"/>
    <w:rsid w:val="40C17C59"/>
    <w:rsid w:val="40C2069C"/>
    <w:rsid w:val="40CA4177"/>
    <w:rsid w:val="40CD6F0A"/>
    <w:rsid w:val="40CF1057"/>
    <w:rsid w:val="40CF3B5C"/>
    <w:rsid w:val="40D7593C"/>
    <w:rsid w:val="40D87815"/>
    <w:rsid w:val="40DC4D30"/>
    <w:rsid w:val="40DE400D"/>
    <w:rsid w:val="40DF6EDF"/>
    <w:rsid w:val="40E6254D"/>
    <w:rsid w:val="40F45611"/>
    <w:rsid w:val="40F772EA"/>
    <w:rsid w:val="40F81AEB"/>
    <w:rsid w:val="40FA3516"/>
    <w:rsid w:val="40FF0EE5"/>
    <w:rsid w:val="4100276C"/>
    <w:rsid w:val="4107732A"/>
    <w:rsid w:val="410D69AC"/>
    <w:rsid w:val="41103416"/>
    <w:rsid w:val="4111773E"/>
    <w:rsid w:val="41140732"/>
    <w:rsid w:val="411651FB"/>
    <w:rsid w:val="411B6F26"/>
    <w:rsid w:val="412334B0"/>
    <w:rsid w:val="41264196"/>
    <w:rsid w:val="412A6926"/>
    <w:rsid w:val="412B1CBB"/>
    <w:rsid w:val="412C59EA"/>
    <w:rsid w:val="41336C85"/>
    <w:rsid w:val="41360E1C"/>
    <w:rsid w:val="41364AA2"/>
    <w:rsid w:val="41386161"/>
    <w:rsid w:val="413B4BC5"/>
    <w:rsid w:val="413C3FD5"/>
    <w:rsid w:val="413D3945"/>
    <w:rsid w:val="413E5712"/>
    <w:rsid w:val="41410DFB"/>
    <w:rsid w:val="4145181B"/>
    <w:rsid w:val="41475A67"/>
    <w:rsid w:val="414C018F"/>
    <w:rsid w:val="414F2480"/>
    <w:rsid w:val="414F3518"/>
    <w:rsid w:val="414F6C9E"/>
    <w:rsid w:val="4152323F"/>
    <w:rsid w:val="41530A9B"/>
    <w:rsid w:val="415403D1"/>
    <w:rsid w:val="41544F17"/>
    <w:rsid w:val="4155125D"/>
    <w:rsid w:val="41567EA4"/>
    <w:rsid w:val="415770BF"/>
    <w:rsid w:val="41582A9A"/>
    <w:rsid w:val="41583A12"/>
    <w:rsid w:val="415B65F1"/>
    <w:rsid w:val="4168640F"/>
    <w:rsid w:val="416C518E"/>
    <w:rsid w:val="416E5837"/>
    <w:rsid w:val="416F7820"/>
    <w:rsid w:val="41700331"/>
    <w:rsid w:val="41714FB6"/>
    <w:rsid w:val="4173417F"/>
    <w:rsid w:val="41745329"/>
    <w:rsid w:val="4174762D"/>
    <w:rsid w:val="41760A90"/>
    <w:rsid w:val="417714DF"/>
    <w:rsid w:val="417E1C47"/>
    <w:rsid w:val="417E56EC"/>
    <w:rsid w:val="41801CA4"/>
    <w:rsid w:val="4181033B"/>
    <w:rsid w:val="418677AA"/>
    <w:rsid w:val="41873BCC"/>
    <w:rsid w:val="41897EC1"/>
    <w:rsid w:val="418B3F20"/>
    <w:rsid w:val="418D7AA6"/>
    <w:rsid w:val="418E4B84"/>
    <w:rsid w:val="418F68D4"/>
    <w:rsid w:val="41915462"/>
    <w:rsid w:val="419226E9"/>
    <w:rsid w:val="41965EEA"/>
    <w:rsid w:val="41986C6D"/>
    <w:rsid w:val="419F2F00"/>
    <w:rsid w:val="41A05EB7"/>
    <w:rsid w:val="41A970CC"/>
    <w:rsid w:val="41B23F03"/>
    <w:rsid w:val="41B72249"/>
    <w:rsid w:val="41B72AB2"/>
    <w:rsid w:val="41BC6135"/>
    <w:rsid w:val="41BC6C24"/>
    <w:rsid w:val="41BD7E4B"/>
    <w:rsid w:val="41C04416"/>
    <w:rsid w:val="41C04936"/>
    <w:rsid w:val="41C059CD"/>
    <w:rsid w:val="41C065D7"/>
    <w:rsid w:val="41C1108C"/>
    <w:rsid w:val="41C83DA0"/>
    <w:rsid w:val="41C843A2"/>
    <w:rsid w:val="41C86951"/>
    <w:rsid w:val="41C92C30"/>
    <w:rsid w:val="41CB06DB"/>
    <w:rsid w:val="41CE0773"/>
    <w:rsid w:val="41CF63C4"/>
    <w:rsid w:val="41D1710F"/>
    <w:rsid w:val="41D33923"/>
    <w:rsid w:val="41D3611B"/>
    <w:rsid w:val="41D64826"/>
    <w:rsid w:val="41D74DE7"/>
    <w:rsid w:val="41DE01C7"/>
    <w:rsid w:val="41E27CCE"/>
    <w:rsid w:val="41E3220A"/>
    <w:rsid w:val="41E81243"/>
    <w:rsid w:val="41E84846"/>
    <w:rsid w:val="41E9036D"/>
    <w:rsid w:val="41F1381B"/>
    <w:rsid w:val="41F57C05"/>
    <w:rsid w:val="41F604FB"/>
    <w:rsid w:val="41F851BF"/>
    <w:rsid w:val="41FC0035"/>
    <w:rsid w:val="41FC664F"/>
    <w:rsid w:val="41FD1900"/>
    <w:rsid w:val="41FD7E2A"/>
    <w:rsid w:val="41FF4D5B"/>
    <w:rsid w:val="42005411"/>
    <w:rsid w:val="42042FF8"/>
    <w:rsid w:val="42084862"/>
    <w:rsid w:val="420C765B"/>
    <w:rsid w:val="420D104D"/>
    <w:rsid w:val="420E542D"/>
    <w:rsid w:val="4210237A"/>
    <w:rsid w:val="42116983"/>
    <w:rsid w:val="4212642F"/>
    <w:rsid w:val="42152F30"/>
    <w:rsid w:val="421B452D"/>
    <w:rsid w:val="421B4618"/>
    <w:rsid w:val="4225483F"/>
    <w:rsid w:val="42257E20"/>
    <w:rsid w:val="4227344E"/>
    <w:rsid w:val="4227668E"/>
    <w:rsid w:val="422A188F"/>
    <w:rsid w:val="422D2FFD"/>
    <w:rsid w:val="422D451C"/>
    <w:rsid w:val="422D6B9C"/>
    <w:rsid w:val="423446C6"/>
    <w:rsid w:val="423552E7"/>
    <w:rsid w:val="42380450"/>
    <w:rsid w:val="423E6BD9"/>
    <w:rsid w:val="423F57D7"/>
    <w:rsid w:val="42432908"/>
    <w:rsid w:val="42435A22"/>
    <w:rsid w:val="424961B9"/>
    <w:rsid w:val="424A11CF"/>
    <w:rsid w:val="424A66BE"/>
    <w:rsid w:val="424B0E48"/>
    <w:rsid w:val="425E0108"/>
    <w:rsid w:val="42623387"/>
    <w:rsid w:val="42632762"/>
    <w:rsid w:val="42637056"/>
    <w:rsid w:val="426B4382"/>
    <w:rsid w:val="426C0DF8"/>
    <w:rsid w:val="426C2B00"/>
    <w:rsid w:val="426E506F"/>
    <w:rsid w:val="42732404"/>
    <w:rsid w:val="427B4117"/>
    <w:rsid w:val="427C08C3"/>
    <w:rsid w:val="427C4CBE"/>
    <w:rsid w:val="427C760F"/>
    <w:rsid w:val="427D7740"/>
    <w:rsid w:val="42806990"/>
    <w:rsid w:val="428546DB"/>
    <w:rsid w:val="42857966"/>
    <w:rsid w:val="428A1AE8"/>
    <w:rsid w:val="428C3289"/>
    <w:rsid w:val="428C3E4F"/>
    <w:rsid w:val="428E5877"/>
    <w:rsid w:val="428E62C2"/>
    <w:rsid w:val="428F35C1"/>
    <w:rsid w:val="4291067C"/>
    <w:rsid w:val="429168C1"/>
    <w:rsid w:val="429572F3"/>
    <w:rsid w:val="429A10B4"/>
    <w:rsid w:val="429A5F6C"/>
    <w:rsid w:val="429C3576"/>
    <w:rsid w:val="429E5575"/>
    <w:rsid w:val="42A0243A"/>
    <w:rsid w:val="42A076F6"/>
    <w:rsid w:val="42A36FB8"/>
    <w:rsid w:val="42A7657A"/>
    <w:rsid w:val="42A76880"/>
    <w:rsid w:val="42A938E7"/>
    <w:rsid w:val="42A94B4F"/>
    <w:rsid w:val="42A973F9"/>
    <w:rsid w:val="42AE1A05"/>
    <w:rsid w:val="42AF1B2A"/>
    <w:rsid w:val="42AF41D5"/>
    <w:rsid w:val="42AF5CBA"/>
    <w:rsid w:val="42B033CC"/>
    <w:rsid w:val="42B0448A"/>
    <w:rsid w:val="42B06E60"/>
    <w:rsid w:val="42B11B0B"/>
    <w:rsid w:val="42B26492"/>
    <w:rsid w:val="42B27237"/>
    <w:rsid w:val="42B33AA9"/>
    <w:rsid w:val="42B557AA"/>
    <w:rsid w:val="42B850ED"/>
    <w:rsid w:val="42BA0E65"/>
    <w:rsid w:val="42C222D7"/>
    <w:rsid w:val="42C5518A"/>
    <w:rsid w:val="42C75836"/>
    <w:rsid w:val="42CA2204"/>
    <w:rsid w:val="42CF155F"/>
    <w:rsid w:val="42D5345A"/>
    <w:rsid w:val="42D7218F"/>
    <w:rsid w:val="42D740AC"/>
    <w:rsid w:val="42D951A6"/>
    <w:rsid w:val="42D95E97"/>
    <w:rsid w:val="42DD15B7"/>
    <w:rsid w:val="42E0419B"/>
    <w:rsid w:val="42E1078A"/>
    <w:rsid w:val="42E1162A"/>
    <w:rsid w:val="42E21119"/>
    <w:rsid w:val="42E840BA"/>
    <w:rsid w:val="42EA174A"/>
    <w:rsid w:val="42F160DF"/>
    <w:rsid w:val="42F303F2"/>
    <w:rsid w:val="42F6063B"/>
    <w:rsid w:val="42F92F01"/>
    <w:rsid w:val="42F94E7C"/>
    <w:rsid w:val="42F973EA"/>
    <w:rsid w:val="42F97D4B"/>
    <w:rsid w:val="42FB44DA"/>
    <w:rsid w:val="42FC5718"/>
    <w:rsid w:val="42FD201A"/>
    <w:rsid w:val="42FE6F5E"/>
    <w:rsid w:val="43027505"/>
    <w:rsid w:val="4303030D"/>
    <w:rsid w:val="430515C8"/>
    <w:rsid w:val="43064C6B"/>
    <w:rsid w:val="430664B8"/>
    <w:rsid w:val="43075FE5"/>
    <w:rsid w:val="430839ED"/>
    <w:rsid w:val="430C081D"/>
    <w:rsid w:val="430F394C"/>
    <w:rsid w:val="431527F3"/>
    <w:rsid w:val="43185DBF"/>
    <w:rsid w:val="431C1009"/>
    <w:rsid w:val="431D0126"/>
    <w:rsid w:val="432100AC"/>
    <w:rsid w:val="43235668"/>
    <w:rsid w:val="432A0EC5"/>
    <w:rsid w:val="432A2943"/>
    <w:rsid w:val="432B3D51"/>
    <w:rsid w:val="432B6713"/>
    <w:rsid w:val="432D21A5"/>
    <w:rsid w:val="432D4C5E"/>
    <w:rsid w:val="432F0FFB"/>
    <w:rsid w:val="432F1D67"/>
    <w:rsid w:val="43313CE4"/>
    <w:rsid w:val="433172DD"/>
    <w:rsid w:val="43360FEB"/>
    <w:rsid w:val="433761D2"/>
    <w:rsid w:val="433B2F45"/>
    <w:rsid w:val="433F5188"/>
    <w:rsid w:val="43432C09"/>
    <w:rsid w:val="43457AC3"/>
    <w:rsid w:val="434C29EA"/>
    <w:rsid w:val="434C4830"/>
    <w:rsid w:val="434D3150"/>
    <w:rsid w:val="434D4003"/>
    <w:rsid w:val="435025DF"/>
    <w:rsid w:val="4350302A"/>
    <w:rsid w:val="4354198B"/>
    <w:rsid w:val="435455A7"/>
    <w:rsid w:val="43574906"/>
    <w:rsid w:val="435936B3"/>
    <w:rsid w:val="435A7EBA"/>
    <w:rsid w:val="435B59EE"/>
    <w:rsid w:val="435D743F"/>
    <w:rsid w:val="435E4AE9"/>
    <w:rsid w:val="435F1DAE"/>
    <w:rsid w:val="43602E3E"/>
    <w:rsid w:val="43603276"/>
    <w:rsid w:val="436314FD"/>
    <w:rsid w:val="43675468"/>
    <w:rsid w:val="436A24AA"/>
    <w:rsid w:val="436B4949"/>
    <w:rsid w:val="436C0AEB"/>
    <w:rsid w:val="436C250B"/>
    <w:rsid w:val="436E0EC8"/>
    <w:rsid w:val="4375682E"/>
    <w:rsid w:val="437864C9"/>
    <w:rsid w:val="437E027A"/>
    <w:rsid w:val="437F248D"/>
    <w:rsid w:val="43817BA8"/>
    <w:rsid w:val="438566A5"/>
    <w:rsid w:val="43894A08"/>
    <w:rsid w:val="4389702C"/>
    <w:rsid w:val="438C1219"/>
    <w:rsid w:val="438D50DE"/>
    <w:rsid w:val="438F45AA"/>
    <w:rsid w:val="43901ABD"/>
    <w:rsid w:val="43911B97"/>
    <w:rsid w:val="43924DA4"/>
    <w:rsid w:val="43927D34"/>
    <w:rsid w:val="43936C76"/>
    <w:rsid w:val="43942D73"/>
    <w:rsid w:val="43956F29"/>
    <w:rsid w:val="439574C0"/>
    <w:rsid w:val="439B6224"/>
    <w:rsid w:val="439E0812"/>
    <w:rsid w:val="439E18B0"/>
    <w:rsid w:val="43A64354"/>
    <w:rsid w:val="43A768E9"/>
    <w:rsid w:val="43AE27CB"/>
    <w:rsid w:val="43B14F00"/>
    <w:rsid w:val="43B16C8B"/>
    <w:rsid w:val="43B67413"/>
    <w:rsid w:val="43B90EB4"/>
    <w:rsid w:val="43B934DD"/>
    <w:rsid w:val="43BB0EFB"/>
    <w:rsid w:val="43BB381D"/>
    <w:rsid w:val="43BE4985"/>
    <w:rsid w:val="43BF194D"/>
    <w:rsid w:val="43C1314B"/>
    <w:rsid w:val="43C21C51"/>
    <w:rsid w:val="43C4557E"/>
    <w:rsid w:val="43C57076"/>
    <w:rsid w:val="43C64477"/>
    <w:rsid w:val="43C966A9"/>
    <w:rsid w:val="43CA538C"/>
    <w:rsid w:val="43CF1905"/>
    <w:rsid w:val="43D03761"/>
    <w:rsid w:val="43D2437E"/>
    <w:rsid w:val="43D32988"/>
    <w:rsid w:val="43D5603E"/>
    <w:rsid w:val="43D67F21"/>
    <w:rsid w:val="43D73447"/>
    <w:rsid w:val="43DD12AF"/>
    <w:rsid w:val="43DE1630"/>
    <w:rsid w:val="43E10534"/>
    <w:rsid w:val="43E15191"/>
    <w:rsid w:val="43E210FC"/>
    <w:rsid w:val="43E45D64"/>
    <w:rsid w:val="43E45F41"/>
    <w:rsid w:val="43E61F4C"/>
    <w:rsid w:val="43E653DC"/>
    <w:rsid w:val="43E859E1"/>
    <w:rsid w:val="43E9237E"/>
    <w:rsid w:val="43EC087D"/>
    <w:rsid w:val="43EE7B2B"/>
    <w:rsid w:val="43F14A9F"/>
    <w:rsid w:val="43F23261"/>
    <w:rsid w:val="43F40DE2"/>
    <w:rsid w:val="43F42636"/>
    <w:rsid w:val="43F50000"/>
    <w:rsid w:val="43F60D93"/>
    <w:rsid w:val="43F62E9C"/>
    <w:rsid w:val="43F959BD"/>
    <w:rsid w:val="43FE4248"/>
    <w:rsid w:val="44047A0A"/>
    <w:rsid w:val="44092444"/>
    <w:rsid w:val="440943A4"/>
    <w:rsid w:val="440E1135"/>
    <w:rsid w:val="440F51E1"/>
    <w:rsid w:val="44111FD5"/>
    <w:rsid w:val="44115F9B"/>
    <w:rsid w:val="44133845"/>
    <w:rsid w:val="441402FB"/>
    <w:rsid w:val="441E0EE8"/>
    <w:rsid w:val="441F394B"/>
    <w:rsid w:val="442053E3"/>
    <w:rsid w:val="44214BDA"/>
    <w:rsid w:val="44226657"/>
    <w:rsid w:val="442868BE"/>
    <w:rsid w:val="44291B91"/>
    <w:rsid w:val="442E7AD1"/>
    <w:rsid w:val="443141BE"/>
    <w:rsid w:val="44371B81"/>
    <w:rsid w:val="4438446B"/>
    <w:rsid w:val="443A5C15"/>
    <w:rsid w:val="443B4DE2"/>
    <w:rsid w:val="44421112"/>
    <w:rsid w:val="44442398"/>
    <w:rsid w:val="44470D3A"/>
    <w:rsid w:val="444A6190"/>
    <w:rsid w:val="444A7FC7"/>
    <w:rsid w:val="444B6759"/>
    <w:rsid w:val="444D1CAF"/>
    <w:rsid w:val="444D6D43"/>
    <w:rsid w:val="444E0EB1"/>
    <w:rsid w:val="444E3969"/>
    <w:rsid w:val="44526098"/>
    <w:rsid w:val="44570B72"/>
    <w:rsid w:val="445723C0"/>
    <w:rsid w:val="44574A2A"/>
    <w:rsid w:val="445755DB"/>
    <w:rsid w:val="445840DF"/>
    <w:rsid w:val="445917DD"/>
    <w:rsid w:val="445A2900"/>
    <w:rsid w:val="44604547"/>
    <w:rsid w:val="44613003"/>
    <w:rsid w:val="44617677"/>
    <w:rsid w:val="446308C0"/>
    <w:rsid w:val="44663EE6"/>
    <w:rsid w:val="446848E4"/>
    <w:rsid w:val="446D2838"/>
    <w:rsid w:val="446D741B"/>
    <w:rsid w:val="446F7150"/>
    <w:rsid w:val="4471425B"/>
    <w:rsid w:val="44720AE3"/>
    <w:rsid w:val="44773D6D"/>
    <w:rsid w:val="44791D88"/>
    <w:rsid w:val="447A7E91"/>
    <w:rsid w:val="447E11AE"/>
    <w:rsid w:val="44877EC5"/>
    <w:rsid w:val="448A181B"/>
    <w:rsid w:val="448E5015"/>
    <w:rsid w:val="448F4618"/>
    <w:rsid w:val="449045B1"/>
    <w:rsid w:val="44915BF6"/>
    <w:rsid w:val="44991472"/>
    <w:rsid w:val="449A76F8"/>
    <w:rsid w:val="449C26AA"/>
    <w:rsid w:val="449C4CC6"/>
    <w:rsid w:val="449E2B1E"/>
    <w:rsid w:val="449F3491"/>
    <w:rsid w:val="44A05432"/>
    <w:rsid w:val="44A16BA8"/>
    <w:rsid w:val="44A21CDC"/>
    <w:rsid w:val="44A25BB4"/>
    <w:rsid w:val="44A35712"/>
    <w:rsid w:val="44A6179B"/>
    <w:rsid w:val="44A75419"/>
    <w:rsid w:val="44A8467F"/>
    <w:rsid w:val="44AA444C"/>
    <w:rsid w:val="44AA6CD5"/>
    <w:rsid w:val="44AC5D7C"/>
    <w:rsid w:val="44AD374C"/>
    <w:rsid w:val="44AD5863"/>
    <w:rsid w:val="44B00772"/>
    <w:rsid w:val="44B141C0"/>
    <w:rsid w:val="44B2661B"/>
    <w:rsid w:val="44BA479B"/>
    <w:rsid w:val="44BA514C"/>
    <w:rsid w:val="44C12DD3"/>
    <w:rsid w:val="44C609E0"/>
    <w:rsid w:val="44C72F5C"/>
    <w:rsid w:val="44C812DB"/>
    <w:rsid w:val="44CC4893"/>
    <w:rsid w:val="44CC62D7"/>
    <w:rsid w:val="44CF069D"/>
    <w:rsid w:val="44D36491"/>
    <w:rsid w:val="44D41426"/>
    <w:rsid w:val="44DB3FF8"/>
    <w:rsid w:val="44DB4337"/>
    <w:rsid w:val="44DD348D"/>
    <w:rsid w:val="44DE4275"/>
    <w:rsid w:val="44E249CF"/>
    <w:rsid w:val="44E36945"/>
    <w:rsid w:val="44E37E80"/>
    <w:rsid w:val="44E92476"/>
    <w:rsid w:val="44EB6B1E"/>
    <w:rsid w:val="44EC6956"/>
    <w:rsid w:val="44EE6424"/>
    <w:rsid w:val="44F05737"/>
    <w:rsid w:val="44F32EB2"/>
    <w:rsid w:val="44F47C4C"/>
    <w:rsid w:val="44F602C6"/>
    <w:rsid w:val="44F62737"/>
    <w:rsid w:val="44F71EFD"/>
    <w:rsid w:val="44FF00EB"/>
    <w:rsid w:val="44FF0B65"/>
    <w:rsid w:val="450058BB"/>
    <w:rsid w:val="45063969"/>
    <w:rsid w:val="4507479C"/>
    <w:rsid w:val="450B32D2"/>
    <w:rsid w:val="450B6F62"/>
    <w:rsid w:val="450E7C74"/>
    <w:rsid w:val="4512220D"/>
    <w:rsid w:val="451258D7"/>
    <w:rsid w:val="45135919"/>
    <w:rsid w:val="45164DB2"/>
    <w:rsid w:val="45184106"/>
    <w:rsid w:val="45196317"/>
    <w:rsid w:val="451B031A"/>
    <w:rsid w:val="451B48F0"/>
    <w:rsid w:val="451D2AA9"/>
    <w:rsid w:val="45201861"/>
    <w:rsid w:val="452071D6"/>
    <w:rsid w:val="45237C17"/>
    <w:rsid w:val="452645A3"/>
    <w:rsid w:val="45267AD1"/>
    <w:rsid w:val="452A245C"/>
    <w:rsid w:val="452A2470"/>
    <w:rsid w:val="452C0980"/>
    <w:rsid w:val="452D7BFD"/>
    <w:rsid w:val="45335202"/>
    <w:rsid w:val="453D7321"/>
    <w:rsid w:val="453F2625"/>
    <w:rsid w:val="453F3821"/>
    <w:rsid w:val="45494F34"/>
    <w:rsid w:val="454A06E5"/>
    <w:rsid w:val="454A39AE"/>
    <w:rsid w:val="454C7D4D"/>
    <w:rsid w:val="454E7E2F"/>
    <w:rsid w:val="455417E9"/>
    <w:rsid w:val="4554454A"/>
    <w:rsid w:val="455A06AD"/>
    <w:rsid w:val="455D08CE"/>
    <w:rsid w:val="455F37DF"/>
    <w:rsid w:val="45632BCA"/>
    <w:rsid w:val="45645A12"/>
    <w:rsid w:val="45665A8C"/>
    <w:rsid w:val="45682543"/>
    <w:rsid w:val="456A418D"/>
    <w:rsid w:val="456A55E0"/>
    <w:rsid w:val="456C5B1A"/>
    <w:rsid w:val="456E4EDF"/>
    <w:rsid w:val="45710A83"/>
    <w:rsid w:val="4571335F"/>
    <w:rsid w:val="457156B9"/>
    <w:rsid w:val="4573302C"/>
    <w:rsid w:val="45741BFB"/>
    <w:rsid w:val="45745F93"/>
    <w:rsid w:val="45763666"/>
    <w:rsid w:val="4582656F"/>
    <w:rsid w:val="45836D64"/>
    <w:rsid w:val="4585221C"/>
    <w:rsid w:val="4585533A"/>
    <w:rsid w:val="458A0FC3"/>
    <w:rsid w:val="458B0BE7"/>
    <w:rsid w:val="45940E6B"/>
    <w:rsid w:val="459419C8"/>
    <w:rsid w:val="459676B5"/>
    <w:rsid w:val="45973B8E"/>
    <w:rsid w:val="4598372E"/>
    <w:rsid w:val="4598478C"/>
    <w:rsid w:val="459A57B1"/>
    <w:rsid w:val="459C09E8"/>
    <w:rsid w:val="459D0E8B"/>
    <w:rsid w:val="459F3852"/>
    <w:rsid w:val="45A3084C"/>
    <w:rsid w:val="45A363A6"/>
    <w:rsid w:val="45A94B02"/>
    <w:rsid w:val="45B30C9D"/>
    <w:rsid w:val="45C00A6E"/>
    <w:rsid w:val="45C13C05"/>
    <w:rsid w:val="45C17F3B"/>
    <w:rsid w:val="45C277EF"/>
    <w:rsid w:val="45C34929"/>
    <w:rsid w:val="45C34E0F"/>
    <w:rsid w:val="45C442B0"/>
    <w:rsid w:val="45C45D1E"/>
    <w:rsid w:val="45C624CA"/>
    <w:rsid w:val="45C93B14"/>
    <w:rsid w:val="45CA17B7"/>
    <w:rsid w:val="45CD3E33"/>
    <w:rsid w:val="45CF1113"/>
    <w:rsid w:val="45D27DAB"/>
    <w:rsid w:val="45D729FC"/>
    <w:rsid w:val="45D902CA"/>
    <w:rsid w:val="45D97E92"/>
    <w:rsid w:val="45DA27AE"/>
    <w:rsid w:val="45DB1E5D"/>
    <w:rsid w:val="45DB35A8"/>
    <w:rsid w:val="45DB7806"/>
    <w:rsid w:val="45EA65C3"/>
    <w:rsid w:val="45EC3BA9"/>
    <w:rsid w:val="45ED0FB0"/>
    <w:rsid w:val="45ED5FE1"/>
    <w:rsid w:val="45F12973"/>
    <w:rsid w:val="45F13A36"/>
    <w:rsid w:val="46050C32"/>
    <w:rsid w:val="46074342"/>
    <w:rsid w:val="460847D7"/>
    <w:rsid w:val="460B71D6"/>
    <w:rsid w:val="460D3887"/>
    <w:rsid w:val="460F22E3"/>
    <w:rsid w:val="461008FA"/>
    <w:rsid w:val="46101164"/>
    <w:rsid w:val="461248D1"/>
    <w:rsid w:val="46127D1E"/>
    <w:rsid w:val="46156475"/>
    <w:rsid w:val="46181D62"/>
    <w:rsid w:val="461B44C5"/>
    <w:rsid w:val="46251EAA"/>
    <w:rsid w:val="46256D31"/>
    <w:rsid w:val="46265B4E"/>
    <w:rsid w:val="4627448B"/>
    <w:rsid w:val="462A00B0"/>
    <w:rsid w:val="462C0840"/>
    <w:rsid w:val="462C7917"/>
    <w:rsid w:val="462D194E"/>
    <w:rsid w:val="462E4A74"/>
    <w:rsid w:val="462F4231"/>
    <w:rsid w:val="462F50E4"/>
    <w:rsid w:val="4633110A"/>
    <w:rsid w:val="46351CEC"/>
    <w:rsid w:val="4639690C"/>
    <w:rsid w:val="463B5B7D"/>
    <w:rsid w:val="463F620E"/>
    <w:rsid w:val="464054C5"/>
    <w:rsid w:val="4642743A"/>
    <w:rsid w:val="46435E26"/>
    <w:rsid w:val="46436721"/>
    <w:rsid w:val="46457C6E"/>
    <w:rsid w:val="464B297D"/>
    <w:rsid w:val="464C4BB1"/>
    <w:rsid w:val="464E3C5D"/>
    <w:rsid w:val="464F0A25"/>
    <w:rsid w:val="464F7D86"/>
    <w:rsid w:val="46524D2F"/>
    <w:rsid w:val="46540CA4"/>
    <w:rsid w:val="465519FF"/>
    <w:rsid w:val="4659000B"/>
    <w:rsid w:val="465962A4"/>
    <w:rsid w:val="46597135"/>
    <w:rsid w:val="465B6B84"/>
    <w:rsid w:val="465B76EC"/>
    <w:rsid w:val="46697C23"/>
    <w:rsid w:val="466B1E95"/>
    <w:rsid w:val="466D3137"/>
    <w:rsid w:val="466D4E77"/>
    <w:rsid w:val="46713857"/>
    <w:rsid w:val="4674136E"/>
    <w:rsid w:val="467657F9"/>
    <w:rsid w:val="46782F47"/>
    <w:rsid w:val="467830C8"/>
    <w:rsid w:val="467D48EA"/>
    <w:rsid w:val="467E5625"/>
    <w:rsid w:val="46817374"/>
    <w:rsid w:val="46843C64"/>
    <w:rsid w:val="468477E7"/>
    <w:rsid w:val="4685178A"/>
    <w:rsid w:val="468764EB"/>
    <w:rsid w:val="468937D3"/>
    <w:rsid w:val="468B027F"/>
    <w:rsid w:val="468C239F"/>
    <w:rsid w:val="468C2DA9"/>
    <w:rsid w:val="468E73C7"/>
    <w:rsid w:val="46912243"/>
    <w:rsid w:val="46920AC3"/>
    <w:rsid w:val="469726FC"/>
    <w:rsid w:val="469A348A"/>
    <w:rsid w:val="46A73126"/>
    <w:rsid w:val="46A775F4"/>
    <w:rsid w:val="46A830DA"/>
    <w:rsid w:val="46AB24CF"/>
    <w:rsid w:val="46B10CA5"/>
    <w:rsid w:val="46B123E4"/>
    <w:rsid w:val="46B26C18"/>
    <w:rsid w:val="46B27EBA"/>
    <w:rsid w:val="46B803E8"/>
    <w:rsid w:val="46BE7044"/>
    <w:rsid w:val="46BF24C7"/>
    <w:rsid w:val="46C44060"/>
    <w:rsid w:val="46C60825"/>
    <w:rsid w:val="46C729DB"/>
    <w:rsid w:val="46CF2BAA"/>
    <w:rsid w:val="46D14CC5"/>
    <w:rsid w:val="46E60196"/>
    <w:rsid w:val="46E93F6A"/>
    <w:rsid w:val="46EB6831"/>
    <w:rsid w:val="46F004D2"/>
    <w:rsid w:val="46F2081B"/>
    <w:rsid w:val="46F5246C"/>
    <w:rsid w:val="46F64CE1"/>
    <w:rsid w:val="46F77125"/>
    <w:rsid w:val="46F915C4"/>
    <w:rsid w:val="46FA674B"/>
    <w:rsid w:val="46FC37FA"/>
    <w:rsid w:val="47002194"/>
    <w:rsid w:val="47022917"/>
    <w:rsid w:val="470348B8"/>
    <w:rsid w:val="47052291"/>
    <w:rsid w:val="47052CCA"/>
    <w:rsid w:val="4709259A"/>
    <w:rsid w:val="470A34EE"/>
    <w:rsid w:val="470D01AB"/>
    <w:rsid w:val="470D12E5"/>
    <w:rsid w:val="471864C9"/>
    <w:rsid w:val="471B7D7A"/>
    <w:rsid w:val="471D173B"/>
    <w:rsid w:val="47226571"/>
    <w:rsid w:val="47247E84"/>
    <w:rsid w:val="472557A0"/>
    <w:rsid w:val="4726315C"/>
    <w:rsid w:val="4729778E"/>
    <w:rsid w:val="472A6EBC"/>
    <w:rsid w:val="472E44DC"/>
    <w:rsid w:val="472E6606"/>
    <w:rsid w:val="473208AC"/>
    <w:rsid w:val="47330096"/>
    <w:rsid w:val="47336D1E"/>
    <w:rsid w:val="4734113C"/>
    <w:rsid w:val="473810DF"/>
    <w:rsid w:val="473B3BD5"/>
    <w:rsid w:val="47407038"/>
    <w:rsid w:val="47431D9C"/>
    <w:rsid w:val="47432296"/>
    <w:rsid w:val="474442F6"/>
    <w:rsid w:val="4746589D"/>
    <w:rsid w:val="474C1C1D"/>
    <w:rsid w:val="474D3F3C"/>
    <w:rsid w:val="474E0704"/>
    <w:rsid w:val="47543DAB"/>
    <w:rsid w:val="47575552"/>
    <w:rsid w:val="47585AC3"/>
    <w:rsid w:val="47596A19"/>
    <w:rsid w:val="475A520D"/>
    <w:rsid w:val="475E5072"/>
    <w:rsid w:val="476475F1"/>
    <w:rsid w:val="47647E66"/>
    <w:rsid w:val="476516AD"/>
    <w:rsid w:val="47672D63"/>
    <w:rsid w:val="476C5532"/>
    <w:rsid w:val="476D5031"/>
    <w:rsid w:val="476E35EF"/>
    <w:rsid w:val="47702E9F"/>
    <w:rsid w:val="4771071A"/>
    <w:rsid w:val="47721B70"/>
    <w:rsid w:val="47755B96"/>
    <w:rsid w:val="47781F25"/>
    <w:rsid w:val="477838BD"/>
    <w:rsid w:val="47793116"/>
    <w:rsid w:val="477B507B"/>
    <w:rsid w:val="477D19A2"/>
    <w:rsid w:val="47802397"/>
    <w:rsid w:val="478153F6"/>
    <w:rsid w:val="4787018F"/>
    <w:rsid w:val="478D6B48"/>
    <w:rsid w:val="47901C5B"/>
    <w:rsid w:val="47902B1C"/>
    <w:rsid w:val="47914C73"/>
    <w:rsid w:val="47986BD3"/>
    <w:rsid w:val="479A1981"/>
    <w:rsid w:val="479B7BE8"/>
    <w:rsid w:val="47A016FA"/>
    <w:rsid w:val="47A648CD"/>
    <w:rsid w:val="47A66166"/>
    <w:rsid w:val="47A81DFB"/>
    <w:rsid w:val="47A97C20"/>
    <w:rsid w:val="47AD5948"/>
    <w:rsid w:val="47AF04DE"/>
    <w:rsid w:val="47AF281E"/>
    <w:rsid w:val="47B20DD2"/>
    <w:rsid w:val="47B50E02"/>
    <w:rsid w:val="47B953E4"/>
    <w:rsid w:val="47BB36B5"/>
    <w:rsid w:val="47BE2D12"/>
    <w:rsid w:val="47C3661E"/>
    <w:rsid w:val="47C4505B"/>
    <w:rsid w:val="47C47DB0"/>
    <w:rsid w:val="47C52B6B"/>
    <w:rsid w:val="47CA5B82"/>
    <w:rsid w:val="47CD163B"/>
    <w:rsid w:val="47CF3D0B"/>
    <w:rsid w:val="47D12960"/>
    <w:rsid w:val="47D13C4B"/>
    <w:rsid w:val="47D161AD"/>
    <w:rsid w:val="47D16D58"/>
    <w:rsid w:val="47D61EED"/>
    <w:rsid w:val="47D762AF"/>
    <w:rsid w:val="47DB1C3E"/>
    <w:rsid w:val="47DC7F95"/>
    <w:rsid w:val="47DD4876"/>
    <w:rsid w:val="47E15A4D"/>
    <w:rsid w:val="47E3271B"/>
    <w:rsid w:val="47E41861"/>
    <w:rsid w:val="47E95B17"/>
    <w:rsid w:val="47ED5839"/>
    <w:rsid w:val="47ED6A7E"/>
    <w:rsid w:val="47EE267A"/>
    <w:rsid w:val="47F36FD4"/>
    <w:rsid w:val="47F4736B"/>
    <w:rsid w:val="47F64E4A"/>
    <w:rsid w:val="47F6777D"/>
    <w:rsid w:val="47F7594F"/>
    <w:rsid w:val="47FB2A76"/>
    <w:rsid w:val="47FE0516"/>
    <w:rsid w:val="48014699"/>
    <w:rsid w:val="48027536"/>
    <w:rsid w:val="48062B15"/>
    <w:rsid w:val="480735D2"/>
    <w:rsid w:val="48074C8A"/>
    <w:rsid w:val="480A710D"/>
    <w:rsid w:val="480F6290"/>
    <w:rsid w:val="481443D4"/>
    <w:rsid w:val="48153C92"/>
    <w:rsid w:val="481941E2"/>
    <w:rsid w:val="481D2E7C"/>
    <w:rsid w:val="481E4D86"/>
    <w:rsid w:val="48211454"/>
    <w:rsid w:val="48226093"/>
    <w:rsid w:val="4824360A"/>
    <w:rsid w:val="482C2CAA"/>
    <w:rsid w:val="482D407D"/>
    <w:rsid w:val="483111B8"/>
    <w:rsid w:val="48331254"/>
    <w:rsid w:val="48335FF8"/>
    <w:rsid w:val="48347986"/>
    <w:rsid w:val="48353EFD"/>
    <w:rsid w:val="48377212"/>
    <w:rsid w:val="483A6E6B"/>
    <w:rsid w:val="483A7A3C"/>
    <w:rsid w:val="48410BBC"/>
    <w:rsid w:val="484302FB"/>
    <w:rsid w:val="48451FBA"/>
    <w:rsid w:val="484627C4"/>
    <w:rsid w:val="484B2605"/>
    <w:rsid w:val="484C0768"/>
    <w:rsid w:val="484C75F2"/>
    <w:rsid w:val="4854064F"/>
    <w:rsid w:val="48551998"/>
    <w:rsid w:val="48576D3B"/>
    <w:rsid w:val="485E0551"/>
    <w:rsid w:val="48650A43"/>
    <w:rsid w:val="48677399"/>
    <w:rsid w:val="48697684"/>
    <w:rsid w:val="486C4786"/>
    <w:rsid w:val="486D3BC5"/>
    <w:rsid w:val="48764AC6"/>
    <w:rsid w:val="487E008A"/>
    <w:rsid w:val="487F48F7"/>
    <w:rsid w:val="488133B9"/>
    <w:rsid w:val="488D1DED"/>
    <w:rsid w:val="488D2C76"/>
    <w:rsid w:val="488E2B78"/>
    <w:rsid w:val="4890571E"/>
    <w:rsid w:val="4895219D"/>
    <w:rsid w:val="48952EC9"/>
    <w:rsid w:val="48961A2D"/>
    <w:rsid w:val="48980B5A"/>
    <w:rsid w:val="48985405"/>
    <w:rsid w:val="489D0A49"/>
    <w:rsid w:val="489E7A05"/>
    <w:rsid w:val="48A6583E"/>
    <w:rsid w:val="48A82CED"/>
    <w:rsid w:val="48AA54D8"/>
    <w:rsid w:val="48AC69EB"/>
    <w:rsid w:val="48AF7B10"/>
    <w:rsid w:val="48B23137"/>
    <w:rsid w:val="48BA13ED"/>
    <w:rsid w:val="48BD6512"/>
    <w:rsid w:val="48C54CC4"/>
    <w:rsid w:val="48C5751D"/>
    <w:rsid w:val="48C6620D"/>
    <w:rsid w:val="48C94CDB"/>
    <w:rsid w:val="48C96881"/>
    <w:rsid w:val="48CC613F"/>
    <w:rsid w:val="48CC6E44"/>
    <w:rsid w:val="48CD21A8"/>
    <w:rsid w:val="48CD39A4"/>
    <w:rsid w:val="48CD61FD"/>
    <w:rsid w:val="48DA1699"/>
    <w:rsid w:val="48DA4C55"/>
    <w:rsid w:val="48DF5182"/>
    <w:rsid w:val="48DF7C88"/>
    <w:rsid w:val="48E24C72"/>
    <w:rsid w:val="48E43B0D"/>
    <w:rsid w:val="48E70247"/>
    <w:rsid w:val="48E846A4"/>
    <w:rsid w:val="48EB621C"/>
    <w:rsid w:val="48F03833"/>
    <w:rsid w:val="48F614D5"/>
    <w:rsid w:val="48F7048A"/>
    <w:rsid w:val="48F90A8B"/>
    <w:rsid w:val="48FC5DE4"/>
    <w:rsid w:val="49004581"/>
    <w:rsid w:val="49007097"/>
    <w:rsid w:val="490361AB"/>
    <w:rsid w:val="490556D3"/>
    <w:rsid w:val="49076526"/>
    <w:rsid w:val="49090450"/>
    <w:rsid w:val="49092D98"/>
    <w:rsid w:val="490D2DCE"/>
    <w:rsid w:val="490F28B6"/>
    <w:rsid w:val="490F6052"/>
    <w:rsid w:val="49137497"/>
    <w:rsid w:val="491C59F4"/>
    <w:rsid w:val="491E6998"/>
    <w:rsid w:val="49233187"/>
    <w:rsid w:val="49241D2D"/>
    <w:rsid w:val="492543D3"/>
    <w:rsid w:val="49296357"/>
    <w:rsid w:val="492B4EEF"/>
    <w:rsid w:val="493007B4"/>
    <w:rsid w:val="49326C89"/>
    <w:rsid w:val="49344E51"/>
    <w:rsid w:val="493675BE"/>
    <w:rsid w:val="49384C01"/>
    <w:rsid w:val="493D65F6"/>
    <w:rsid w:val="494021AF"/>
    <w:rsid w:val="49407DED"/>
    <w:rsid w:val="49426FD0"/>
    <w:rsid w:val="49435961"/>
    <w:rsid w:val="494854D9"/>
    <w:rsid w:val="494B6C4C"/>
    <w:rsid w:val="494D658F"/>
    <w:rsid w:val="49540C44"/>
    <w:rsid w:val="49560C34"/>
    <w:rsid w:val="4957717C"/>
    <w:rsid w:val="49583D75"/>
    <w:rsid w:val="495F2766"/>
    <w:rsid w:val="49600D27"/>
    <w:rsid w:val="4962126A"/>
    <w:rsid w:val="49652F7B"/>
    <w:rsid w:val="49672298"/>
    <w:rsid w:val="4969138F"/>
    <w:rsid w:val="49695A57"/>
    <w:rsid w:val="49697B56"/>
    <w:rsid w:val="496D01DF"/>
    <w:rsid w:val="496F5ED0"/>
    <w:rsid w:val="497057D2"/>
    <w:rsid w:val="49715D75"/>
    <w:rsid w:val="497258CD"/>
    <w:rsid w:val="49736B9C"/>
    <w:rsid w:val="497434BB"/>
    <w:rsid w:val="49796F62"/>
    <w:rsid w:val="49803C92"/>
    <w:rsid w:val="49825093"/>
    <w:rsid w:val="49832632"/>
    <w:rsid w:val="498A43F2"/>
    <w:rsid w:val="498B5EC7"/>
    <w:rsid w:val="498F2A5D"/>
    <w:rsid w:val="49902920"/>
    <w:rsid w:val="49922114"/>
    <w:rsid w:val="4996273D"/>
    <w:rsid w:val="499D4820"/>
    <w:rsid w:val="49A04A87"/>
    <w:rsid w:val="49A4062D"/>
    <w:rsid w:val="49A57AF1"/>
    <w:rsid w:val="49A8548A"/>
    <w:rsid w:val="49AA5407"/>
    <w:rsid w:val="49AB6A40"/>
    <w:rsid w:val="49AD3759"/>
    <w:rsid w:val="49AF7901"/>
    <w:rsid w:val="49B409B2"/>
    <w:rsid w:val="49B628BB"/>
    <w:rsid w:val="49B74D78"/>
    <w:rsid w:val="49BB48A4"/>
    <w:rsid w:val="49BE419C"/>
    <w:rsid w:val="49C21A34"/>
    <w:rsid w:val="49C54F5D"/>
    <w:rsid w:val="49C6117A"/>
    <w:rsid w:val="49C77D49"/>
    <w:rsid w:val="49CC09F7"/>
    <w:rsid w:val="49CE697B"/>
    <w:rsid w:val="49D36556"/>
    <w:rsid w:val="49D4655E"/>
    <w:rsid w:val="49D62EE3"/>
    <w:rsid w:val="49DA2882"/>
    <w:rsid w:val="49DA664E"/>
    <w:rsid w:val="49DC6B43"/>
    <w:rsid w:val="49DC70D8"/>
    <w:rsid w:val="49DF568B"/>
    <w:rsid w:val="49E078DD"/>
    <w:rsid w:val="49E32113"/>
    <w:rsid w:val="49E331A5"/>
    <w:rsid w:val="49E34C38"/>
    <w:rsid w:val="49E713E7"/>
    <w:rsid w:val="49E7758A"/>
    <w:rsid w:val="49E905A3"/>
    <w:rsid w:val="49EA14C7"/>
    <w:rsid w:val="49F2321F"/>
    <w:rsid w:val="49F3532E"/>
    <w:rsid w:val="49F84F2F"/>
    <w:rsid w:val="49F94FFC"/>
    <w:rsid w:val="49FA471C"/>
    <w:rsid w:val="49FB5863"/>
    <w:rsid w:val="4A010A43"/>
    <w:rsid w:val="4A0215D7"/>
    <w:rsid w:val="4A031B00"/>
    <w:rsid w:val="4A0335F4"/>
    <w:rsid w:val="4A0477AC"/>
    <w:rsid w:val="4A062BE2"/>
    <w:rsid w:val="4A067681"/>
    <w:rsid w:val="4A0A5A5E"/>
    <w:rsid w:val="4A0B32D9"/>
    <w:rsid w:val="4A0B4278"/>
    <w:rsid w:val="4A0B59F3"/>
    <w:rsid w:val="4A0E79CA"/>
    <w:rsid w:val="4A1243E2"/>
    <w:rsid w:val="4A1B1491"/>
    <w:rsid w:val="4A20214B"/>
    <w:rsid w:val="4A21733A"/>
    <w:rsid w:val="4A2231B7"/>
    <w:rsid w:val="4A247722"/>
    <w:rsid w:val="4A281305"/>
    <w:rsid w:val="4A296BBD"/>
    <w:rsid w:val="4A2A0647"/>
    <w:rsid w:val="4A2A204F"/>
    <w:rsid w:val="4A2A402A"/>
    <w:rsid w:val="4A2A551A"/>
    <w:rsid w:val="4A2B7B46"/>
    <w:rsid w:val="4A2E487F"/>
    <w:rsid w:val="4A2F7CCF"/>
    <w:rsid w:val="4A351B6D"/>
    <w:rsid w:val="4A38592F"/>
    <w:rsid w:val="4A3B71AB"/>
    <w:rsid w:val="4A4167A5"/>
    <w:rsid w:val="4A423A7A"/>
    <w:rsid w:val="4A4A439F"/>
    <w:rsid w:val="4A4B3391"/>
    <w:rsid w:val="4A514588"/>
    <w:rsid w:val="4A564886"/>
    <w:rsid w:val="4A58325F"/>
    <w:rsid w:val="4A5A5897"/>
    <w:rsid w:val="4A5C0F0C"/>
    <w:rsid w:val="4A5C7C00"/>
    <w:rsid w:val="4A5D0EE4"/>
    <w:rsid w:val="4A5E2910"/>
    <w:rsid w:val="4A5E7D2E"/>
    <w:rsid w:val="4A614C2D"/>
    <w:rsid w:val="4A6315A8"/>
    <w:rsid w:val="4A6537B7"/>
    <w:rsid w:val="4A6C0D91"/>
    <w:rsid w:val="4A7411B1"/>
    <w:rsid w:val="4A775E1C"/>
    <w:rsid w:val="4A7A0A45"/>
    <w:rsid w:val="4A7A75FA"/>
    <w:rsid w:val="4A7E3207"/>
    <w:rsid w:val="4A820975"/>
    <w:rsid w:val="4A826B80"/>
    <w:rsid w:val="4A830182"/>
    <w:rsid w:val="4A837295"/>
    <w:rsid w:val="4A8738AC"/>
    <w:rsid w:val="4A8A3823"/>
    <w:rsid w:val="4A8C7560"/>
    <w:rsid w:val="4A8E7A40"/>
    <w:rsid w:val="4A8F73DC"/>
    <w:rsid w:val="4A9266A3"/>
    <w:rsid w:val="4A92698B"/>
    <w:rsid w:val="4A936DFB"/>
    <w:rsid w:val="4A9435B7"/>
    <w:rsid w:val="4A9526F8"/>
    <w:rsid w:val="4A9904F0"/>
    <w:rsid w:val="4A9D3722"/>
    <w:rsid w:val="4AA07380"/>
    <w:rsid w:val="4AA33D89"/>
    <w:rsid w:val="4AA430DE"/>
    <w:rsid w:val="4AA47BF1"/>
    <w:rsid w:val="4AA51DFF"/>
    <w:rsid w:val="4AA72AA3"/>
    <w:rsid w:val="4AA922F6"/>
    <w:rsid w:val="4AAE3EA5"/>
    <w:rsid w:val="4AB057EF"/>
    <w:rsid w:val="4AB145DA"/>
    <w:rsid w:val="4AB2395D"/>
    <w:rsid w:val="4AB56068"/>
    <w:rsid w:val="4AB62699"/>
    <w:rsid w:val="4AB719E1"/>
    <w:rsid w:val="4AB76BD1"/>
    <w:rsid w:val="4AB76CCF"/>
    <w:rsid w:val="4AB91B6B"/>
    <w:rsid w:val="4ABA5191"/>
    <w:rsid w:val="4ABC04D1"/>
    <w:rsid w:val="4ABD2EA4"/>
    <w:rsid w:val="4ABE6803"/>
    <w:rsid w:val="4AC06F02"/>
    <w:rsid w:val="4AC31A8F"/>
    <w:rsid w:val="4AC36343"/>
    <w:rsid w:val="4ACA31A4"/>
    <w:rsid w:val="4ACD5F26"/>
    <w:rsid w:val="4ACF334E"/>
    <w:rsid w:val="4AD15556"/>
    <w:rsid w:val="4AD50FC4"/>
    <w:rsid w:val="4AD52CE0"/>
    <w:rsid w:val="4AD933DC"/>
    <w:rsid w:val="4ADA4930"/>
    <w:rsid w:val="4ADE3C92"/>
    <w:rsid w:val="4AE04D5B"/>
    <w:rsid w:val="4AE24547"/>
    <w:rsid w:val="4AE37323"/>
    <w:rsid w:val="4AE55B00"/>
    <w:rsid w:val="4AE56070"/>
    <w:rsid w:val="4AE61793"/>
    <w:rsid w:val="4AE713A1"/>
    <w:rsid w:val="4AEB2AB7"/>
    <w:rsid w:val="4AEE0418"/>
    <w:rsid w:val="4AEE13AC"/>
    <w:rsid w:val="4AEE41D9"/>
    <w:rsid w:val="4AF110D8"/>
    <w:rsid w:val="4AF2479D"/>
    <w:rsid w:val="4AF70CA5"/>
    <w:rsid w:val="4AFB07E1"/>
    <w:rsid w:val="4AFE111E"/>
    <w:rsid w:val="4B010D84"/>
    <w:rsid w:val="4B010DA7"/>
    <w:rsid w:val="4B01388A"/>
    <w:rsid w:val="4B017362"/>
    <w:rsid w:val="4B0212D7"/>
    <w:rsid w:val="4B060270"/>
    <w:rsid w:val="4B0B42D2"/>
    <w:rsid w:val="4B0C6638"/>
    <w:rsid w:val="4B14260F"/>
    <w:rsid w:val="4B151303"/>
    <w:rsid w:val="4B173919"/>
    <w:rsid w:val="4B177537"/>
    <w:rsid w:val="4B1A2C82"/>
    <w:rsid w:val="4B1C3609"/>
    <w:rsid w:val="4B1E5EDC"/>
    <w:rsid w:val="4B1F1859"/>
    <w:rsid w:val="4B20268C"/>
    <w:rsid w:val="4B2225FB"/>
    <w:rsid w:val="4B253239"/>
    <w:rsid w:val="4B262398"/>
    <w:rsid w:val="4B265BDB"/>
    <w:rsid w:val="4B2B0E3F"/>
    <w:rsid w:val="4B2D5ACB"/>
    <w:rsid w:val="4B2F73BD"/>
    <w:rsid w:val="4B336BFD"/>
    <w:rsid w:val="4B376622"/>
    <w:rsid w:val="4B383A07"/>
    <w:rsid w:val="4B3840A4"/>
    <w:rsid w:val="4B3A5AB0"/>
    <w:rsid w:val="4B421260"/>
    <w:rsid w:val="4B4400D3"/>
    <w:rsid w:val="4B477ADF"/>
    <w:rsid w:val="4B4B00AC"/>
    <w:rsid w:val="4B4B19C3"/>
    <w:rsid w:val="4B51097A"/>
    <w:rsid w:val="4B52797A"/>
    <w:rsid w:val="4B5727F9"/>
    <w:rsid w:val="4B5A6F8C"/>
    <w:rsid w:val="4B5B6742"/>
    <w:rsid w:val="4B5C0CE9"/>
    <w:rsid w:val="4B5E62E4"/>
    <w:rsid w:val="4B5F20D3"/>
    <w:rsid w:val="4B624AA9"/>
    <w:rsid w:val="4B6452BE"/>
    <w:rsid w:val="4B667DDC"/>
    <w:rsid w:val="4B6B6D43"/>
    <w:rsid w:val="4B6E5744"/>
    <w:rsid w:val="4B6F44F5"/>
    <w:rsid w:val="4B724622"/>
    <w:rsid w:val="4B73143D"/>
    <w:rsid w:val="4B762487"/>
    <w:rsid w:val="4B776E31"/>
    <w:rsid w:val="4B7E3A71"/>
    <w:rsid w:val="4B856EEB"/>
    <w:rsid w:val="4B862373"/>
    <w:rsid w:val="4B894D95"/>
    <w:rsid w:val="4B8A0F10"/>
    <w:rsid w:val="4B8D6EB3"/>
    <w:rsid w:val="4B8E0773"/>
    <w:rsid w:val="4B9376CD"/>
    <w:rsid w:val="4B9444ED"/>
    <w:rsid w:val="4B963B31"/>
    <w:rsid w:val="4B9761E7"/>
    <w:rsid w:val="4B980DD0"/>
    <w:rsid w:val="4B99245B"/>
    <w:rsid w:val="4B9A0771"/>
    <w:rsid w:val="4B9F405C"/>
    <w:rsid w:val="4BA17535"/>
    <w:rsid w:val="4BA61464"/>
    <w:rsid w:val="4BAB6053"/>
    <w:rsid w:val="4BB050A5"/>
    <w:rsid w:val="4BB07825"/>
    <w:rsid w:val="4BB2372B"/>
    <w:rsid w:val="4BB752CB"/>
    <w:rsid w:val="4BB95EC5"/>
    <w:rsid w:val="4BC0223A"/>
    <w:rsid w:val="4BC030EF"/>
    <w:rsid w:val="4BC13445"/>
    <w:rsid w:val="4BC226BA"/>
    <w:rsid w:val="4BC511DE"/>
    <w:rsid w:val="4BC90E1B"/>
    <w:rsid w:val="4BC934F3"/>
    <w:rsid w:val="4BCA308E"/>
    <w:rsid w:val="4BD16C25"/>
    <w:rsid w:val="4BD20C2A"/>
    <w:rsid w:val="4BD240FA"/>
    <w:rsid w:val="4BD26B6A"/>
    <w:rsid w:val="4BD303F5"/>
    <w:rsid w:val="4BDC009E"/>
    <w:rsid w:val="4BDE053D"/>
    <w:rsid w:val="4BE134B1"/>
    <w:rsid w:val="4BE60D6F"/>
    <w:rsid w:val="4BE67298"/>
    <w:rsid w:val="4BE7123E"/>
    <w:rsid w:val="4BE73EB8"/>
    <w:rsid w:val="4BEA5A65"/>
    <w:rsid w:val="4BEA767A"/>
    <w:rsid w:val="4BEE1593"/>
    <w:rsid w:val="4BF04C73"/>
    <w:rsid w:val="4BF1372A"/>
    <w:rsid w:val="4BF151CF"/>
    <w:rsid w:val="4BF16C8D"/>
    <w:rsid w:val="4BF2471B"/>
    <w:rsid w:val="4BF60330"/>
    <w:rsid w:val="4BF60DCE"/>
    <w:rsid w:val="4BF65F21"/>
    <w:rsid w:val="4BF97FB1"/>
    <w:rsid w:val="4BFB75EE"/>
    <w:rsid w:val="4C00006D"/>
    <w:rsid w:val="4C000B6C"/>
    <w:rsid w:val="4C015CE5"/>
    <w:rsid w:val="4C0A7B0C"/>
    <w:rsid w:val="4C0B2CBC"/>
    <w:rsid w:val="4C0C6B0E"/>
    <w:rsid w:val="4C16155A"/>
    <w:rsid w:val="4C1621F8"/>
    <w:rsid w:val="4C172D7F"/>
    <w:rsid w:val="4C1A1591"/>
    <w:rsid w:val="4C1C493F"/>
    <w:rsid w:val="4C2532AB"/>
    <w:rsid w:val="4C255EF5"/>
    <w:rsid w:val="4C291688"/>
    <w:rsid w:val="4C2A156F"/>
    <w:rsid w:val="4C2D72FE"/>
    <w:rsid w:val="4C2E459D"/>
    <w:rsid w:val="4C2F0032"/>
    <w:rsid w:val="4C381771"/>
    <w:rsid w:val="4C3B1E0A"/>
    <w:rsid w:val="4C3B5880"/>
    <w:rsid w:val="4C3C6A4A"/>
    <w:rsid w:val="4C427382"/>
    <w:rsid w:val="4C4348C5"/>
    <w:rsid w:val="4C4A4FB6"/>
    <w:rsid w:val="4C52335A"/>
    <w:rsid w:val="4C577725"/>
    <w:rsid w:val="4C5858A6"/>
    <w:rsid w:val="4C5A2841"/>
    <w:rsid w:val="4C681932"/>
    <w:rsid w:val="4C687B84"/>
    <w:rsid w:val="4C6C7A3E"/>
    <w:rsid w:val="4C6D3754"/>
    <w:rsid w:val="4C6E709B"/>
    <w:rsid w:val="4C6F2CC0"/>
    <w:rsid w:val="4C6F496A"/>
    <w:rsid w:val="4C6F65E4"/>
    <w:rsid w:val="4C737586"/>
    <w:rsid w:val="4C7B0BBA"/>
    <w:rsid w:val="4C894A05"/>
    <w:rsid w:val="4C8B77E6"/>
    <w:rsid w:val="4C8C4227"/>
    <w:rsid w:val="4C8E331F"/>
    <w:rsid w:val="4C910569"/>
    <w:rsid w:val="4C910DFD"/>
    <w:rsid w:val="4C926B4C"/>
    <w:rsid w:val="4C9427CE"/>
    <w:rsid w:val="4C956F98"/>
    <w:rsid w:val="4C965495"/>
    <w:rsid w:val="4C986D45"/>
    <w:rsid w:val="4C9A637A"/>
    <w:rsid w:val="4C9D4D80"/>
    <w:rsid w:val="4C9E1F1E"/>
    <w:rsid w:val="4CA82907"/>
    <w:rsid w:val="4CA83735"/>
    <w:rsid w:val="4CAB4883"/>
    <w:rsid w:val="4CAB7731"/>
    <w:rsid w:val="4CB21FA7"/>
    <w:rsid w:val="4CB3256C"/>
    <w:rsid w:val="4CB40331"/>
    <w:rsid w:val="4CB746BF"/>
    <w:rsid w:val="4CB81A40"/>
    <w:rsid w:val="4CB85169"/>
    <w:rsid w:val="4CBC4E53"/>
    <w:rsid w:val="4CC000E4"/>
    <w:rsid w:val="4CC07B16"/>
    <w:rsid w:val="4CC164D4"/>
    <w:rsid w:val="4CC80C36"/>
    <w:rsid w:val="4CCA4766"/>
    <w:rsid w:val="4CCC7A70"/>
    <w:rsid w:val="4CCE31DB"/>
    <w:rsid w:val="4CD14249"/>
    <w:rsid w:val="4CD32969"/>
    <w:rsid w:val="4CD35852"/>
    <w:rsid w:val="4CD4750B"/>
    <w:rsid w:val="4CD83D84"/>
    <w:rsid w:val="4CDC509B"/>
    <w:rsid w:val="4CDE39A2"/>
    <w:rsid w:val="4CDF7762"/>
    <w:rsid w:val="4CE73126"/>
    <w:rsid w:val="4CEC25AC"/>
    <w:rsid w:val="4CEC60D8"/>
    <w:rsid w:val="4CEE0BA4"/>
    <w:rsid w:val="4CEF2F11"/>
    <w:rsid w:val="4CF10612"/>
    <w:rsid w:val="4CF17CA6"/>
    <w:rsid w:val="4CF4222C"/>
    <w:rsid w:val="4CF55F37"/>
    <w:rsid w:val="4CF65190"/>
    <w:rsid w:val="4CFE4243"/>
    <w:rsid w:val="4CFE6C06"/>
    <w:rsid w:val="4D002568"/>
    <w:rsid w:val="4D023782"/>
    <w:rsid w:val="4D0364BD"/>
    <w:rsid w:val="4D05593B"/>
    <w:rsid w:val="4D0572A2"/>
    <w:rsid w:val="4D0A503F"/>
    <w:rsid w:val="4D0C53D4"/>
    <w:rsid w:val="4D0F0C4E"/>
    <w:rsid w:val="4D0F3D0F"/>
    <w:rsid w:val="4D133F11"/>
    <w:rsid w:val="4D136AB1"/>
    <w:rsid w:val="4D145E90"/>
    <w:rsid w:val="4D164C16"/>
    <w:rsid w:val="4D1C0985"/>
    <w:rsid w:val="4D213356"/>
    <w:rsid w:val="4D236208"/>
    <w:rsid w:val="4D2770F7"/>
    <w:rsid w:val="4D2F197D"/>
    <w:rsid w:val="4D345882"/>
    <w:rsid w:val="4D3A0331"/>
    <w:rsid w:val="4D3C4C3E"/>
    <w:rsid w:val="4D3E7FE3"/>
    <w:rsid w:val="4D3F4C44"/>
    <w:rsid w:val="4D402C3B"/>
    <w:rsid w:val="4D4170E0"/>
    <w:rsid w:val="4D423D94"/>
    <w:rsid w:val="4D423F8D"/>
    <w:rsid w:val="4D4602DE"/>
    <w:rsid w:val="4D467EC5"/>
    <w:rsid w:val="4D4A3BF2"/>
    <w:rsid w:val="4D4D3AC4"/>
    <w:rsid w:val="4D50781C"/>
    <w:rsid w:val="4D5105F0"/>
    <w:rsid w:val="4D5224A2"/>
    <w:rsid w:val="4D54739D"/>
    <w:rsid w:val="4D574836"/>
    <w:rsid w:val="4D59305D"/>
    <w:rsid w:val="4D5C4AF2"/>
    <w:rsid w:val="4D5C6457"/>
    <w:rsid w:val="4D5D520F"/>
    <w:rsid w:val="4D5E0FB1"/>
    <w:rsid w:val="4D5E6F67"/>
    <w:rsid w:val="4D625031"/>
    <w:rsid w:val="4D6361C4"/>
    <w:rsid w:val="4D6457F8"/>
    <w:rsid w:val="4D6461E5"/>
    <w:rsid w:val="4D710C2A"/>
    <w:rsid w:val="4D72559D"/>
    <w:rsid w:val="4D742BDE"/>
    <w:rsid w:val="4D770DF5"/>
    <w:rsid w:val="4D780DED"/>
    <w:rsid w:val="4D783DF7"/>
    <w:rsid w:val="4D824D55"/>
    <w:rsid w:val="4D835FD1"/>
    <w:rsid w:val="4D856E14"/>
    <w:rsid w:val="4D864324"/>
    <w:rsid w:val="4D8717F2"/>
    <w:rsid w:val="4D896004"/>
    <w:rsid w:val="4D897BAD"/>
    <w:rsid w:val="4D8C2360"/>
    <w:rsid w:val="4D8C522A"/>
    <w:rsid w:val="4D8D7058"/>
    <w:rsid w:val="4D8F64FE"/>
    <w:rsid w:val="4D935985"/>
    <w:rsid w:val="4D957F1B"/>
    <w:rsid w:val="4D961F92"/>
    <w:rsid w:val="4D963E19"/>
    <w:rsid w:val="4D990EEA"/>
    <w:rsid w:val="4D9A0E92"/>
    <w:rsid w:val="4D9B3D1A"/>
    <w:rsid w:val="4D9F68DC"/>
    <w:rsid w:val="4DA307D9"/>
    <w:rsid w:val="4DA40AC8"/>
    <w:rsid w:val="4DA63329"/>
    <w:rsid w:val="4DA64DE9"/>
    <w:rsid w:val="4DA6779F"/>
    <w:rsid w:val="4DAA7A30"/>
    <w:rsid w:val="4DAA7D6B"/>
    <w:rsid w:val="4DAC7B7F"/>
    <w:rsid w:val="4DAD1503"/>
    <w:rsid w:val="4DAF5E9D"/>
    <w:rsid w:val="4DB11B7A"/>
    <w:rsid w:val="4DB710BB"/>
    <w:rsid w:val="4DB81286"/>
    <w:rsid w:val="4DBB2845"/>
    <w:rsid w:val="4DBE4C5F"/>
    <w:rsid w:val="4DBE6A0F"/>
    <w:rsid w:val="4DBE7BD3"/>
    <w:rsid w:val="4DBE7FE3"/>
    <w:rsid w:val="4DC10516"/>
    <w:rsid w:val="4DC21824"/>
    <w:rsid w:val="4DC226E8"/>
    <w:rsid w:val="4DC50522"/>
    <w:rsid w:val="4DC64075"/>
    <w:rsid w:val="4DC92195"/>
    <w:rsid w:val="4DCB03CA"/>
    <w:rsid w:val="4DCD6596"/>
    <w:rsid w:val="4DCF0CC7"/>
    <w:rsid w:val="4DD1703B"/>
    <w:rsid w:val="4DD5457B"/>
    <w:rsid w:val="4DD87F15"/>
    <w:rsid w:val="4DDB00CE"/>
    <w:rsid w:val="4DDB722B"/>
    <w:rsid w:val="4DDC3FBA"/>
    <w:rsid w:val="4DDD08D5"/>
    <w:rsid w:val="4DDF18EE"/>
    <w:rsid w:val="4DE06B5B"/>
    <w:rsid w:val="4DE558EE"/>
    <w:rsid w:val="4DE60D60"/>
    <w:rsid w:val="4DF01B93"/>
    <w:rsid w:val="4DF3560C"/>
    <w:rsid w:val="4DF5660E"/>
    <w:rsid w:val="4DFA18D9"/>
    <w:rsid w:val="4DFA2CD8"/>
    <w:rsid w:val="4E024E30"/>
    <w:rsid w:val="4E046CBF"/>
    <w:rsid w:val="4E0C4687"/>
    <w:rsid w:val="4E0D6A99"/>
    <w:rsid w:val="4E0F2691"/>
    <w:rsid w:val="4E0F73EB"/>
    <w:rsid w:val="4E146074"/>
    <w:rsid w:val="4E180330"/>
    <w:rsid w:val="4E184F3A"/>
    <w:rsid w:val="4E197E03"/>
    <w:rsid w:val="4E1D18F4"/>
    <w:rsid w:val="4E2103EC"/>
    <w:rsid w:val="4E2147E1"/>
    <w:rsid w:val="4E2C180C"/>
    <w:rsid w:val="4E317C56"/>
    <w:rsid w:val="4E321ADB"/>
    <w:rsid w:val="4E353250"/>
    <w:rsid w:val="4E3934F1"/>
    <w:rsid w:val="4E3B2F5F"/>
    <w:rsid w:val="4E3E1774"/>
    <w:rsid w:val="4E4405F7"/>
    <w:rsid w:val="4E462BDB"/>
    <w:rsid w:val="4E4706FF"/>
    <w:rsid w:val="4E472DE4"/>
    <w:rsid w:val="4E490E91"/>
    <w:rsid w:val="4E4C6106"/>
    <w:rsid w:val="4E5056C3"/>
    <w:rsid w:val="4E541DBF"/>
    <w:rsid w:val="4E583DAE"/>
    <w:rsid w:val="4E584769"/>
    <w:rsid w:val="4E5B2518"/>
    <w:rsid w:val="4E5B2789"/>
    <w:rsid w:val="4E5B5139"/>
    <w:rsid w:val="4E5C14E8"/>
    <w:rsid w:val="4E5D0C0D"/>
    <w:rsid w:val="4E5F23DD"/>
    <w:rsid w:val="4E6030DF"/>
    <w:rsid w:val="4E604F48"/>
    <w:rsid w:val="4E670D00"/>
    <w:rsid w:val="4E683AAC"/>
    <w:rsid w:val="4E68777D"/>
    <w:rsid w:val="4E6D1A6A"/>
    <w:rsid w:val="4E6E257E"/>
    <w:rsid w:val="4E6F3733"/>
    <w:rsid w:val="4E702E0F"/>
    <w:rsid w:val="4E707558"/>
    <w:rsid w:val="4E7115F6"/>
    <w:rsid w:val="4E7343AB"/>
    <w:rsid w:val="4E736343"/>
    <w:rsid w:val="4E79774F"/>
    <w:rsid w:val="4E831F19"/>
    <w:rsid w:val="4E891A50"/>
    <w:rsid w:val="4E8B7F4C"/>
    <w:rsid w:val="4E903BBE"/>
    <w:rsid w:val="4E931FAF"/>
    <w:rsid w:val="4E963C99"/>
    <w:rsid w:val="4E9B303E"/>
    <w:rsid w:val="4EA04C05"/>
    <w:rsid w:val="4EA45F3C"/>
    <w:rsid w:val="4EA63C77"/>
    <w:rsid w:val="4EA73F0F"/>
    <w:rsid w:val="4EA831BC"/>
    <w:rsid w:val="4EA84268"/>
    <w:rsid w:val="4EA85BFE"/>
    <w:rsid w:val="4EA97909"/>
    <w:rsid w:val="4EAA7FE0"/>
    <w:rsid w:val="4EAF703B"/>
    <w:rsid w:val="4EB106F4"/>
    <w:rsid w:val="4EB319ED"/>
    <w:rsid w:val="4EB36A88"/>
    <w:rsid w:val="4EB8094F"/>
    <w:rsid w:val="4EB9116F"/>
    <w:rsid w:val="4EBA0C2B"/>
    <w:rsid w:val="4EBB653A"/>
    <w:rsid w:val="4EBD3989"/>
    <w:rsid w:val="4EC70B92"/>
    <w:rsid w:val="4EC84A57"/>
    <w:rsid w:val="4ED351D4"/>
    <w:rsid w:val="4ED572E1"/>
    <w:rsid w:val="4EE118A7"/>
    <w:rsid w:val="4EE23498"/>
    <w:rsid w:val="4EE23C1E"/>
    <w:rsid w:val="4EE34D0E"/>
    <w:rsid w:val="4EE43B82"/>
    <w:rsid w:val="4EE65E96"/>
    <w:rsid w:val="4EE81D24"/>
    <w:rsid w:val="4EE90788"/>
    <w:rsid w:val="4EEA5B50"/>
    <w:rsid w:val="4EEB26DC"/>
    <w:rsid w:val="4EEF1BEC"/>
    <w:rsid w:val="4EF03CEE"/>
    <w:rsid w:val="4EF7109C"/>
    <w:rsid w:val="4EF87191"/>
    <w:rsid w:val="4EFC114C"/>
    <w:rsid w:val="4EFD19E2"/>
    <w:rsid w:val="4EFF592D"/>
    <w:rsid w:val="4F030297"/>
    <w:rsid w:val="4F0364BE"/>
    <w:rsid w:val="4F0819F7"/>
    <w:rsid w:val="4F086736"/>
    <w:rsid w:val="4F0B725E"/>
    <w:rsid w:val="4F0C4DBB"/>
    <w:rsid w:val="4F16653C"/>
    <w:rsid w:val="4F1D6013"/>
    <w:rsid w:val="4F217222"/>
    <w:rsid w:val="4F227E78"/>
    <w:rsid w:val="4F245D6F"/>
    <w:rsid w:val="4F280209"/>
    <w:rsid w:val="4F292066"/>
    <w:rsid w:val="4F2A722C"/>
    <w:rsid w:val="4F2C20D9"/>
    <w:rsid w:val="4F2C30EB"/>
    <w:rsid w:val="4F31021C"/>
    <w:rsid w:val="4F312505"/>
    <w:rsid w:val="4F325F35"/>
    <w:rsid w:val="4F3517EA"/>
    <w:rsid w:val="4F352FCE"/>
    <w:rsid w:val="4F354A1E"/>
    <w:rsid w:val="4F381A8F"/>
    <w:rsid w:val="4F3A5808"/>
    <w:rsid w:val="4F4114C2"/>
    <w:rsid w:val="4F416356"/>
    <w:rsid w:val="4F4178B9"/>
    <w:rsid w:val="4F4325DB"/>
    <w:rsid w:val="4F454E8F"/>
    <w:rsid w:val="4F4904CF"/>
    <w:rsid w:val="4F4E7B24"/>
    <w:rsid w:val="4F501DF8"/>
    <w:rsid w:val="4F5910DA"/>
    <w:rsid w:val="4F593462"/>
    <w:rsid w:val="4F6007F8"/>
    <w:rsid w:val="4F60540E"/>
    <w:rsid w:val="4F677115"/>
    <w:rsid w:val="4F6958BC"/>
    <w:rsid w:val="4F6E725F"/>
    <w:rsid w:val="4F702FD7"/>
    <w:rsid w:val="4F714BD1"/>
    <w:rsid w:val="4F76643C"/>
    <w:rsid w:val="4F791990"/>
    <w:rsid w:val="4F7B7E6F"/>
    <w:rsid w:val="4F7D68A1"/>
    <w:rsid w:val="4F7E1023"/>
    <w:rsid w:val="4F803F38"/>
    <w:rsid w:val="4F86248E"/>
    <w:rsid w:val="4F8E2E7F"/>
    <w:rsid w:val="4F8E4CA8"/>
    <w:rsid w:val="4F8F699A"/>
    <w:rsid w:val="4F9C1546"/>
    <w:rsid w:val="4F9C16A9"/>
    <w:rsid w:val="4F9C3AC0"/>
    <w:rsid w:val="4F9D5785"/>
    <w:rsid w:val="4F9E1107"/>
    <w:rsid w:val="4FA55C43"/>
    <w:rsid w:val="4FA62C07"/>
    <w:rsid w:val="4FA639ED"/>
    <w:rsid w:val="4FAA38E1"/>
    <w:rsid w:val="4FAB0695"/>
    <w:rsid w:val="4FAF4BEF"/>
    <w:rsid w:val="4FB40067"/>
    <w:rsid w:val="4FB61599"/>
    <w:rsid w:val="4FB8672C"/>
    <w:rsid w:val="4FBD464B"/>
    <w:rsid w:val="4FBD727C"/>
    <w:rsid w:val="4FBE517F"/>
    <w:rsid w:val="4FCC2CDA"/>
    <w:rsid w:val="4FCF6F29"/>
    <w:rsid w:val="4FD55621"/>
    <w:rsid w:val="4FD64A2E"/>
    <w:rsid w:val="4FD71B2F"/>
    <w:rsid w:val="4FD74D1B"/>
    <w:rsid w:val="4FD7539F"/>
    <w:rsid w:val="4FD76206"/>
    <w:rsid w:val="4FDB79AB"/>
    <w:rsid w:val="4FDD65F6"/>
    <w:rsid w:val="4FE01EAD"/>
    <w:rsid w:val="4FE6060D"/>
    <w:rsid w:val="4FE91E91"/>
    <w:rsid w:val="4FEB1DB9"/>
    <w:rsid w:val="4FF17F69"/>
    <w:rsid w:val="4FF2708D"/>
    <w:rsid w:val="4FF70CC5"/>
    <w:rsid w:val="4FF97471"/>
    <w:rsid w:val="4FFE2B39"/>
    <w:rsid w:val="4FFE434F"/>
    <w:rsid w:val="4FFE76BD"/>
    <w:rsid w:val="4FFF78F3"/>
    <w:rsid w:val="50000F53"/>
    <w:rsid w:val="50022D12"/>
    <w:rsid w:val="50044B55"/>
    <w:rsid w:val="5009058F"/>
    <w:rsid w:val="500E2941"/>
    <w:rsid w:val="500E69AC"/>
    <w:rsid w:val="50107625"/>
    <w:rsid w:val="5018638A"/>
    <w:rsid w:val="501E0142"/>
    <w:rsid w:val="501E4D8B"/>
    <w:rsid w:val="501F554B"/>
    <w:rsid w:val="50245FA2"/>
    <w:rsid w:val="50275A4A"/>
    <w:rsid w:val="50292CA3"/>
    <w:rsid w:val="502A331B"/>
    <w:rsid w:val="502A339D"/>
    <w:rsid w:val="502B715E"/>
    <w:rsid w:val="50300293"/>
    <w:rsid w:val="503036D6"/>
    <w:rsid w:val="50356D6B"/>
    <w:rsid w:val="503A35E5"/>
    <w:rsid w:val="503B5F34"/>
    <w:rsid w:val="503C22F4"/>
    <w:rsid w:val="503F6ED3"/>
    <w:rsid w:val="50443805"/>
    <w:rsid w:val="50451F3A"/>
    <w:rsid w:val="50455DB5"/>
    <w:rsid w:val="504B29FB"/>
    <w:rsid w:val="504F3AA0"/>
    <w:rsid w:val="50503A3E"/>
    <w:rsid w:val="505446A7"/>
    <w:rsid w:val="5055503F"/>
    <w:rsid w:val="5056532E"/>
    <w:rsid w:val="5057334D"/>
    <w:rsid w:val="505A02AC"/>
    <w:rsid w:val="505C2A2A"/>
    <w:rsid w:val="505C3A3C"/>
    <w:rsid w:val="505F4DFA"/>
    <w:rsid w:val="5060061F"/>
    <w:rsid w:val="5064066A"/>
    <w:rsid w:val="50644208"/>
    <w:rsid w:val="50667BE7"/>
    <w:rsid w:val="506757C9"/>
    <w:rsid w:val="50675F04"/>
    <w:rsid w:val="50677134"/>
    <w:rsid w:val="50691FB3"/>
    <w:rsid w:val="506E0C31"/>
    <w:rsid w:val="506E1947"/>
    <w:rsid w:val="5071244D"/>
    <w:rsid w:val="50722D7F"/>
    <w:rsid w:val="50734326"/>
    <w:rsid w:val="507373A8"/>
    <w:rsid w:val="50745D5D"/>
    <w:rsid w:val="50767D49"/>
    <w:rsid w:val="507B1010"/>
    <w:rsid w:val="5080064E"/>
    <w:rsid w:val="50815D12"/>
    <w:rsid w:val="50881A2F"/>
    <w:rsid w:val="508A2397"/>
    <w:rsid w:val="508B41E7"/>
    <w:rsid w:val="508B5B37"/>
    <w:rsid w:val="508C6425"/>
    <w:rsid w:val="50922785"/>
    <w:rsid w:val="50953913"/>
    <w:rsid w:val="509D475A"/>
    <w:rsid w:val="50A078EC"/>
    <w:rsid w:val="50A234B0"/>
    <w:rsid w:val="50A25654"/>
    <w:rsid w:val="50A454F9"/>
    <w:rsid w:val="50A61BD5"/>
    <w:rsid w:val="50AB5363"/>
    <w:rsid w:val="50AD6935"/>
    <w:rsid w:val="50AE16EE"/>
    <w:rsid w:val="50AF30C6"/>
    <w:rsid w:val="50AF7B2F"/>
    <w:rsid w:val="50B25872"/>
    <w:rsid w:val="50B332A5"/>
    <w:rsid w:val="50B43385"/>
    <w:rsid w:val="50B5051F"/>
    <w:rsid w:val="50B6614D"/>
    <w:rsid w:val="50B8037D"/>
    <w:rsid w:val="50BB0523"/>
    <w:rsid w:val="50BB7C40"/>
    <w:rsid w:val="50C47798"/>
    <w:rsid w:val="50C9621D"/>
    <w:rsid w:val="50C96BB7"/>
    <w:rsid w:val="50D0185E"/>
    <w:rsid w:val="50D40C23"/>
    <w:rsid w:val="50D628BF"/>
    <w:rsid w:val="50D77086"/>
    <w:rsid w:val="50DC4483"/>
    <w:rsid w:val="50DF2586"/>
    <w:rsid w:val="50DF7594"/>
    <w:rsid w:val="50E06CB8"/>
    <w:rsid w:val="50E10F85"/>
    <w:rsid w:val="50E17396"/>
    <w:rsid w:val="50EB5BBE"/>
    <w:rsid w:val="50EC0CFA"/>
    <w:rsid w:val="50F04BF1"/>
    <w:rsid w:val="50F220F6"/>
    <w:rsid w:val="50F447F6"/>
    <w:rsid w:val="50F6715B"/>
    <w:rsid w:val="50F7455D"/>
    <w:rsid w:val="50FA3576"/>
    <w:rsid w:val="50FC6D8B"/>
    <w:rsid w:val="50FE1680"/>
    <w:rsid w:val="50FF6C41"/>
    <w:rsid w:val="51003FA1"/>
    <w:rsid w:val="5105685B"/>
    <w:rsid w:val="51061CFE"/>
    <w:rsid w:val="5107383C"/>
    <w:rsid w:val="51076B59"/>
    <w:rsid w:val="5108407D"/>
    <w:rsid w:val="510A581F"/>
    <w:rsid w:val="510B4D07"/>
    <w:rsid w:val="510C2C67"/>
    <w:rsid w:val="510D02A0"/>
    <w:rsid w:val="510D390E"/>
    <w:rsid w:val="5110210C"/>
    <w:rsid w:val="51102769"/>
    <w:rsid w:val="511173EF"/>
    <w:rsid w:val="51197EFB"/>
    <w:rsid w:val="5120011B"/>
    <w:rsid w:val="512130E5"/>
    <w:rsid w:val="51236638"/>
    <w:rsid w:val="51287979"/>
    <w:rsid w:val="512B1242"/>
    <w:rsid w:val="512B5A0A"/>
    <w:rsid w:val="512B5E85"/>
    <w:rsid w:val="513174A7"/>
    <w:rsid w:val="513C1DD1"/>
    <w:rsid w:val="513D507C"/>
    <w:rsid w:val="513F5D8A"/>
    <w:rsid w:val="514D5C03"/>
    <w:rsid w:val="514E7501"/>
    <w:rsid w:val="515150AB"/>
    <w:rsid w:val="515608C5"/>
    <w:rsid w:val="51566098"/>
    <w:rsid w:val="51587126"/>
    <w:rsid w:val="51593D96"/>
    <w:rsid w:val="51612138"/>
    <w:rsid w:val="51681B37"/>
    <w:rsid w:val="51734565"/>
    <w:rsid w:val="517631C7"/>
    <w:rsid w:val="51774DB4"/>
    <w:rsid w:val="517862DB"/>
    <w:rsid w:val="51790B97"/>
    <w:rsid w:val="5179117C"/>
    <w:rsid w:val="517F5754"/>
    <w:rsid w:val="517F7502"/>
    <w:rsid w:val="5181508E"/>
    <w:rsid w:val="5186564C"/>
    <w:rsid w:val="51876EC8"/>
    <w:rsid w:val="51877591"/>
    <w:rsid w:val="51886873"/>
    <w:rsid w:val="51895880"/>
    <w:rsid w:val="51897ADA"/>
    <w:rsid w:val="518A6350"/>
    <w:rsid w:val="518B38D3"/>
    <w:rsid w:val="518B7E86"/>
    <w:rsid w:val="518C4783"/>
    <w:rsid w:val="518E0E90"/>
    <w:rsid w:val="518F324C"/>
    <w:rsid w:val="519011EC"/>
    <w:rsid w:val="51913293"/>
    <w:rsid w:val="51932FAD"/>
    <w:rsid w:val="51944855"/>
    <w:rsid w:val="51966543"/>
    <w:rsid w:val="519759FD"/>
    <w:rsid w:val="5198152D"/>
    <w:rsid w:val="51A0772B"/>
    <w:rsid w:val="51A10EB8"/>
    <w:rsid w:val="51A935A4"/>
    <w:rsid w:val="51AC506D"/>
    <w:rsid w:val="51B037FC"/>
    <w:rsid w:val="51B03E6A"/>
    <w:rsid w:val="51B129DF"/>
    <w:rsid w:val="51B22E96"/>
    <w:rsid w:val="51B2487B"/>
    <w:rsid w:val="51B54A88"/>
    <w:rsid w:val="51BE5AF5"/>
    <w:rsid w:val="51BF17E7"/>
    <w:rsid w:val="51BF41A1"/>
    <w:rsid w:val="51C07B1A"/>
    <w:rsid w:val="51C45EE0"/>
    <w:rsid w:val="51CA69DE"/>
    <w:rsid w:val="51CF0430"/>
    <w:rsid w:val="51D1374B"/>
    <w:rsid w:val="51D40D2E"/>
    <w:rsid w:val="51D55AB8"/>
    <w:rsid w:val="51DE0DEB"/>
    <w:rsid w:val="51E24794"/>
    <w:rsid w:val="51E5197A"/>
    <w:rsid w:val="51E72118"/>
    <w:rsid w:val="51E92E1B"/>
    <w:rsid w:val="51F24EC7"/>
    <w:rsid w:val="51F4202F"/>
    <w:rsid w:val="51F81106"/>
    <w:rsid w:val="51F8315B"/>
    <w:rsid w:val="52004282"/>
    <w:rsid w:val="52005A07"/>
    <w:rsid w:val="52034E92"/>
    <w:rsid w:val="5205264B"/>
    <w:rsid w:val="52081224"/>
    <w:rsid w:val="52093D7A"/>
    <w:rsid w:val="520A2EAB"/>
    <w:rsid w:val="520D08F9"/>
    <w:rsid w:val="520D3B5B"/>
    <w:rsid w:val="520D54CF"/>
    <w:rsid w:val="520E6E0C"/>
    <w:rsid w:val="520F7406"/>
    <w:rsid w:val="52124412"/>
    <w:rsid w:val="521554F7"/>
    <w:rsid w:val="52176C91"/>
    <w:rsid w:val="521E291A"/>
    <w:rsid w:val="521F0CE5"/>
    <w:rsid w:val="52237E3D"/>
    <w:rsid w:val="52293618"/>
    <w:rsid w:val="522A1BDE"/>
    <w:rsid w:val="522D63FC"/>
    <w:rsid w:val="52305170"/>
    <w:rsid w:val="52345602"/>
    <w:rsid w:val="523548E0"/>
    <w:rsid w:val="52357315"/>
    <w:rsid w:val="523701EA"/>
    <w:rsid w:val="523742D0"/>
    <w:rsid w:val="52375DDA"/>
    <w:rsid w:val="523E600B"/>
    <w:rsid w:val="5245312D"/>
    <w:rsid w:val="52462D96"/>
    <w:rsid w:val="52474763"/>
    <w:rsid w:val="52481128"/>
    <w:rsid w:val="52491EAE"/>
    <w:rsid w:val="52493EDA"/>
    <w:rsid w:val="5249506F"/>
    <w:rsid w:val="524A395C"/>
    <w:rsid w:val="524F57CA"/>
    <w:rsid w:val="524F6012"/>
    <w:rsid w:val="52504240"/>
    <w:rsid w:val="52524E99"/>
    <w:rsid w:val="52541CA2"/>
    <w:rsid w:val="525462FC"/>
    <w:rsid w:val="52554D3C"/>
    <w:rsid w:val="525B3CFF"/>
    <w:rsid w:val="525C142B"/>
    <w:rsid w:val="525F37F0"/>
    <w:rsid w:val="52606C95"/>
    <w:rsid w:val="526101CE"/>
    <w:rsid w:val="526160CB"/>
    <w:rsid w:val="52626C5A"/>
    <w:rsid w:val="52636A49"/>
    <w:rsid w:val="52652009"/>
    <w:rsid w:val="52671AF8"/>
    <w:rsid w:val="52682FC1"/>
    <w:rsid w:val="526D37F6"/>
    <w:rsid w:val="52742367"/>
    <w:rsid w:val="527654BD"/>
    <w:rsid w:val="527A5F1B"/>
    <w:rsid w:val="527E176A"/>
    <w:rsid w:val="527F6F49"/>
    <w:rsid w:val="5285323E"/>
    <w:rsid w:val="528613D1"/>
    <w:rsid w:val="5287106C"/>
    <w:rsid w:val="528A7016"/>
    <w:rsid w:val="52906443"/>
    <w:rsid w:val="52911193"/>
    <w:rsid w:val="529278EE"/>
    <w:rsid w:val="5293270C"/>
    <w:rsid w:val="52944461"/>
    <w:rsid w:val="529856CD"/>
    <w:rsid w:val="529B653C"/>
    <w:rsid w:val="529D34AC"/>
    <w:rsid w:val="52A00B6F"/>
    <w:rsid w:val="52A04EE9"/>
    <w:rsid w:val="52A176C7"/>
    <w:rsid w:val="52A21840"/>
    <w:rsid w:val="52A33F39"/>
    <w:rsid w:val="52A462B0"/>
    <w:rsid w:val="52A66D10"/>
    <w:rsid w:val="52A9483A"/>
    <w:rsid w:val="52AA2CA4"/>
    <w:rsid w:val="52AD5545"/>
    <w:rsid w:val="52B01305"/>
    <w:rsid w:val="52B04AA5"/>
    <w:rsid w:val="52B30F99"/>
    <w:rsid w:val="52B60925"/>
    <w:rsid w:val="52B6356F"/>
    <w:rsid w:val="52B9451C"/>
    <w:rsid w:val="52BA5378"/>
    <w:rsid w:val="52BB27AC"/>
    <w:rsid w:val="52C04529"/>
    <w:rsid w:val="52C5188C"/>
    <w:rsid w:val="52C57E0A"/>
    <w:rsid w:val="52C64BA8"/>
    <w:rsid w:val="52CB356C"/>
    <w:rsid w:val="52CC5182"/>
    <w:rsid w:val="52D16462"/>
    <w:rsid w:val="52D6722B"/>
    <w:rsid w:val="52D832B5"/>
    <w:rsid w:val="52DA544A"/>
    <w:rsid w:val="52DB29B8"/>
    <w:rsid w:val="52DD04EF"/>
    <w:rsid w:val="52DD713B"/>
    <w:rsid w:val="52E033B1"/>
    <w:rsid w:val="52E27037"/>
    <w:rsid w:val="52E27D7D"/>
    <w:rsid w:val="52E53B3F"/>
    <w:rsid w:val="52E53DD7"/>
    <w:rsid w:val="52E755CA"/>
    <w:rsid w:val="52E874C6"/>
    <w:rsid w:val="52E91C09"/>
    <w:rsid w:val="52EB2ADA"/>
    <w:rsid w:val="52EB5F7E"/>
    <w:rsid w:val="52EC061A"/>
    <w:rsid w:val="52F05F8B"/>
    <w:rsid w:val="52F22936"/>
    <w:rsid w:val="52F37F7C"/>
    <w:rsid w:val="52F449C9"/>
    <w:rsid w:val="52FD4C7D"/>
    <w:rsid w:val="530043CA"/>
    <w:rsid w:val="5305001C"/>
    <w:rsid w:val="53055B76"/>
    <w:rsid w:val="53057EC9"/>
    <w:rsid w:val="53062113"/>
    <w:rsid w:val="53071048"/>
    <w:rsid w:val="53077CA5"/>
    <w:rsid w:val="530F3ED3"/>
    <w:rsid w:val="53103E45"/>
    <w:rsid w:val="53110694"/>
    <w:rsid w:val="53121F4E"/>
    <w:rsid w:val="53164666"/>
    <w:rsid w:val="53172E57"/>
    <w:rsid w:val="531A6034"/>
    <w:rsid w:val="531D6B94"/>
    <w:rsid w:val="531E66F5"/>
    <w:rsid w:val="532246FE"/>
    <w:rsid w:val="53232FAC"/>
    <w:rsid w:val="53233AFF"/>
    <w:rsid w:val="532358A7"/>
    <w:rsid w:val="532370CB"/>
    <w:rsid w:val="53246B24"/>
    <w:rsid w:val="53251E40"/>
    <w:rsid w:val="5326355A"/>
    <w:rsid w:val="53267F75"/>
    <w:rsid w:val="53291D9A"/>
    <w:rsid w:val="532E5C60"/>
    <w:rsid w:val="532F5784"/>
    <w:rsid w:val="5333389E"/>
    <w:rsid w:val="533472B4"/>
    <w:rsid w:val="533802B0"/>
    <w:rsid w:val="533C1AC2"/>
    <w:rsid w:val="533C29EB"/>
    <w:rsid w:val="533E4E87"/>
    <w:rsid w:val="5349505E"/>
    <w:rsid w:val="534F749A"/>
    <w:rsid w:val="53541439"/>
    <w:rsid w:val="535449BE"/>
    <w:rsid w:val="53575AA3"/>
    <w:rsid w:val="535A49A5"/>
    <w:rsid w:val="535D1FBC"/>
    <w:rsid w:val="535D4EAE"/>
    <w:rsid w:val="535D5CC5"/>
    <w:rsid w:val="535E0A8A"/>
    <w:rsid w:val="535E2397"/>
    <w:rsid w:val="536128DE"/>
    <w:rsid w:val="536742CC"/>
    <w:rsid w:val="53676D18"/>
    <w:rsid w:val="536A2C05"/>
    <w:rsid w:val="536F6815"/>
    <w:rsid w:val="53715845"/>
    <w:rsid w:val="5372473F"/>
    <w:rsid w:val="53742986"/>
    <w:rsid w:val="53755060"/>
    <w:rsid w:val="53762B81"/>
    <w:rsid w:val="537978CF"/>
    <w:rsid w:val="537B1BB1"/>
    <w:rsid w:val="537D061F"/>
    <w:rsid w:val="537E1A3B"/>
    <w:rsid w:val="538103E7"/>
    <w:rsid w:val="538509A9"/>
    <w:rsid w:val="538639B1"/>
    <w:rsid w:val="53880F69"/>
    <w:rsid w:val="538E65C1"/>
    <w:rsid w:val="53922EF7"/>
    <w:rsid w:val="539C64F4"/>
    <w:rsid w:val="539D5FA9"/>
    <w:rsid w:val="539F7C71"/>
    <w:rsid w:val="53A60BA8"/>
    <w:rsid w:val="53A743A4"/>
    <w:rsid w:val="53A8257D"/>
    <w:rsid w:val="53AD6898"/>
    <w:rsid w:val="53AF7A59"/>
    <w:rsid w:val="53B10062"/>
    <w:rsid w:val="53B476FF"/>
    <w:rsid w:val="53B53959"/>
    <w:rsid w:val="53B66053"/>
    <w:rsid w:val="53B70141"/>
    <w:rsid w:val="53B73924"/>
    <w:rsid w:val="53BE14E8"/>
    <w:rsid w:val="53BE57A1"/>
    <w:rsid w:val="53C0331C"/>
    <w:rsid w:val="53C06877"/>
    <w:rsid w:val="53C10D5C"/>
    <w:rsid w:val="53C44B1A"/>
    <w:rsid w:val="53CD3918"/>
    <w:rsid w:val="53CF51AB"/>
    <w:rsid w:val="53D3304A"/>
    <w:rsid w:val="53D352E6"/>
    <w:rsid w:val="53D505EF"/>
    <w:rsid w:val="53D61877"/>
    <w:rsid w:val="53D766AF"/>
    <w:rsid w:val="53DA423D"/>
    <w:rsid w:val="53E13C75"/>
    <w:rsid w:val="53E279B5"/>
    <w:rsid w:val="53E30BE0"/>
    <w:rsid w:val="53E341A7"/>
    <w:rsid w:val="53E50447"/>
    <w:rsid w:val="53E71813"/>
    <w:rsid w:val="53E73654"/>
    <w:rsid w:val="53EA5A87"/>
    <w:rsid w:val="53EC07DA"/>
    <w:rsid w:val="53EE61B7"/>
    <w:rsid w:val="53F54759"/>
    <w:rsid w:val="53F6468C"/>
    <w:rsid w:val="53FB7825"/>
    <w:rsid w:val="53FC5908"/>
    <w:rsid w:val="54002583"/>
    <w:rsid w:val="540A7ECF"/>
    <w:rsid w:val="540E09B9"/>
    <w:rsid w:val="540F054F"/>
    <w:rsid w:val="54103DD4"/>
    <w:rsid w:val="54104215"/>
    <w:rsid w:val="54123FF7"/>
    <w:rsid w:val="54150E7E"/>
    <w:rsid w:val="541B2F5B"/>
    <w:rsid w:val="541B3CC4"/>
    <w:rsid w:val="54207519"/>
    <w:rsid w:val="542520B4"/>
    <w:rsid w:val="5426635A"/>
    <w:rsid w:val="542D6B2D"/>
    <w:rsid w:val="542E1A5D"/>
    <w:rsid w:val="543534D1"/>
    <w:rsid w:val="54391ECB"/>
    <w:rsid w:val="54396EBE"/>
    <w:rsid w:val="543C3DD0"/>
    <w:rsid w:val="5440186A"/>
    <w:rsid w:val="54425644"/>
    <w:rsid w:val="544441DF"/>
    <w:rsid w:val="54461191"/>
    <w:rsid w:val="544D5CD8"/>
    <w:rsid w:val="545F144A"/>
    <w:rsid w:val="5463310B"/>
    <w:rsid w:val="546341FB"/>
    <w:rsid w:val="54642BCA"/>
    <w:rsid w:val="54750B59"/>
    <w:rsid w:val="5475382D"/>
    <w:rsid w:val="547642F7"/>
    <w:rsid w:val="547A27C4"/>
    <w:rsid w:val="547A48F8"/>
    <w:rsid w:val="547F22D8"/>
    <w:rsid w:val="54815C87"/>
    <w:rsid w:val="54840B3F"/>
    <w:rsid w:val="54860203"/>
    <w:rsid w:val="54863D42"/>
    <w:rsid w:val="54874D2A"/>
    <w:rsid w:val="54876A43"/>
    <w:rsid w:val="54891439"/>
    <w:rsid w:val="548B0D85"/>
    <w:rsid w:val="548C0CEF"/>
    <w:rsid w:val="548C12C1"/>
    <w:rsid w:val="548C16B2"/>
    <w:rsid w:val="54935398"/>
    <w:rsid w:val="54954FC0"/>
    <w:rsid w:val="54977EEA"/>
    <w:rsid w:val="54980D2D"/>
    <w:rsid w:val="549A316E"/>
    <w:rsid w:val="549F523F"/>
    <w:rsid w:val="549F6090"/>
    <w:rsid w:val="54A203AA"/>
    <w:rsid w:val="54A32783"/>
    <w:rsid w:val="54A46F58"/>
    <w:rsid w:val="54A76C80"/>
    <w:rsid w:val="54A83508"/>
    <w:rsid w:val="54A95E9D"/>
    <w:rsid w:val="54AA0902"/>
    <w:rsid w:val="54AB40D2"/>
    <w:rsid w:val="54AD5D40"/>
    <w:rsid w:val="54AE00FE"/>
    <w:rsid w:val="54B009C5"/>
    <w:rsid w:val="54B01609"/>
    <w:rsid w:val="54B03471"/>
    <w:rsid w:val="54B06227"/>
    <w:rsid w:val="54BA467E"/>
    <w:rsid w:val="54BB383D"/>
    <w:rsid w:val="54C1081F"/>
    <w:rsid w:val="54C37AFE"/>
    <w:rsid w:val="54C91812"/>
    <w:rsid w:val="54D12267"/>
    <w:rsid w:val="54D659A5"/>
    <w:rsid w:val="54DA328B"/>
    <w:rsid w:val="54DB539D"/>
    <w:rsid w:val="54DC700E"/>
    <w:rsid w:val="54DF34A6"/>
    <w:rsid w:val="54E505A3"/>
    <w:rsid w:val="54E61646"/>
    <w:rsid w:val="54E82550"/>
    <w:rsid w:val="54E8428B"/>
    <w:rsid w:val="54EB6E3B"/>
    <w:rsid w:val="54EC08AB"/>
    <w:rsid w:val="54EC6C66"/>
    <w:rsid w:val="54EF0214"/>
    <w:rsid w:val="54F7294B"/>
    <w:rsid w:val="54F904D6"/>
    <w:rsid w:val="54F92092"/>
    <w:rsid w:val="54F94FB8"/>
    <w:rsid w:val="54FC7F2F"/>
    <w:rsid w:val="54FD3AAB"/>
    <w:rsid w:val="54FE05A2"/>
    <w:rsid w:val="550026F3"/>
    <w:rsid w:val="5503044A"/>
    <w:rsid w:val="550653F2"/>
    <w:rsid w:val="55067F3A"/>
    <w:rsid w:val="55101524"/>
    <w:rsid w:val="55122D9F"/>
    <w:rsid w:val="55124F26"/>
    <w:rsid w:val="5513091A"/>
    <w:rsid w:val="55155149"/>
    <w:rsid w:val="551A4DC8"/>
    <w:rsid w:val="551F1C27"/>
    <w:rsid w:val="55205FDE"/>
    <w:rsid w:val="55207626"/>
    <w:rsid w:val="552109A7"/>
    <w:rsid w:val="55215CEB"/>
    <w:rsid w:val="55231592"/>
    <w:rsid w:val="55275C92"/>
    <w:rsid w:val="552A691D"/>
    <w:rsid w:val="552B300E"/>
    <w:rsid w:val="552C3484"/>
    <w:rsid w:val="552D4D5E"/>
    <w:rsid w:val="552F009A"/>
    <w:rsid w:val="552F108E"/>
    <w:rsid w:val="5533583F"/>
    <w:rsid w:val="55344AA7"/>
    <w:rsid w:val="55387C97"/>
    <w:rsid w:val="553A2C6B"/>
    <w:rsid w:val="553E5213"/>
    <w:rsid w:val="55415C4D"/>
    <w:rsid w:val="5546419D"/>
    <w:rsid w:val="55496AAC"/>
    <w:rsid w:val="554A3265"/>
    <w:rsid w:val="554A7B4E"/>
    <w:rsid w:val="554D1966"/>
    <w:rsid w:val="55517DC1"/>
    <w:rsid w:val="555A0C0E"/>
    <w:rsid w:val="555B55B7"/>
    <w:rsid w:val="555D2250"/>
    <w:rsid w:val="556328A1"/>
    <w:rsid w:val="556A6CFF"/>
    <w:rsid w:val="556D10E1"/>
    <w:rsid w:val="556D4EFF"/>
    <w:rsid w:val="55702D78"/>
    <w:rsid w:val="5572786B"/>
    <w:rsid w:val="557502C4"/>
    <w:rsid w:val="55766E6E"/>
    <w:rsid w:val="55791EA9"/>
    <w:rsid w:val="557A2342"/>
    <w:rsid w:val="557B4F26"/>
    <w:rsid w:val="557D7719"/>
    <w:rsid w:val="557E03CA"/>
    <w:rsid w:val="557E6182"/>
    <w:rsid w:val="558025D6"/>
    <w:rsid w:val="5580576A"/>
    <w:rsid w:val="558167EB"/>
    <w:rsid w:val="55831021"/>
    <w:rsid w:val="55832828"/>
    <w:rsid w:val="55866C75"/>
    <w:rsid w:val="558C5D39"/>
    <w:rsid w:val="559025A9"/>
    <w:rsid w:val="55912D02"/>
    <w:rsid w:val="5591481E"/>
    <w:rsid w:val="55944763"/>
    <w:rsid w:val="559A33E2"/>
    <w:rsid w:val="559E46BC"/>
    <w:rsid w:val="559F1AE0"/>
    <w:rsid w:val="55A40318"/>
    <w:rsid w:val="55AC1291"/>
    <w:rsid w:val="55B10AB3"/>
    <w:rsid w:val="55B141AE"/>
    <w:rsid w:val="55B87604"/>
    <w:rsid w:val="55BC70E3"/>
    <w:rsid w:val="55BD0515"/>
    <w:rsid w:val="55BE3408"/>
    <w:rsid w:val="55BF10BB"/>
    <w:rsid w:val="55C12EFE"/>
    <w:rsid w:val="55C33503"/>
    <w:rsid w:val="55C43A6D"/>
    <w:rsid w:val="55C5279D"/>
    <w:rsid w:val="55CB0B45"/>
    <w:rsid w:val="55D621E3"/>
    <w:rsid w:val="55D766B3"/>
    <w:rsid w:val="55DA26EE"/>
    <w:rsid w:val="55DC2C54"/>
    <w:rsid w:val="55DC413C"/>
    <w:rsid w:val="55E0618A"/>
    <w:rsid w:val="55E52F3F"/>
    <w:rsid w:val="55E82FC9"/>
    <w:rsid w:val="55EB7E69"/>
    <w:rsid w:val="55ED09B7"/>
    <w:rsid w:val="55F22FE4"/>
    <w:rsid w:val="55F35663"/>
    <w:rsid w:val="55F6724E"/>
    <w:rsid w:val="55F860B4"/>
    <w:rsid w:val="55FC5927"/>
    <w:rsid w:val="56026953"/>
    <w:rsid w:val="560672D8"/>
    <w:rsid w:val="5607307F"/>
    <w:rsid w:val="560C2B0E"/>
    <w:rsid w:val="560C7C75"/>
    <w:rsid w:val="560F1944"/>
    <w:rsid w:val="56116B96"/>
    <w:rsid w:val="56151E85"/>
    <w:rsid w:val="561659A8"/>
    <w:rsid w:val="56167959"/>
    <w:rsid w:val="561A1E51"/>
    <w:rsid w:val="56222892"/>
    <w:rsid w:val="56243838"/>
    <w:rsid w:val="562F00C3"/>
    <w:rsid w:val="56307C21"/>
    <w:rsid w:val="5637465C"/>
    <w:rsid w:val="56382AF3"/>
    <w:rsid w:val="563A1D2D"/>
    <w:rsid w:val="563D643E"/>
    <w:rsid w:val="563E0379"/>
    <w:rsid w:val="56443E4F"/>
    <w:rsid w:val="56457DB1"/>
    <w:rsid w:val="564754BF"/>
    <w:rsid w:val="5651282D"/>
    <w:rsid w:val="56530C3C"/>
    <w:rsid w:val="56532AA2"/>
    <w:rsid w:val="56557AA7"/>
    <w:rsid w:val="565A6FAE"/>
    <w:rsid w:val="565D3695"/>
    <w:rsid w:val="565E4F9F"/>
    <w:rsid w:val="565F5964"/>
    <w:rsid w:val="56602CF9"/>
    <w:rsid w:val="5661438B"/>
    <w:rsid w:val="56640307"/>
    <w:rsid w:val="56660B41"/>
    <w:rsid w:val="566627A4"/>
    <w:rsid w:val="5667482A"/>
    <w:rsid w:val="566B273B"/>
    <w:rsid w:val="566E223B"/>
    <w:rsid w:val="56725F6F"/>
    <w:rsid w:val="5676236B"/>
    <w:rsid w:val="56777E21"/>
    <w:rsid w:val="567800FD"/>
    <w:rsid w:val="567C7B7C"/>
    <w:rsid w:val="5681559F"/>
    <w:rsid w:val="56815ACA"/>
    <w:rsid w:val="56830D7B"/>
    <w:rsid w:val="56885DF8"/>
    <w:rsid w:val="568E138E"/>
    <w:rsid w:val="5694135E"/>
    <w:rsid w:val="569C2596"/>
    <w:rsid w:val="569D62EC"/>
    <w:rsid w:val="569F0117"/>
    <w:rsid w:val="569F38CC"/>
    <w:rsid w:val="56A81045"/>
    <w:rsid w:val="56A812A9"/>
    <w:rsid w:val="56AB6FEB"/>
    <w:rsid w:val="56AC14BF"/>
    <w:rsid w:val="56B459E7"/>
    <w:rsid w:val="56B56E6A"/>
    <w:rsid w:val="56B72543"/>
    <w:rsid w:val="56BA1CD6"/>
    <w:rsid w:val="56BD08C4"/>
    <w:rsid w:val="56BF0354"/>
    <w:rsid w:val="56BF103F"/>
    <w:rsid w:val="56C609F4"/>
    <w:rsid w:val="56C649F9"/>
    <w:rsid w:val="56C77321"/>
    <w:rsid w:val="56CF05F7"/>
    <w:rsid w:val="56D0702A"/>
    <w:rsid w:val="56D17863"/>
    <w:rsid w:val="56D45149"/>
    <w:rsid w:val="56D71B8E"/>
    <w:rsid w:val="56D8321F"/>
    <w:rsid w:val="56D90149"/>
    <w:rsid w:val="56DC5A53"/>
    <w:rsid w:val="56E346BD"/>
    <w:rsid w:val="56F94902"/>
    <w:rsid w:val="56FC0E19"/>
    <w:rsid w:val="56FC33A3"/>
    <w:rsid w:val="57014A64"/>
    <w:rsid w:val="57047A2A"/>
    <w:rsid w:val="57050988"/>
    <w:rsid w:val="570549BD"/>
    <w:rsid w:val="57072BD8"/>
    <w:rsid w:val="570A2782"/>
    <w:rsid w:val="570E037A"/>
    <w:rsid w:val="570E2112"/>
    <w:rsid w:val="571650CE"/>
    <w:rsid w:val="57172725"/>
    <w:rsid w:val="571C731B"/>
    <w:rsid w:val="57200BDB"/>
    <w:rsid w:val="57204676"/>
    <w:rsid w:val="5722593A"/>
    <w:rsid w:val="57230E7B"/>
    <w:rsid w:val="57231C25"/>
    <w:rsid w:val="5724270A"/>
    <w:rsid w:val="5729108D"/>
    <w:rsid w:val="5729186D"/>
    <w:rsid w:val="572B6D33"/>
    <w:rsid w:val="572D0106"/>
    <w:rsid w:val="572D0BCB"/>
    <w:rsid w:val="5730129E"/>
    <w:rsid w:val="5738309B"/>
    <w:rsid w:val="573B6229"/>
    <w:rsid w:val="573D0632"/>
    <w:rsid w:val="573E138D"/>
    <w:rsid w:val="574053DD"/>
    <w:rsid w:val="5744575B"/>
    <w:rsid w:val="57476390"/>
    <w:rsid w:val="5748075A"/>
    <w:rsid w:val="574D37D2"/>
    <w:rsid w:val="57584D33"/>
    <w:rsid w:val="575A005E"/>
    <w:rsid w:val="5761732B"/>
    <w:rsid w:val="576206A9"/>
    <w:rsid w:val="57655762"/>
    <w:rsid w:val="5768462B"/>
    <w:rsid w:val="576C0601"/>
    <w:rsid w:val="576C2E26"/>
    <w:rsid w:val="577431D4"/>
    <w:rsid w:val="577472FC"/>
    <w:rsid w:val="5778605C"/>
    <w:rsid w:val="577C032F"/>
    <w:rsid w:val="578035AF"/>
    <w:rsid w:val="5780637F"/>
    <w:rsid w:val="57826FBD"/>
    <w:rsid w:val="57844348"/>
    <w:rsid w:val="57846980"/>
    <w:rsid w:val="578778BB"/>
    <w:rsid w:val="57893228"/>
    <w:rsid w:val="578A2ACA"/>
    <w:rsid w:val="578C3B2F"/>
    <w:rsid w:val="578D69B7"/>
    <w:rsid w:val="578F06BB"/>
    <w:rsid w:val="578F7D81"/>
    <w:rsid w:val="579455A3"/>
    <w:rsid w:val="57954D31"/>
    <w:rsid w:val="57956157"/>
    <w:rsid w:val="57A14C65"/>
    <w:rsid w:val="57A365BA"/>
    <w:rsid w:val="57A504D8"/>
    <w:rsid w:val="57A557E8"/>
    <w:rsid w:val="57AA1B19"/>
    <w:rsid w:val="57AA5321"/>
    <w:rsid w:val="57B1691C"/>
    <w:rsid w:val="57B21192"/>
    <w:rsid w:val="57B40121"/>
    <w:rsid w:val="57B632C9"/>
    <w:rsid w:val="57BC6526"/>
    <w:rsid w:val="57BE512E"/>
    <w:rsid w:val="57C02ECC"/>
    <w:rsid w:val="57C06AC6"/>
    <w:rsid w:val="57C2283E"/>
    <w:rsid w:val="57C93911"/>
    <w:rsid w:val="57C9790E"/>
    <w:rsid w:val="57CA425B"/>
    <w:rsid w:val="57CC7594"/>
    <w:rsid w:val="57CD09B2"/>
    <w:rsid w:val="57CF0A9D"/>
    <w:rsid w:val="57D13339"/>
    <w:rsid w:val="57D37863"/>
    <w:rsid w:val="57D61D7E"/>
    <w:rsid w:val="57DC7F73"/>
    <w:rsid w:val="57DD0571"/>
    <w:rsid w:val="57DD47DC"/>
    <w:rsid w:val="57E66F99"/>
    <w:rsid w:val="57E94E73"/>
    <w:rsid w:val="57EE1B22"/>
    <w:rsid w:val="57EE4A4F"/>
    <w:rsid w:val="57F102AF"/>
    <w:rsid w:val="57F13E10"/>
    <w:rsid w:val="57F356E2"/>
    <w:rsid w:val="57F91161"/>
    <w:rsid w:val="57F975EF"/>
    <w:rsid w:val="57F97676"/>
    <w:rsid w:val="57FA2037"/>
    <w:rsid w:val="57FA6187"/>
    <w:rsid w:val="57FB11E4"/>
    <w:rsid w:val="57FD2672"/>
    <w:rsid w:val="57FE3992"/>
    <w:rsid w:val="57FF165E"/>
    <w:rsid w:val="57FF779C"/>
    <w:rsid w:val="58052024"/>
    <w:rsid w:val="580A4668"/>
    <w:rsid w:val="580B15D9"/>
    <w:rsid w:val="58114217"/>
    <w:rsid w:val="58117FD1"/>
    <w:rsid w:val="58123541"/>
    <w:rsid w:val="581D1822"/>
    <w:rsid w:val="5820606F"/>
    <w:rsid w:val="58230761"/>
    <w:rsid w:val="5826708C"/>
    <w:rsid w:val="5827330C"/>
    <w:rsid w:val="5827709F"/>
    <w:rsid w:val="582C646F"/>
    <w:rsid w:val="58307FD2"/>
    <w:rsid w:val="583B7786"/>
    <w:rsid w:val="583F408D"/>
    <w:rsid w:val="58402F4C"/>
    <w:rsid w:val="58473C05"/>
    <w:rsid w:val="584C5B18"/>
    <w:rsid w:val="584F0CD3"/>
    <w:rsid w:val="584F3B75"/>
    <w:rsid w:val="5854674E"/>
    <w:rsid w:val="58584CE4"/>
    <w:rsid w:val="585B2BBE"/>
    <w:rsid w:val="585D2137"/>
    <w:rsid w:val="585D23DB"/>
    <w:rsid w:val="585E353C"/>
    <w:rsid w:val="585F5E3A"/>
    <w:rsid w:val="58620DA0"/>
    <w:rsid w:val="586252C7"/>
    <w:rsid w:val="586D7B10"/>
    <w:rsid w:val="586E1700"/>
    <w:rsid w:val="58721998"/>
    <w:rsid w:val="58727E11"/>
    <w:rsid w:val="58764E3F"/>
    <w:rsid w:val="58797795"/>
    <w:rsid w:val="587B2BDD"/>
    <w:rsid w:val="587D5819"/>
    <w:rsid w:val="587D6349"/>
    <w:rsid w:val="587F1198"/>
    <w:rsid w:val="588036FB"/>
    <w:rsid w:val="588049C5"/>
    <w:rsid w:val="588221FD"/>
    <w:rsid w:val="58822DAE"/>
    <w:rsid w:val="58827796"/>
    <w:rsid w:val="588A55FC"/>
    <w:rsid w:val="588B21FA"/>
    <w:rsid w:val="588B6AC3"/>
    <w:rsid w:val="588E495A"/>
    <w:rsid w:val="588E4DA6"/>
    <w:rsid w:val="588F36C2"/>
    <w:rsid w:val="58905F13"/>
    <w:rsid w:val="5893725D"/>
    <w:rsid w:val="58940678"/>
    <w:rsid w:val="589502E7"/>
    <w:rsid w:val="58960DDB"/>
    <w:rsid w:val="58976421"/>
    <w:rsid w:val="589A1A15"/>
    <w:rsid w:val="589C308F"/>
    <w:rsid w:val="589E636B"/>
    <w:rsid w:val="58A07AD7"/>
    <w:rsid w:val="58A12EE5"/>
    <w:rsid w:val="58A6778E"/>
    <w:rsid w:val="58AA6530"/>
    <w:rsid w:val="58AB4E57"/>
    <w:rsid w:val="58AD32B7"/>
    <w:rsid w:val="58B43CF3"/>
    <w:rsid w:val="58B9157F"/>
    <w:rsid w:val="58BA32F5"/>
    <w:rsid w:val="58C00B31"/>
    <w:rsid w:val="58C168EF"/>
    <w:rsid w:val="58C252F3"/>
    <w:rsid w:val="58C27FAF"/>
    <w:rsid w:val="58C72B84"/>
    <w:rsid w:val="58C8064E"/>
    <w:rsid w:val="58CA2BB6"/>
    <w:rsid w:val="58CD6F98"/>
    <w:rsid w:val="58CE125E"/>
    <w:rsid w:val="58CF5213"/>
    <w:rsid w:val="58D17E41"/>
    <w:rsid w:val="58D459FB"/>
    <w:rsid w:val="58D53DD9"/>
    <w:rsid w:val="58DA2BA4"/>
    <w:rsid w:val="58DB0920"/>
    <w:rsid w:val="58DC431F"/>
    <w:rsid w:val="58E16F32"/>
    <w:rsid w:val="58E35EA4"/>
    <w:rsid w:val="58E9099D"/>
    <w:rsid w:val="58EA16BD"/>
    <w:rsid w:val="58F06A48"/>
    <w:rsid w:val="58F41801"/>
    <w:rsid w:val="58FC45FB"/>
    <w:rsid w:val="58FC6723"/>
    <w:rsid w:val="58FE6062"/>
    <w:rsid w:val="590002B0"/>
    <w:rsid w:val="59012283"/>
    <w:rsid w:val="5901734E"/>
    <w:rsid w:val="59042D1D"/>
    <w:rsid w:val="5905135D"/>
    <w:rsid w:val="5907038F"/>
    <w:rsid w:val="5908530E"/>
    <w:rsid w:val="59095E98"/>
    <w:rsid w:val="590A6040"/>
    <w:rsid w:val="590D032B"/>
    <w:rsid w:val="59134F3B"/>
    <w:rsid w:val="59135A3E"/>
    <w:rsid w:val="591756B5"/>
    <w:rsid w:val="59181E83"/>
    <w:rsid w:val="591A7A45"/>
    <w:rsid w:val="591B3341"/>
    <w:rsid w:val="591C764D"/>
    <w:rsid w:val="591F385A"/>
    <w:rsid w:val="59203C9E"/>
    <w:rsid w:val="59215342"/>
    <w:rsid w:val="59220F83"/>
    <w:rsid w:val="592579D7"/>
    <w:rsid w:val="59272C34"/>
    <w:rsid w:val="5927334D"/>
    <w:rsid w:val="59280AFA"/>
    <w:rsid w:val="59283A5F"/>
    <w:rsid w:val="592B5AD6"/>
    <w:rsid w:val="592B61C1"/>
    <w:rsid w:val="593065AF"/>
    <w:rsid w:val="59325A49"/>
    <w:rsid w:val="593E2A08"/>
    <w:rsid w:val="593E5EF4"/>
    <w:rsid w:val="59431288"/>
    <w:rsid w:val="59442B47"/>
    <w:rsid w:val="59461CD4"/>
    <w:rsid w:val="5947751C"/>
    <w:rsid w:val="594850A2"/>
    <w:rsid w:val="594918BF"/>
    <w:rsid w:val="594B2CC6"/>
    <w:rsid w:val="594D15CA"/>
    <w:rsid w:val="594F7F1D"/>
    <w:rsid w:val="59520481"/>
    <w:rsid w:val="59527BF2"/>
    <w:rsid w:val="59571529"/>
    <w:rsid w:val="595C3BB1"/>
    <w:rsid w:val="595C70E1"/>
    <w:rsid w:val="595F1E39"/>
    <w:rsid w:val="595F2C1F"/>
    <w:rsid w:val="5961772D"/>
    <w:rsid w:val="596A47EA"/>
    <w:rsid w:val="596D44E9"/>
    <w:rsid w:val="596E4CCC"/>
    <w:rsid w:val="59715284"/>
    <w:rsid w:val="59734F35"/>
    <w:rsid w:val="597749B9"/>
    <w:rsid w:val="59782636"/>
    <w:rsid w:val="597A09C3"/>
    <w:rsid w:val="597B0410"/>
    <w:rsid w:val="597C7720"/>
    <w:rsid w:val="597F64EF"/>
    <w:rsid w:val="5982706A"/>
    <w:rsid w:val="5984115F"/>
    <w:rsid w:val="59843CDB"/>
    <w:rsid w:val="59850156"/>
    <w:rsid w:val="598B2969"/>
    <w:rsid w:val="598C013F"/>
    <w:rsid w:val="598D1577"/>
    <w:rsid w:val="59902D18"/>
    <w:rsid w:val="59924E85"/>
    <w:rsid w:val="59936C70"/>
    <w:rsid w:val="5995638D"/>
    <w:rsid w:val="59960E84"/>
    <w:rsid w:val="59976438"/>
    <w:rsid w:val="59997F9C"/>
    <w:rsid w:val="599D7038"/>
    <w:rsid w:val="599E4BE5"/>
    <w:rsid w:val="59A37D5E"/>
    <w:rsid w:val="59A5070B"/>
    <w:rsid w:val="59A73AE8"/>
    <w:rsid w:val="59A82363"/>
    <w:rsid w:val="59AB08C6"/>
    <w:rsid w:val="59AC1698"/>
    <w:rsid w:val="59AD5F6F"/>
    <w:rsid w:val="59B222D8"/>
    <w:rsid w:val="59BA71AC"/>
    <w:rsid w:val="59BC1DD2"/>
    <w:rsid w:val="59BE6564"/>
    <w:rsid w:val="59C11F18"/>
    <w:rsid w:val="59C31921"/>
    <w:rsid w:val="59C40F67"/>
    <w:rsid w:val="59C424C1"/>
    <w:rsid w:val="59C522EC"/>
    <w:rsid w:val="59C807A6"/>
    <w:rsid w:val="59C82A6B"/>
    <w:rsid w:val="59C947CA"/>
    <w:rsid w:val="59C977FF"/>
    <w:rsid w:val="59CB441B"/>
    <w:rsid w:val="59D0265A"/>
    <w:rsid w:val="59D04E10"/>
    <w:rsid w:val="59D32C9E"/>
    <w:rsid w:val="59D44183"/>
    <w:rsid w:val="59D51E6C"/>
    <w:rsid w:val="59D8364F"/>
    <w:rsid w:val="59D979CB"/>
    <w:rsid w:val="59DB20E4"/>
    <w:rsid w:val="59DF4BED"/>
    <w:rsid w:val="59E22D24"/>
    <w:rsid w:val="59E30E7E"/>
    <w:rsid w:val="59E51E95"/>
    <w:rsid w:val="59E54238"/>
    <w:rsid w:val="59E74401"/>
    <w:rsid w:val="59EC5A2D"/>
    <w:rsid w:val="59ED4A50"/>
    <w:rsid w:val="59EE4A63"/>
    <w:rsid w:val="59EF2ADB"/>
    <w:rsid w:val="59F035EB"/>
    <w:rsid w:val="59F10043"/>
    <w:rsid w:val="59F22DF4"/>
    <w:rsid w:val="59F4339F"/>
    <w:rsid w:val="59F56D5B"/>
    <w:rsid w:val="59FC223D"/>
    <w:rsid w:val="59FC5FDE"/>
    <w:rsid w:val="59FF0EC6"/>
    <w:rsid w:val="5A001EE4"/>
    <w:rsid w:val="5A040AB8"/>
    <w:rsid w:val="5A04713E"/>
    <w:rsid w:val="5A063896"/>
    <w:rsid w:val="5A066E1D"/>
    <w:rsid w:val="5A094020"/>
    <w:rsid w:val="5A0C6BEB"/>
    <w:rsid w:val="5A173E1D"/>
    <w:rsid w:val="5A185799"/>
    <w:rsid w:val="5A201171"/>
    <w:rsid w:val="5A2450EA"/>
    <w:rsid w:val="5A253502"/>
    <w:rsid w:val="5A292D04"/>
    <w:rsid w:val="5A315A59"/>
    <w:rsid w:val="5A360E14"/>
    <w:rsid w:val="5A371615"/>
    <w:rsid w:val="5A396072"/>
    <w:rsid w:val="5A3A5E82"/>
    <w:rsid w:val="5A3F40DC"/>
    <w:rsid w:val="5A457D98"/>
    <w:rsid w:val="5A480393"/>
    <w:rsid w:val="5A4912B6"/>
    <w:rsid w:val="5A49198F"/>
    <w:rsid w:val="5A497BA8"/>
    <w:rsid w:val="5A503DF4"/>
    <w:rsid w:val="5A503E14"/>
    <w:rsid w:val="5A527EA2"/>
    <w:rsid w:val="5A544D38"/>
    <w:rsid w:val="5A552C2F"/>
    <w:rsid w:val="5A575467"/>
    <w:rsid w:val="5A58128B"/>
    <w:rsid w:val="5A5E0A8E"/>
    <w:rsid w:val="5A5F0C3F"/>
    <w:rsid w:val="5A5F16B6"/>
    <w:rsid w:val="5A62339F"/>
    <w:rsid w:val="5A6311BC"/>
    <w:rsid w:val="5A6653CA"/>
    <w:rsid w:val="5A6B3445"/>
    <w:rsid w:val="5A6C00DB"/>
    <w:rsid w:val="5A6C6925"/>
    <w:rsid w:val="5A72202A"/>
    <w:rsid w:val="5A737D05"/>
    <w:rsid w:val="5A757545"/>
    <w:rsid w:val="5A796FCF"/>
    <w:rsid w:val="5A7D0A71"/>
    <w:rsid w:val="5A7F251C"/>
    <w:rsid w:val="5A7F297F"/>
    <w:rsid w:val="5A804F0B"/>
    <w:rsid w:val="5A865A92"/>
    <w:rsid w:val="5A865DA5"/>
    <w:rsid w:val="5A870E04"/>
    <w:rsid w:val="5A8B20D1"/>
    <w:rsid w:val="5A8F2A0E"/>
    <w:rsid w:val="5A8F76B7"/>
    <w:rsid w:val="5A906702"/>
    <w:rsid w:val="5A9472E4"/>
    <w:rsid w:val="5A990AB3"/>
    <w:rsid w:val="5A9929E8"/>
    <w:rsid w:val="5A9F021A"/>
    <w:rsid w:val="5AA40F42"/>
    <w:rsid w:val="5AA64564"/>
    <w:rsid w:val="5AAC25AA"/>
    <w:rsid w:val="5AAE293A"/>
    <w:rsid w:val="5AAE2F66"/>
    <w:rsid w:val="5AB87373"/>
    <w:rsid w:val="5AB92BDA"/>
    <w:rsid w:val="5ABA1121"/>
    <w:rsid w:val="5ABE2E45"/>
    <w:rsid w:val="5AC5414D"/>
    <w:rsid w:val="5AC62645"/>
    <w:rsid w:val="5ACA0796"/>
    <w:rsid w:val="5ACA3C5E"/>
    <w:rsid w:val="5ACD5782"/>
    <w:rsid w:val="5AD1000A"/>
    <w:rsid w:val="5ADD4BD7"/>
    <w:rsid w:val="5AE7290C"/>
    <w:rsid w:val="5AED45FF"/>
    <w:rsid w:val="5AEE008F"/>
    <w:rsid w:val="5AEE61C5"/>
    <w:rsid w:val="5AF54891"/>
    <w:rsid w:val="5AFA6E64"/>
    <w:rsid w:val="5AFB6A11"/>
    <w:rsid w:val="5AFB71A0"/>
    <w:rsid w:val="5AFC0697"/>
    <w:rsid w:val="5AFF5CDA"/>
    <w:rsid w:val="5B037EB8"/>
    <w:rsid w:val="5B041F38"/>
    <w:rsid w:val="5B04316E"/>
    <w:rsid w:val="5B0A553A"/>
    <w:rsid w:val="5B1017B1"/>
    <w:rsid w:val="5B120867"/>
    <w:rsid w:val="5B1478C6"/>
    <w:rsid w:val="5B153A5A"/>
    <w:rsid w:val="5B157129"/>
    <w:rsid w:val="5B160ACB"/>
    <w:rsid w:val="5B1A5ACF"/>
    <w:rsid w:val="5B1C5E7E"/>
    <w:rsid w:val="5B1C78C4"/>
    <w:rsid w:val="5B1E5E4A"/>
    <w:rsid w:val="5B2140DC"/>
    <w:rsid w:val="5B240AD2"/>
    <w:rsid w:val="5B26337C"/>
    <w:rsid w:val="5B295D3D"/>
    <w:rsid w:val="5B2A225C"/>
    <w:rsid w:val="5B2C5F8D"/>
    <w:rsid w:val="5B311CB1"/>
    <w:rsid w:val="5B315A25"/>
    <w:rsid w:val="5B3247DF"/>
    <w:rsid w:val="5B345E2C"/>
    <w:rsid w:val="5B395E6A"/>
    <w:rsid w:val="5B3E2E83"/>
    <w:rsid w:val="5B4249F8"/>
    <w:rsid w:val="5B452A60"/>
    <w:rsid w:val="5B4C636F"/>
    <w:rsid w:val="5B4F6213"/>
    <w:rsid w:val="5B50470B"/>
    <w:rsid w:val="5B5555AE"/>
    <w:rsid w:val="5B576DF3"/>
    <w:rsid w:val="5B586A33"/>
    <w:rsid w:val="5B5B701F"/>
    <w:rsid w:val="5B5E4630"/>
    <w:rsid w:val="5B5F3995"/>
    <w:rsid w:val="5B6B23C9"/>
    <w:rsid w:val="5B6F045C"/>
    <w:rsid w:val="5B721E3D"/>
    <w:rsid w:val="5B79724F"/>
    <w:rsid w:val="5B7D7376"/>
    <w:rsid w:val="5B816E8B"/>
    <w:rsid w:val="5B823D2F"/>
    <w:rsid w:val="5B833223"/>
    <w:rsid w:val="5B86522F"/>
    <w:rsid w:val="5B871801"/>
    <w:rsid w:val="5B8A4A60"/>
    <w:rsid w:val="5B8D06FE"/>
    <w:rsid w:val="5B8F2876"/>
    <w:rsid w:val="5B97487F"/>
    <w:rsid w:val="5B9B4B48"/>
    <w:rsid w:val="5B9B7F7D"/>
    <w:rsid w:val="5BA109BC"/>
    <w:rsid w:val="5BA13A5F"/>
    <w:rsid w:val="5BA51BD8"/>
    <w:rsid w:val="5BA80E5E"/>
    <w:rsid w:val="5BA931C1"/>
    <w:rsid w:val="5BAC704A"/>
    <w:rsid w:val="5BB53CC3"/>
    <w:rsid w:val="5BB54DCF"/>
    <w:rsid w:val="5BB72287"/>
    <w:rsid w:val="5BB74DAD"/>
    <w:rsid w:val="5BB771FE"/>
    <w:rsid w:val="5BB87120"/>
    <w:rsid w:val="5BBE25B6"/>
    <w:rsid w:val="5BBF1E75"/>
    <w:rsid w:val="5BC30F2C"/>
    <w:rsid w:val="5BC613E9"/>
    <w:rsid w:val="5BCA2498"/>
    <w:rsid w:val="5BCC0F2B"/>
    <w:rsid w:val="5BCC1D74"/>
    <w:rsid w:val="5BCC20FE"/>
    <w:rsid w:val="5BCE63D6"/>
    <w:rsid w:val="5BCF7326"/>
    <w:rsid w:val="5BD44B6E"/>
    <w:rsid w:val="5BE0566F"/>
    <w:rsid w:val="5BE43CDA"/>
    <w:rsid w:val="5BE70260"/>
    <w:rsid w:val="5BE865EB"/>
    <w:rsid w:val="5BEA46EF"/>
    <w:rsid w:val="5BEA623B"/>
    <w:rsid w:val="5BED59B0"/>
    <w:rsid w:val="5BEE2ECE"/>
    <w:rsid w:val="5BEE507C"/>
    <w:rsid w:val="5BF1046E"/>
    <w:rsid w:val="5BF14C3E"/>
    <w:rsid w:val="5BF45B0A"/>
    <w:rsid w:val="5BF618ED"/>
    <w:rsid w:val="5BF635EA"/>
    <w:rsid w:val="5BF7781C"/>
    <w:rsid w:val="5BF87ACE"/>
    <w:rsid w:val="5BF907F8"/>
    <w:rsid w:val="5BF9592C"/>
    <w:rsid w:val="5BFA1B11"/>
    <w:rsid w:val="5BFE0506"/>
    <w:rsid w:val="5BFE42B3"/>
    <w:rsid w:val="5BFE62B3"/>
    <w:rsid w:val="5C00385B"/>
    <w:rsid w:val="5C03044A"/>
    <w:rsid w:val="5C0441FB"/>
    <w:rsid w:val="5C0C2E62"/>
    <w:rsid w:val="5C0C6447"/>
    <w:rsid w:val="5C0F4D19"/>
    <w:rsid w:val="5C130C79"/>
    <w:rsid w:val="5C147D25"/>
    <w:rsid w:val="5C1B37CA"/>
    <w:rsid w:val="5C1E079B"/>
    <w:rsid w:val="5C215192"/>
    <w:rsid w:val="5C23293A"/>
    <w:rsid w:val="5C24410B"/>
    <w:rsid w:val="5C253952"/>
    <w:rsid w:val="5C2603C5"/>
    <w:rsid w:val="5C28240E"/>
    <w:rsid w:val="5C286009"/>
    <w:rsid w:val="5C2E697F"/>
    <w:rsid w:val="5C2F5822"/>
    <w:rsid w:val="5C2F5C52"/>
    <w:rsid w:val="5C3155B5"/>
    <w:rsid w:val="5C334D3D"/>
    <w:rsid w:val="5C384236"/>
    <w:rsid w:val="5C385132"/>
    <w:rsid w:val="5C3B5A47"/>
    <w:rsid w:val="5C3B74DB"/>
    <w:rsid w:val="5C3F65AF"/>
    <w:rsid w:val="5C4032A9"/>
    <w:rsid w:val="5C4917E5"/>
    <w:rsid w:val="5C4A098B"/>
    <w:rsid w:val="5C4D2B08"/>
    <w:rsid w:val="5C517C55"/>
    <w:rsid w:val="5C540540"/>
    <w:rsid w:val="5C577C82"/>
    <w:rsid w:val="5C593F34"/>
    <w:rsid w:val="5C5C302B"/>
    <w:rsid w:val="5C61539B"/>
    <w:rsid w:val="5C6308D2"/>
    <w:rsid w:val="5C642C52"/>
    <w:rsid w:val="5C661D13"/>
    <w:rsid w:val="5C665A65"/>
    <w:rsid w:val="5C6744B7"/>
    <w:rsid w:val="5C6D51F4"/>
    <w:rsid w:val="5C6E02ED"/>
    <w:rsid w:val="5C6E7921"/>
    <w:rsid w:val="5C6F3B6F"/>
    <w:rsid w:val="5C702DE4"/>
    <w:rsid w:val="5C704D5E"/>
    <w:rsid w:val="5C7165E1"/>
    <w:rsid w:val="5C763BF7"/>
    <w:rsid w:val="5C7A5F7C"/>
    <w:rsid w:val="5C7B6722"/>
    <w:rsid w:val="5C7F454B"/>
    <w:rsid w:val="5C805A22"/>
    <w:rsid w:val="5C813191"/>
    <w:rsid w:val="5C8360D9"/>
    <w:rsid w:val="5C861A51"/>
    <w:rsid w:val="5C891119"/>
    <w:rsid w:val="5C893CE9"/>
    <w:rsid w:val="5C95304B"/>
    <w:rsid w:val="5C9E112F"/>
    <w:rsid w:val="5CA35762"/>
    <w:rsid w:val="5CA37DC7"/>
    <w:rsid w:val="5CA4379A"/>
    <w:rsid w:val="5CA65722"/>
    <w:rsid w:val="5CA97AEC"/>
    <w:rsid w:val="5CAE4C4B"/>
    <w:rsid w:val="5CAE5FFB"/>
    <w:rsid w:val="5CAE7B60"/>
    <w:rsid w:val="5CAF3DCF"/>
    <w:rsid w:val="5CB22FB1"/>
    <w:rsid w:val="5CB24416"/>
    <w:rsid w:val="5CB309A7"/>
    <w:rsid w:val="5CB44D6D"/>
    <w:rsid w:val="5CBE2E26"/>
    <w:rsid w:val="5CBF29C3"/>
    <w:rsid w:val="5CC114B9"/>
    <w:rsid w:val="5CC4662C"/>
    <w:rsid w:val="5CC86BA8"/>
    <w:rsid w:val="5CCB05EF"/>
    <w:rsid w:val="5CCB5CF1"/>
    <w:rsid w:val="5CCD6079"/>
    <w:rsid w:val="5CCE13AD"/>
    <w:rsid w:val="5CD23A79"/>
    <w:rsid w:val="5CD31E0A"/>
    <w:rsid w:val="5CD67CC9"/>
    <w:rsid w:val="5CD74C87"/>
    <w:rsid w:val="5CDA2C87"/>
    <w:rsid w:val="5CDB0FC7"/>
    <w:rsid w:val="5CDB505D"/>
    <w:rsid w:val="5CDD488F"/>
    <w:rsid w:val="5CDF3436"/>
    <w:rsid w:val="5CE37E74"/>
    <w:rsid w:val="5CE648D9"/>
    <w:rsid w:val="5CE966D7"/>
    <w:rsid w:val="5CEB61C9"/>
    <w:rsid w:val="5CEB6695"/>
    <w:rsid w:val="5CF0745A"/>
    <w:rsid w:val="5CF32E71"/>
    <w:rsid w:val="5CF3416B"/>
    <w:rsid w:val="5CF722B4"/>
    <w:rsid w:val="5CF74D38"/>
    <w:rsid w:val="5CF87C7A"/>
    <w:rsid w:val="5CFA350C"/>
    <w:rsid w:val="5CFB2497"/>
    <w:rsid w:val="5CFC327E"/>
    <w:rsid w:val="5CFD4515"/>
    <w:rsid w:val="5CFE49A6"/>
    <w:rsid w:val="5D020C12"/>
    <w:rsid w:val="5D021DA8"/>
    <w:rsid w:val="5D0546C0"/>
    <w:rsid w:val="5D083620"/>
    <w:rsid w:val="5D0D3759"/>
    <w:rsid w:val="5D1836E2"/>
    <w:rsid w:val="5D1B139C"/>
    <w:rsid w:val="5D1D51DF"/>
    <w:rsid w:val="5D1E30BD"/>
    <w:rsid w:val="5D247DBF"/>
    <w:rsid w:val="5D265730"/>
    <w:rsid w:val="5D28579A"/>
    <w:rsid w:val="5D2A6697"/>
    <w:rsid w:val="5D324D53"/>
    <w:rsid w:val="5D3441CE"/>
    <w:rsid w:val="5D375FE1"/>
    <w:rsid w:val="5D396270"/>
    <w:rsid w:val="5D3E149F"/>
    <w:rsid w:val="5D426176"/>
    <w:rsid w:val="5D522E26"/>
    <w:rsid w:val="5D5630BB"/>
    <w:rsid w:val="5D564F1A"/>
    <w:rsid w:val="5D573A29"/>
    <w:rsid w:val="5D593244"/>
    <w:rsid w:val="5D5B7EFD"/>
    <w:rsid w:val="5D5E00BE"/>
    <w:rsid w:val="5D610403"/>
    <w:rsid w:val="5D631BF8"/>
    <w:rsid w:val="5D641CA2"/>
    <w:rsid w:val="5D663697"/>
    <w:rsid w:val="5D6761A3"/>
    <w:rsid w:val="5D711989"/>
    <w:rsid w:val="5D715060"/>
    <w:rsid w:val="5D7260E9"/>
    <w:rsid w:val="5D764528"/>
    <w:rsid w:val="5D771436"/>
    <w:rsid w:val="5D7D1757"/>
    <w:rsid w:val="5D7F1D9A"/>
    <w:rsid w:val="5D821BBA"/>
    <w:rsid w:val="5D8331B0"/>
    <w:rsid w:val="5D833B39"/>
    <w:rsid w:val="5D8A0C9C"/>
    <w:rsid w:val="5D8B3FBF"/>
    <w:rsid w:val="5D8C6183"/>
    <w:rsid w:val="5D8D4C1F"/>
    <w:rsid w:val="5D8D7B1F"/>
    <w:rsid w:val="5D921148"/>
    <w:rsid w:val="5D935A84"/>
    <w:rsid w:val="5D9D6A39"/>
    <w:rsid w:val="5D9E2989"/>
    <w:rsid w:val="5DA07BBF"/>
    <w:rsid w:val="5DAF144F"/>
    <w:rsid w:val="5DB01627"/>
    <w:rsid w:val="5DB104FF"/>
    <w:rsid w:val="5DB324CA"/>
    <w:rsid w:val="5DB671BA"/>
    <w:rsid w:val="5DB8226D"/>
    <w:rsid w:val="5DB87B3F"/>
    <w:rsid w:val="5DBC0969"/>
    <w:rsid w:val="5DBC5524"/>
    <w:rsid w:val="5DBF3D1C"/>
    <w:rsid w:val="5DBF57D6"/>
    <w:rsid w:val="5DC6721C"/>
    <w:rsid w:val="5DC76DB3"/>
    <w:rsid w:val="5DCB0BC0"/>
    <w:rsid w:val="5DCB3073"/>
    <w:rsid w:val="5DCB3A83"/>
    <w:rsid w:val="5DCB5E0B"/>
    <w:rsid w:val="5DCD658A"/>
    <w:rsid w:val="5DD25F5E"/>
    <w:rsid w:val="5DD4544E"/>
    <w:rsid w:val="5DD6261F"/>
    <w:rsid w:val="5DD82146"/>
    <w:rsid w:val="5DE5640D"/>
    <w:rsid w:val="5DE71962"/>
    <w:rsid w:val="5DEB4806"/>
    <w:rsid w:val="5DEC5BE3"/>
    <w:rsid w:val="5DF0057B"/>
    <w:rsid w:val="5DF53122"/>
    <w:rsid w:val="5DF60CD4"/>
    <w:rsid w:val="5DF64961"/>
    <w:rsid w:val="5DF72158"/>
    <w:rsid w:val="5DF9535F"/>
    <w:rsid w:val="5DFA7DCE"/>
    <w:rsid w:val="5DFD3578"/>
    <w:rsid w:val="5E007E70"/>
    <w:rsid w:val="5E014D34"/>
    <w:rsid w:val="5E0654DA"/>
    <w:rsid w:val="5E0F09D1"/>
    <w:rsid w:val="5E1015A3"/>
    <w:rsid w:val="5E122D1C"/>
    <w:rsid w:val="5E1251CA"/>
    <w:rsid w:val="5E153EDA"/>
    <w:rsid w:val="5E153F47"/>
    <w:rsid w:val="5E166335"/>
    <w:rsid w:val="5E197373"/>
    <w:rsid w:val="5E24505E"/>
    <w:rsid w:val="5E260754"/>
    <w:rsid w:val="5E272E70"/>
    <w:rsid w:val="5E276E97"/>
    <w:rsid w:val="5E343176"/>
    <w:rsid w:val="5E350391"/>
    <w:rsid w:val="5E3873B6"/>
    <w:rsid w:val="5E3C23CB"/>
    <w:rsid w:val="5E40485E"/>
    <w:rsid w:val="5E465F6C"/>
    <w:rsid w:val="5E4C328D"/>
    <w:rsid w:val="5E522324"/>
    <w:rsid w:val="5E547CF9"/>
    <w:rsid w:val="5E5578DF"/>
    <w:rsid w:val="5E571452"/>
    <w:rsid w:val="5E590B12"/>
    <w:rsid w:val="5E590DB0"/>
    <w:rsid w:val="5E5F29CC"/>
    <w:rsid w:val="5E615CF9"/>
    <w:rsid w:val="5E6942FA"/>
    <w:rsid w:val="5E6B3FB5"/>
    <w:rsid w:val="5E6C197B"/>
    <w:rsid w:val="5E6C78AD"/>
    <w:rsid w:val="5E7200C7"/>
    <w:rsid w:val="5E733F54"/>
    <w:rsid w:val="5E79177D"/>
    <w:rsid w:val="5E7D487F"/>
    <w:rsid w:val="5E7F4927"/>
    <w:rsid w:val="5E813FC2"/>
    <w:rsid w:val="5E842047"/>
    <w:rsid w:val="5E846E07"/>
    <w:rsid w:val="5E8819C0"/>
    <w:rsid w:val="5E8B2C1C"/>
    <w:rsid w:val="5E8D2FA7"/>
    <w:rsid w:val="5E911BCF"/>
    <w:rsid w:val="5E91760B"/>
    <w:rsid w:val="5E920DD9"/>
    <w:rsid w:val="5E9749CE"/>
    <w:rsid w:val="5E9D0C44"/>
    <w:rsid w:val="5E9E787A"/>
    <w:rsid w:val="5EA749A6"/>
    <w:rsid w:val="5EA9747A"/>
    <w:rsid w:val="5EAA1862"/>
    <w:rsid w:val="5EAB107C"/>
    <w:rsid w:val="5EAB7A6C"/>
    <w:rsid w:val="5EAE71FB"/>
    <w:rsid w:val="5EAF0662"/>
    <w:rsid w:val="5EB037F3"/>
    <w:rsid w:val="5EB42E97"/>
    <w:rsid w:val="5EB45D13"/>
    <w:rsid w:val="5EB70D45"/>
    <w:rsid w:val="5EB827D5"/>
    <w:rsid w:val="5EB94450"/>
    <w:rsid w:val="5EB94A36"/>
    <w:rsid w:val="5EBA03BF"/>
    <w:rsid w:val="5EC24374"/>
    <w:rsid w:val="5EC53ADD"/>
    <w:rsid w:val="5EC54E79"/>
    <w:rsid w:val="5EC72E46"/>
    <w:rsid w:val="5EC82920"/>
    <w:rsid w:val="5ECE37B2"/>
    <w:rsid w:val="5ECE3876"/>
    <w:rsid w:val="5ED13B84"/>
    <w:rsid w:val="5ED2016D"/>
    <w:rsid w:val="5ED6607C"/>
    <w:rsid w:val="5ED83C4B"/>
    <w:rsid w:val="5EDB352A"/>
    <w:rsid w:val="5EE40323"/>
    <w:rsid w:val="5EE935FC"/>
    <w:rsid w:val="5EF02F98"/>
    <w:rsid w:val="5EF42AA8"/>
    <w:rsid w:val="5EF46039"/>
    <w:rsid w:val="5EF602A9"/>
    <w:rsid w:val="5F011C2B"/>
    <w:rsid w:val="5F013C4C"/>
    <w:rsid w:val="5F067D65"/>
    <w:rsid w:val="5F0726CC"/>
    <w:rsid w:val="5F094EE1"/>
    <w:rsid w:val="5F0A632E"/>
    <w:rsid w:val="5F0A6961"/>
    <w:rsid w:val="5F0C5646"/>
    <w:rsid w:val="5F0E064D"/>
    <w:rsid w:val="5F0F48E6"/>
    <w:rsid w:val="5F133388"/>
    <w:rsid w:val="5F14079E"/>
    <w:rsid w:val="5F1B2FA7"/>
    <w:rsid w:val="5F1B5057"/>
    <w:rsid w:val="5F1D4CC3"/>
    <w:rsid w:val="5F1E7A2E"/>
    <w:rsid w:val="5F1F0305"/>
    <w:rsid w:val="5F1F2324"/>
    <w:rsid w:val="5F213E3B"/>
    <w:rsid w:val="5F224A74"/>
    <w:rsid w:val="5F226D7F"/>
    <w:rsid w:val="5F2913F5"/>
    <w:rsid w:val="5F2B3C00"/>
    <w:rsid w:val="5F2D1078"/>
    <w:rsid w:val="5F2E044E"/>
    <w:rsid w:val="5F2E347F"/>
    <w:rsid w:val="5F2F5BFC"/>
    <w:rsid w:val="5F314D24"/>
    <w:rsid w:val="5F3543B4"/>
    <w:rsid w:val="5F3853D1"/>
    <w:rsid w:val="5F3B530E"/>
    <w:rsid w:val="5F410DB8"/>
    <w:rsid w:val="5F4252C2"/>
    <w:rsid w:val="5F45504E"/>
    <w:rsid w:val="5F486CFA"/>
    <w:rsid w:val="5F4B4F03"/>
    <w:rsid w:val="5F4C1C5B"/>
    <w:rsid w:val="5F500E16"/>
    <w:rsid w:val="5F510D33"/>
    <w:rsid w:val="5F540631"/>
    <w:rsid w:val="5F544EC5"/>
    <w:rsid w:val="5F580348"/>
    <w:rsid w:val="5F587009"/>
    <w:rsid w:val="5F5B5406"/>
    <w:rsid w:val="5F60236F"/>
    <w:rsid w:val="5F61145F"/>
    <w:rsid w:val="5F640C49"/>
    <w:rsid w:val="5F681F1D"/>
    <w:rsid w:val="5F685E6B"/>
    <w:rsid w:val="5F6B361D"/>
    <w:rsid w:val="5F6C0D00"/>
    <w:rsid w:val="5F6C1746"/>
    <w:rsid w:val="5F6D7F9B"/>
    <w:rsid w:val="5F6E607C"/>
    <w:rsid w:val="5F703B52"/>
    <w:rsid w:val="5F7071CA"/>
    <w:rsid w:val="5F753ABB"/>
    <w:rsid w:val="5F790C0F"/>
    <w:rsid w:val="5F79383A"/>
    <w:rsid w:val="5F8261BE"/>
    <w:rsid w:val="5F830D22"/>
    <w:rsid w:val="5F86603F"/>
    <w:rsid w:val="5F8B116D"/>
    <w:rsid w:val="5F8C7182"/>
    <w:rsid w:val="5F8F4C49"/>
    <w:rsid w:val="5F9A4EC6"/>
    <w:rsid w:val="5F9D66AA"/>
    <w:rsid w:val="5F9E76ED"/>
    <w:rsid w:val="5FA00073"/>
    <w:rsid w:val="5FA05A73"/>
    <w:rsid w:val="5FA232FA"/>
    <w:rsid w:val="5FA74D31"/>
    <w:rsid w:val="5FAA7C6F"/>
    <w:rsid w:val="5FAF36A8"/>
    <w:rsid w:val="5FB14795"/>
    <w:rsid w:val="5FB26929"/>
    <w:rsid w:val="5FB42312"/>
    <w:rsid w:val="5FB72D03"/>
    <w:rsid w:val="5FBA204D"/>
    <w:rsid w:val="5FC06FB3"/>
    <w:rsid w:val="5FC23405"/>
    <w:rsid w:val="5FC35BCC"/>
    <w:rsid w:val="5FC972D9"/>
    <w:rsid w:val="5FCB5EB9"/>
    <w:rsid w:val="5FCD0DEA"/>
    <w:rsid w:val="5FD04F36"/>
    <w:rsid w:val="5FD15ECD"/>
    <w:rsid w:val="5FD259F9"/>
    <w:rsid w:val="5FD338BA"/>
    <w:rsid w:val="5FD73531"/>
    <w:rsid w:val="5FD845D1"/>
    <w:rsid w:val="5FDC6039"/>
    <w:rsid w:val="5FDC788C"/>
    <w:rsid w:val="5FDD6D3D"/>
    <w:rsid w:val="5FDF7124"/>
    <w:rsid w:val="5FE7608D"/>
    <w:rsid w:val="5FE85B6D"/>
    <w:rsid w:val="5FEA1F78"/>
    <w:rsid w:val="5FF6182B"/>
    <w:rsid w:val="5FF778FC"/>
    <w:rsid w:val="5FFE5079"/>
    <w:rsid w:val="5FFE5FB8"/>
    <w:rsid w:val="600310B9"/>
    <w:rsid w:val="600D03CE"/>
    <w:rsid w:val="600F029F"/>
    <w:rsid w:val="60102FF2"/>
    <w:rsid w:val="60163727"/>
    <w:rsid w:val="601841A2"/>
    <w:rsid w:val="60224035"/>
    <w:rsid w:val="6022573E"/>
    <w:rsid w:val="60263930"/>
    <w:rsid w:val="60265228"/>
    <w:rsid w:val="60295233"/>
    <w:rsid w:val="602B00D4"/>
    <w:rsid w:val="602F217A"/>
    <w:rsid w:val="602F2258"/>
    <w:rsid w:val="60303049"/>
    <w:rsid w:val="603464A0"/>
    <w:rsid w:val="60357CDF"/>
    <w:rsid w:val="60384EC8"/>
    <w:rsid w:val="60391CA9"/>
    <w:rsid w:val="603B26AB"/>
    <w:rsid w:val="603E59E8"/>
    <w:rsid w:val="603F4278"/>
    <w:rsid w:val="60407744"/>
    <w:rsid w:val="60417DEB"/>
    <w:rsid w:val="60457440"/>
    <w:rsid w:val="60473FA7"/>
    <w:rsid w:val="604837CF"/>
    <w:rsid w:val="604B5081"/>
    <w:rsid w:val="604D5183"/>
    <w:rsid w:val="604D74B2"/>
    <w:rsid w:val="6052146D"/>
    <w:rsid w:val="60526016"/>
    <w:rsid w:val="60527608"/>
    <w:rsid w:val="60546313"/>
    <w:rsid w:val="60554D01"/>
    <w:rsid w:val="6055501A"/>
    <w:rsid w:val="60557E94"/>
    <w:rsid w:val="60562031"/>
    <w:rsid w:val="60563641"/>
    <w:rsid w:val="605723FE"/>
    <w:rsid w:val="605A0A19"/>
    <w:rsid w:val="605C0CAA"/>
    <w:rsid w:val="605D641F"/>
    <w:rsid w:val="60601FDE"/>
    <w:rsid w:val="60614ADD"/>
    <w:rsid w:val="606326E4"/>
    <w:rsid w:val="606534F3"/>
    <w:rsid w:val="60682F2D"/>
    <w:rsid w:val="60697CAB"/>
    <w:rsid w:val="606C12D8"/>
    <w:rsid w:val="607320DD"/>
    <w:rsid w:val="60787CC6"/>
    <w:rsid w:val="60794EFA"/>
    <w:rsid w:val="607C4475"/>
    <w:rsid w:val="607C6712"/>
    <w:rsid w:val="6081336F"/>
    <w:rsid w:val="60813DAD"/>
    <w:rsid w:val="608640C7"/>
    <w:rsid w:val="608B6200"/>
    <w:rsid w:val="608C11B6"/>
    <w:rsid w:val="608E7F63"/>
    <w:rsid w:val="609746D5"/>
    <w:rsid w:val="609E13F3"/>
    <w:rsid w:val="60A26796"/>
    <w:rsid w:val="60A32AE1"/>
    <w:rsid w:val="60AD14F1"/>
    <w:rsid w:val="60AD62CC"/>
    <w:rsid w:val="60AE5373"/>
    <w:rsid w:val="60B03269"/>
    <w:rsid w:val="60B0455A"/>
    <w:rsid w:val="60B5245E"/>
    <w:rsid w:val="60B715C8"/>
    <w:rsid w:val="60B975A7"/>
    <w:rsid w:val="60BA16B8"/>
    <w:rsid w:val="60BA4572"/>
    <w:rsid w:val="60BC4720"/>
    <w:rsid w:val="60BF187B"/>
    <w:rsid w:val="60BF3EDE"/>
    <w:rsid w:val="60CB0C4F"/>
    <w:rsid w:val="60CB3F45"/>
    <w:rsid w:val="60CD31BF"/>
    <w:rsid w:val="60CD6996"/>
    <w:rsid w:val="60CF1AFD"/>
    <w:rsid w:val="60D10038"/>
    <w:rsid w:val="60D14B17"/>
    <w:rsid w:val="60D15D31"/>
    <w:rsid w:val="60D27D9B"/>
    <w:rsid w:val="60D70105"/>
    <w:rsid w:val="60D85290"/>
    <w:rsid w:val="60DC666B"/>
    <w:rsid w:val="60DC6B40"/>
    <w:rsid w:val="60DD2F84"/>
    <w:rsid w:val="60DD4245"/>
    <w:rsid w:val="60DF6465"/>
    <w:rsid w:val="60DF6ADA"/>
    <w:rsid w:val="60E2490D"/>
    <w:rsid w:val="60E455D3"/>
    <w:rsid w:val="60E5134B"/>
    <w:rsid w:val="60E667AB"/>
    <w:rsid w:val="60E7004C"/>
    <w:rsid w:val="60EC56CE"/>
    <w:rsid w:val="60EE100D"/>
    <w:rsid w:val="60EE3E99"/>
    <w:rsid w:val="60F1255B"/>
    <w:rsid w:val="60F902F1"/>
    <w:rsid w:val="61000435"/>
    <w:rsid w:val="61036331"/>
    <w:rsid w:val="610405B8"/>
    <w:rsid w:val="61056465"/>
    <w:rsid w:val="610A162D"/>
    <w:rsid w:val="610D6258"/>
    <w:rsid w:val="610E50CF"/>
    <w:rsid w:val="6113099A"/>
    <w:rsid w:val="61152283"/>
    <w:rsid w:val="61152E2E"/>
    <w:rsid w:val="61156038"/>
    <w:rsid w:val="611F3693"/>
    <w:rsid w:val="61207F9A"/>
    <w:rsid w:val="61214A26"/>
    <w:rsid w:val="61232D1B"/>
    <w:rsid w:val="61235EB8"/>
    <w:rsid w:val="61242904"/>
    <w:rsid w:val="61255CCC"/>
    <w:rsid w:val="6128188D"/>
    <w:rsid w:val="61291022"/>
    <w:rsid w:val="612D1F8E"/>
    <w:rsid w:val="612E3913"/>
    <w:rsid w:val="612E51DD"/>
    <w:rsid w:val="61332D71"/>
    <w:rsid w:val="613476E0"/>
    <w:rsid w:val="6136745C"/>
    <w:rsid w:val="613D50E4"/>
    <w:rsid w:val="613D6A10"/>
    <w:rsid w:val="613E225F"/>
    <w:rsid w:val="613E2994"/>
    <w:rsid w:val="61442F51"/>
    <w:rsid w:val="61447E20"/>
    <w:rsid w:val="61455A57"/>
    <w:rsid w:val="614750A1"/>
    <w:rsid w:val="61493688"/>
    <w:rsid w:val="614B51C3"/>
    <w:rsid w:val="614B662B"/>
    <w:rsid w:val="614E1056"/>
    <w:rsid w:val="614F17BD"/>
    <w:rsid w:val="614F442B"/>
    <w:rsid w:val="61543D8E"/>
    <w:rsid w:val="61551667"/>
    <w:rsid w:val="615656CC"/>
    <w:rsid w:val="61583890"/>
    <w:rsid w:val="615914B0"/>
    <w:rsid w:val="615B04EA"/>
    <w:rsid w:val="61621A68"/>
    <w:rsid w:val="61636509"/>
    <w:rsid w:val="61667A0C"/>
    <w:rsid w:val="6169534D"/>
    <w:rsid w:val="61697404"/>
    <w:rsid w:val="616A0468"/>
    <w:rsid w:val="616A6A54"/>
    <w:rsid w:val="616B2B7B"/>
    <w:rsid w:val="616F5870"/>
    <w:rsid w:val="61717B03"/>
    <w:rsid w:val="61721D83"/>
    <w:rsid w:val="61736AD3"/>
    <w:rsid w:val="61750BBE"/>
    <w:rsid w:val="61755D08"/>
    <w:rsid w:val="617946B7"/>
    <w:rsid w:val="617A153A"/>
    <w:rsid w:val="617E6773"/>
    <w:rsid w:val="61800291"/>
    <w:rsid w:val="61856EFD"/>
    <w:rsid w:val="618E4412"/>
    <w:rsid w:val="61914D61"/>
    <w:rsid w:val="619A5E1C"/>
    <w:rsid w:val="619B2470"/>
    <w:rsid w:val="619B6BFC"/>
    <w:rsid w:val="619C1E94"/>
    <w:rsid w:val="619E73A5"/>
    <w:rsid w:val="619F599E"/>
    <w:rsid w:val="619F7775"/>
    <w:rsid w:val="61A12EDF"/>
    <w:rsid w:val="61A151CF"/>
    <w:rsid w:val="61A40AB6"/>
    <w:rsid w:val="61AD1BA1"/>
    <w:rsid w:val="61AE54CE"/>
    <w:rsid w:val="61B12FBB"/>
    <w:rsid w:val="61B301C0"/>
    <w:rsid w:val="61B3596D"/>
    <w:rsid w:val="61B65297"/>
    <w:rsid w:val="61B82B4E"/>
    <w:rsid w:val="61B9258E"/>
    <w:rsid w:val="61BB129B"/>
    <w:rsid w:val="61BC2B74"/>
    <w:rsid w:val="61BC5EB6"/>
    <w:rsid w:val="61C100D1"/>
    <w:rsid w:val="61C13BC2"/>
    <w:rsid w:val="61C176C2"/>
    <w:rsid w:val="61C96577"/>
    <w:rsid w:val="61CA03E4"/>
    <w:rsid w:val="61CC6D7B"/>
    <w:rsid w:val="61CC7529"/>
    <w:rsid w:val="61CF63F3"/>
    <w:rsid w:val="61D10E1F"/>
    <w:rsid w:val="61D205F4"/>
    <w:rsid w:val="61D770D4"/>
    <w:rsid w:val="61D92C97"/>
    <w:rsid w:val="61DC4AB9"/>
    <w:rsid w:val="61DE5EDD"/>
    <w:rsid w:val="61DF2EE7"/>
    <w:rsid w:val="61E46C9A"/>
    <w:rsid w:val="61E575AD"/>
    <w:rsid w:val="61E97715"/>
    <w:rsid w:val="61EC296B"/>
    <w:rsid w:val="61EC5A29"/>
    <w:rsid w:val="61F0010E"/>
    <w:rsid w:val="61F061FA"/>
    <w:rsid w:val="61F06EAF"/>
    <w:rsid w:val="61F11509"/>
    <w:rsid w:val="61F270A1"/>
    <w:rsid w:val="61FD0FD9"/>
    <w:rsid w:val="61FD79F9"/>
    <w:rsid w:val="61FF3248"/>
    <w:rsid w:val="62012652"/>
    <w:rsid w:val="62111F76"/>
    <w:rsid w:val="621164BE"/>
    <w:rsid w:val="62121B9F"/>
    <w:rsid w:val="6213536D"/>
    <w:rsid w:val="62136B46"/>
    <w:rsid w:val="62166E82"/>
    <w:rsid w:val="62172ED0"/>
    <w:rsid w:val="6217398D"/>
    <w:rsid w:val="621810B5"/>
    <w:rsid w:val="621A6523"/>
    <w:rsid w:val="621B3354"/>
    <w:rsid w:val="621D6631"/>
    <w:rsid w:val="622223DD"/>
    <w:rsid w:val="62234110"/>
    <w:rsid w:val="62266C8F"/>
    <w:rsid w:val="62281AAE"/>
    <w:rsid w:val="622D2E80"/>
    <w:rsid w:val="622E7601"/>
    <w:rsid w:val="622F77F4"/>
    <w:rsid w:val="6232376D"/>
    <w:rsid w:val="62326C70"/>
    <w:rsid w:val="62327D00"/>
    <w:rsid w:val="623368B4"/>
    <w:rsid w:val="62345AE0"/>
    <w:rsid w:val="62355886"/>
    <w:rsid w:val="623611EB"/>
    <w:rsid w:val="62377985"/>
    <w:rsid w:val="623818BE"/>
    <w:rsid w:val="623877E3"/>
    <w:rsid w:val="623B0843"/>
    <w:rsid w:val="623B1B1B"/>
    <w:rsid w:val="623C78A9"/>
    <w:rsid w:val="623F3D94"/>
    <w:rsid w:val="624233B2"/>
    <w:rsid w:val="624243AC"/>
    <w:rsid w:val="62435967"/>
    <w:rsid w:val="62465639"/>
    <w:rsid w:val="624C1C13"/>
    <w:rsid w:val="624D6C96"/>
    <w:rsid w:val="624E1D8C"/>
    <w:rsid w:val="624E6E00"/>
    <w:rsid w:val="62507412"/>
    <w:rsid w:val="62512606"/>
    <w:rsid w:val="62514E5B"/>
    <w:rsid w:val="62535233"/>
    <w:rsid w:val="62563BD7"/>
    <w:rsid w:val="6258068B"/>
    <w:rsid w:val="6258766E"/>
    <w:rsid w:val="625B4411"/>
    <w:rsid w:val="625B7B17"/>
    <w:rsid w:val="625E003D"/>
    <w:rsid w:val="62611035"/>
    <w:rsid w:val="626349AF"/>
    <w:rsid w:val="626C4A76"/>
    <w:rsid w:val="626E3E68"/>
    <w:rsid w:val="626E46FF"/>
    <w:rsid w:val="626E692A"/>
    <w:rsid w:val="6270755D"/>
    <w:rsid w:val="62753385"/>
    <w:rsid w:val="627574A7"/>
    <w:rsid w:val="62772719"/>
    <w:rsid w:val="627802FC"/>
    <w:rsid w:val="62785672"/>
    <w:rsid w:val="627B5F73"/>
    <w:rsid w:val="627D5728"/>
    <w:rsid w:val="627D689B"/>
    <w:rsid w:val="627E1E58"/>
    <w:rsid w:val="627E206E"/>
    <w:rsid w:val="628506F0"/>
    <w:rsid w:val="6287244C"/>
    <w:rsid w:val="628770E5"/>
    <w:rsid w:val="62896A91"/>
    <w:rsid w:val="628A03FC"/>
    <w:rsid w:val="628B00A2"/>
    <w:rsid w:val="628C09C7"/>
    <w:rsid w:val="628F40DF"/>
    <w:rsid w:val="62920AB4"/>
    <w:rsid w:val="6292476C"/>
    <w:rsid w:val="629534DC"/>
    <w:rsid w:val="629771C2"/>
    <w:rsid w:val="629E1335"/>
    <w:rsid w:val="629F013B"/>
    <w:rsid w:val="629F60B9"/>
    <w:rsid w:val="62A41849"/>
    <w:rsid w:val="62A42D9E"/>
    <w:rsid w:val="62AA773C"/>
    <w:rsid w:val="62AB2F53"/>
    <w:rsid w:val="62AB5E2A"/>
    <w:rsid w:val="62AD76D9"/>
    <w:rsid w:val="62B01A05"/>
    <w:rsid w:val="62B25993"/>
    <w:rsid w:val="62B33B9F"/>
    <w:rsid w:val="62B40FD5"/>
    <w:rsid w:val="62B843CD"/>
    <w:rsid w:val="62B852EE"/>
    <w:rsid w:val="62BA7203"/>
    <w:rsid w:val="62BF00E5"/>
    <w:rsid w:val="62C2363F"/>
    <w:rsid w:val="62C42780"/>
    <w:rsid w:val="62C6537F"/>
    <w:rsid w:val="62C86052"/>
    <w:rsid w:val="62CD5D42"/>
    <w:rsid w:val="62CE33E4"/>
    <w:rsid w:val="62D03E02"/>
    <w:rsid w:val="62D83C1B"/>
    <w:rsid w:val="62D91866"/>
    <w:rsid w:val="62DD677E"/>
    <w:rsid w:val="62E44CD0"/>
    <w:rsid w:val="62E902AE"/>
    <w:rsid w:val="62EC366C"/>
    <w:rsid w:val="62EE33A5"/>
    <w:rsid w:val="62FB5DD5"/>
    <w:rsid w:val="62FD7408"/>
    <w:rsid w:val="63015F73"/>
    <w:rsid w:val="630336B9"/>
    <w:rsid w:val="63040006"/>
    <w:rsid w:val="631061C0"/>
    <w:rsid w:val="63112EC5"/>
    <w:rsid w:val="631458E7"/>
    <w:rsid w:val="63157E35"/>
    <w:rsid w:val="6318066B"/>
    <w:rsid w:val="631C2DE5"/>
    <w:rsid w:val="6321472B"/>
    <w:rsid w:val="632273B0"/>
    <w:rsid w:val="63281CF2"/>
    <w:rsid w:val="632C317C"/>
    <w:rsid w:val="633050B1"/>
    <w:rsid w:val="633B2068"/>
    <w:rsid w:val="633C5EC4"/>
    <w:rsid w:val="633F12CF"/>
    <w:rsid w:val="63464D2B"/>
    <w:rsid w:val="6348715F"/>
    <w:rsid w:val="634C4666"/>
    <w:rsid w:val="634C500F"/>
    <w:rsid w:val="634D5141"/>
    <w:rsid w:val="634E6ED0"/>
    <w:rsid w:val="634F6AC2"/>
    <w:rsid w:val="63553CA4"/>
    <w:rsid w:val="63556098"/>
    <w:rsid w:val="63563C38"/>
    <w:rsid w:val="63595CB4"/>
    <w:rsid w:val="63601FBD"/>
    <w:rsid w:val="63623CDC"/>
    <w:rsid w:val="63641F85"/>
    <w:rsid w:val="63682814"/>
    <w:rsid w:val="63686570"/>
    <w:rsid w:val="636970D6"/>
    <w:rsid w:val="636D7A34"/>
    <w:rsid w:val="636F6A0B"/>
    <w:rsid w:val="63732B49"/>
    <w:rsid w:val="63732C3E"/>
    <w:rsid w:val="637A5D7B"/>
    <w:rsid w:val="637A7FA7"/>
    <w:rsid w:val="637B0797"/>
    <w:rsid w:val="637E666A"/>
    <w:rsid w:val="638265D8"/>
    <w:rsid w:val="63852ADB"/>
    <w:rsid w:val="638652F6"/>
    <w:rsid w:val="63893EB7"/>
    <w:rsid w:val="63913B0F"/>
    <w:rsid w:val="63940FA3"/>
    <w:rsid w:val="639461E6"/>
    <w:rsid w:val="639500B7"/>
    <w:rsid w:val="63953FB7"/>
    <w:rsid w:val="63975D58"/>
    <w:rsid w:val="6399194E"/>
    <w:rsid w:val="639B5675"/>
    <w:rsid w:val="639D7CBB"/>
    <w:rsid w:val="639E4E67"/>
    <w:rsid w:val="63A829BF"/>
    <w:rsid w:val="63A90196"/>
    <w:rsid w:val="63AA2DF8"/>
    <w:rsid w:val="63AB0C37"/>
    <w:rsid w:val="63AF7176"/>
    <w:rsid w:val="63B25CB4"/>
    <w:rsid w:val="63B6069C"/>
    <w:rsid w:val="63BD4B2B"/>
    <w:rsid w:val="63C0084D"/>
    <w:rsid w:val="63C36ECD"/>
    <w:rsid w:val="63C51369"/>
    <w:rsid w:val="63C90AB0"/>
    <w:rsid w:val="63C945DB"/>
    <w:rsid w:val="63C95A6C"/>
    <w:rsid w:val="63CA646A"/>
    <w:rsid w:val="63CB6250"/>
    <w:rsid w:val="63CC1CDB"/>
    <w:rsid w:val="63CD131A"/>
    <w:rsid w:val="63D141F4"/>
    <w:rsid w:val="63D170E5"/>
    <w:rsid w:val="63D311F3"/>
    <w:rsid w:val="63D43F2B"/>
    <w:rsid w:val="63D64757"/>
    <w:rsid w:val="63EA0CD3"/>
    <w:rsid w:val="63EB2C6D"/>
    <w:rsid w:val="63ED3B95"/>
    <w:rsid w:val="63EF30C8"/>
    <w:rsid w:val="63F471E7"/>
    <w:rsid w:val="63F562AA"/>
    <w:rsid w:val="63F957C8"/>
    <w:rsid w:val="63FA58E9"/>
    <w:rsid w:val="63FA664B"/>
    <w:rsid w:val="63FD511B"/>
    <w:rsid w:val="63FE23A5"/>
    <w:rsid w:val="640054D1"/>
    <w:rsid w:val="64035BE9"/>
    <w:rsid w:val="64043452"/>
    <w:rsid w:val="640639AC"/>
    <w:rsid w:val="640A7F6D"/>
    <w:rsid w:val="6415698F"/>
    <w:rsid w:val="641C56BF"/>
    <w:rsid w:val="64221251"/>
    <w:rsid w:val="6422465A"/>
    <w:rsid w:val="64235BB7"/>
    <w:rsid w:val="64260812"/>
    <w:rsid w:val="64267AC6"/>
    <w:rsid w:val="64293D66"/>
    <w:rsid w:val="642B3E56"/>
    <w:rsid w:val="642E6F74"/>
    <w:rsid w:val="642F2514"/>
    <w:rsid w:val="64303087"/>
    <w:rsid w:val="643300A0"/>
    <w:rsid w:val="64357A1E"/>
    <w:rsid w:val="643618C7"/>
    <w:rsid w:val="64393652"/>
    <w:rsid w:val="64393C7E"/>
    <w:rsid w:val="643979E4"/>
    <w:rsid w:val="643B5B06"/>
    <w:rsid w:val="643D572C"/>
    <w:rsid w:val="644122C9"/>
    <w:rsid w:val="644553A7"/>
    <w:rsid w:val="64473F5B"/>
    <w:rsid w:val="644840CB"/>
    <w:rsid w:val="644C1378"/>
    <w:rsid w:val="644F2252"/>
    <w:rsid w:val="6450168A"/>
    <w:rsid w:val="64561D34"/>
    <w:rsid w:val="64571CFE"/>
    <w:rsid w:val="645750BF"/>
    <w:rsid w:val="64586BD9"/>
    <w:rsid w:val="645F0CA8"/>
    <w:rsid w:val="646628A7"/>
    <w:rsid w:val="646678BC"/>
    <w:rsid w:val="646A4041"/>
    <w:rsid w:val="646D2593"/>
    <w:rsid w:val="6473108B"/>
    <w:rsid w:val="64740A1C"/>
    <w:rsid w:val="64757058"/>
    <w:rsid w:val="64766D22"/>
    <w:rsid w:val="647B48FE"/>
    <w:rsid w:val="647C03BF"/>
    <w:rsid w:val="647E0600"/>
    <w:rsid w:val="647F7A80"/>
    <w:rsid w:val="6481300B"/>
    <w:rsid w:val="64820488"/>
    <w:rsid w:val="64836BEC"/>
    <w:rsid w:val="648476D2"/>
    <w:rsid w:val="64851189"/>
    <w:rsid w:val="64862AB5"/>
    <w:rsid w:val="64866915"/>
    <w:rsid w:val="64887A01"/>
    <w:rsid w:val="648A6CB8"/>
    <w:rsid w:val="648C0FFC"/>
    <w:rsid w:val="648F3AA8"/>
    <w:rsid w:val="649034AC"/>
    <w:rsid w:val="649106C8"/>
    <w:rsid w:val="64923598"/>
    <w:rsid w:val="64946153"/>
    <w:rsid w:val="64987975"/>
    <w:rsid w:val="649D0EF1"/>
    <w:rsid w:val="649F6671"/>
    <w:rsid w:val="64A35161"/>
    <w:rsid w:val="64A446C1"/>
    <w:rsid w:val="64A70DF2"/>
    <w:rsid w:val="64A77044"/>
    <w:rsid w:val="64A849B7"/>
    <w:rsid w:val="64A8567D"/>
    <w:rsid w:val="64A92113"/>
    <w:rsid w:val="64B5360F"/>
    <w:rsid w:val="64B67C17"/>
    <w:rsid w:val="64B70592"/>
    <w:rsid w:val="64C23318"/>
    <w:rsid w:val="64C52C53"/>
    <w:rsid w:val="64CB017F"/>
    <w:rsid w:val="64CC4F0C"/>
    <w:rsid w:val="64D137CB"/>
    <w:rsid w:val="64D310A6"/>
    <w:rsid w:val="64D3285D"/>
    <w:rsid w:val="64D76C08"/>
    <w:rsid w:val="64DE12B9"/>
    <w:rsid w:val="64DE181E"/>
    <w:rsid w:val="64E250A7"/>
    <w:rsid w:val="64F04632"/>
    <w:rsid w:val="64F31A67"/>
    <w:rsid w:val="64F37E41"/>
    <w:rsid w:val="64F8151B"/>
    <w:rsid w:val="64FC0433"/>
    <w:rsid w:val="64FC064F"/>
    <w:rsid w:val="64FD2CFA"/>
    <w:rsid w:val="64FF6A3E"/>
    <w:rsid w:val="65017949"/>
    <w:rsid w:val="65056F2E"/>
    <w:rsid w:val="650642AE"/>
    <w:rsid w:val="65067188"/>
    <w:rsid w:val="65067276"/>
    <w:rsid w:val="65075D34"/>
    <w:rsid w:val="65085EAA"/>
    <w:rsid w:val="65091AAC"/>
    <w:rsid w:val="650E0BDF"/>
    <w:rsid w:val="65110594"/>
    <w:rsid w:val="651574A6"/>
    <w:rsid w:val="65212EC6"/>
    <w:rsid w:val="652511AB"/>
    <w:rsid w:val="65273CE0"/>
    <w:rsid w:val="652810B6"/>
    <w:rsid w:val="65282444"/>
    <w:rsid w:val="652835C0"/>
    <w:rsid w:val="652C1DBE"/>
    <w:rsid w:val="652C62E3"/>
    <w:rsid w:val="652C6E01"/>
    <w:rsid w:val="652D4B56"/>
    <w:rsid w:val="652F2C5A"/>
    <w:rsid w:val="652F6E54"/>
    <w:rsid w:val="6538572D"/>
    <w:rsid w:val="65394932"/>
    <w:rsid w:val="653C50AB"/>
    <w:rsid w:val="653D2DA3"/>
    <w:rsid w:val="65424E85"/>
    <w:rsid w:val="6546685C"/>
    <w:rsid w:val="654A26D8"/>
    <w:rsid w:val="654A49D6"/>
    <w:rsid w:val="654C2D69"/>
    <w:rsid w:val="654E67DA"/>
    <w:rsid w:val="654F0E15"/>
    <w:rsid w:val="65517808"/>
    <w:rsid w:val="655318DF"/>
    <w:rsid w:val="65537F6C"/>
    <w:rsid w:val="65554C66"/>
    <w:rsid w:val="6557194C"/>
    <w:rsid w:val="65572A85"/>
    <w:rsid w:val="6558728B"/>
    <w:rsid w:val="655A6851"/>
    <w:rsid w:val="655B2A47"/>
    <w:rsid w:val="655B6E58"/>
    <w:rsid w:val="656164B1"/>
    <w:rsid w:val="656949D4"/>
    <w:rsid w:val="656D335A"/>
    <w:rsid w:val="65704CA9"/>
    <w:rsid w:val="65710EFD"/>
    <w:rsid w:val="657443FC"/>
    <w:rsid w:val="65747D21"/>
    <w:rsid w:val="65754049"/>
    <w:rsid w:val="65794089"/>
    <w:rsid w:val="657E1FC1"/>
    <w:rsid w:val="658635A3"/>
    <w:rsid w:val="65866B03"/>
    <w:rsid w:val="658675D6"/>
    <w:rsid w:val="658A7F2E"/>
    <w:rsid w:val="658D6818"/>
    <w:rsid w:val="658E3BC4"/>
    <w:rsid w:val="658F4B24"/>
    <w:rsid w:val="6591031E"/>
    <w:rsid w:val="65927369"/>
    <w:rsid w:val="659426D6"/>
    <w:rsid w:val="659451DC"/>
    <w:rsid w:val="659605FB"/>
    <w:rsid w:val="659833E4"/>
    <w:rsid w:val="659902E6"/>
    <w:rsid w:val="65993081"/>
    <w:rsid w:val="659E5C9F"/>
    <w:rsid w:val="65A13A93"/>
    <w:rsid w:val="65A24BC0"/>
    <w:rsid w:val="65A32EB5"/>
    <w:rsid w:val="65A5523E"/>
    <w:rsid w:val="65A702A8"/>
    <w:rsid w:val="65A73734"/>
    <w:rsid w:val="65A8180A"/>
    <w:rsid w:val="65A833DA"/>
    <w:rsid w:val="65A84E79"/>
    <w:rsid w:val="65AC197F"/>
    <w:rsid w:val="65B01F28"/>
    <w:rsid w:val="65B36E89"/>
    <w:rsid w:val="65B73D7D"/>
    <w:rsid w:val="65B84B4C"/>
    <w:rsid w:val="65B87625"/>
    <w:rsid w:val="65BB0388"/>
    <w:rsid w:val="65BF0141"/>
    <w:rsid w:val="65C00521"/>
    <w:rsid w:val="65C12A97"/>
    <w:rsid w:val="65C317A3"/>
    <w:rsid w:val="65C93E54"/>
    <w:rsid w:val="65CB435F"/>
    <w:rsid w:val="65CB443A"/>
    <w:rsid w:val="65D340D7"/>
    <w:rsid w:val="65D74082"/>
    <w:rsid w:val="65D75E79"/>
    <w:rsid w:val="65D843D3"/>
    <w:rsid w:val="65DB7271"/>
    <w:rsid w:val="65DD6613"/>
    <w:rsid w:val="65DE42DE"/>
    <w:rsid w:val="65DF6773"/>
    <w:rsid w:val="65E022E2"/>
    <w:rsid w:val="65F06766"/>
    <w:rsid w:val="65F3331D"/>
    <w:rsid w:val="65F3495D"/>
    <w:rsid w:val="65F86CBC"/>
    <w:rsid w:val="65FA1CCC"/>
    <w:rsid w:val="65FB3C97"/>
    <w:rsid w:val="65FE0C70"/>
    <w:rsid w:val="65FE6FF5"/>
    <w:rsid w:val="65FF7AA6"/>
    <w:rsid w:val="66035D38"/>
    <w:rsid w:val="66065B95"/>
    <w:rsid w:val="660B0455"/>
    <w:rsid w:val="66111A32"/>
    <w:rsid w:val="66126B8D"/>
    <w:rsid w:val="66153762"/>
    <w:rsid w:val="66154481"/>
    <w:rsid w:val="66176767"/>
    <w:rsid w:val="661B1BCF"/>
    <w:rsid w:val="661B6A82"/>
    <w:rsid w:val="66281CC3"/>
    <w:rsid w:val="662B70D7"/>
    <w:rsid w:val="662F2D45"/>
    <w:rsid w:val="66312E2B"/>
    <w:rsid w:val="663220D8"/>
    <w:rsid w:val="6634390E"/>
    <w:rsid w:val="6637091A"/>
    <w:rsid w:val="663E5B7F"/>
    <w:rsid w:val="66422075"/>
    <w:rsid w:val="66426302"/>
    <w:rsid w:val="66434BC3"/>
    <w:rsid w:val="66443C77"/>
    <w:rsid w:val="664D043F"/>
    <w:rsid w:val="664E0737"/>
    <w:rsid w:val="664E152A"/>
    <w:rsid w:val="664E527A"/>
    <w:rsid w:val="664F41FD"/>
    <w:rsid w:val="66544BF7"/>
    <w:rsid w:val="66575A56"/>
    <w:rsid w:val="665A1838"/>
    <w:rsid w:val="665A3324"/>
    <w:rsid w:val="665E3732"/>
    <w:rsid w:val="66617907"/>
    <w:rsid w:val="6662597E"/>
    <w:rsid w:val="66633711"/>
    <w:rsid w:val="66646DBD"/>
    <w:rsid w:val="66667F68"/>
    <w:rsid w:val="666A21C6"/>
    <w:rsid w:val="666F5117"/>
    <w:rsid w:val="66700A12"/>
    <w:rsid w:val="66701F38"/>
    <w:rsid w:val="667B039A"/>
    <w:rsid w:val="667C3953"/>
    <w:rsid w:val="667D23D7"/>
    <w:rsid w:val="667D6A1C"/>
    <w:rsid w:val="667F2B83"/>
    <w:rsid w:val="6687665F"/>
    <w:rsid w:val="668F1114"/>
    <w:rsid w:val="6690426F"/>
    <w:rsid w:val="6692316E"/>
    <w:rsid w:val="66944097"/>
    <w:rsid w:val="66944571"/>
    <w:rsid w:val="6696173B"/>
    <w:rsid w:val="669A2DA9"/>
    <w:rsid w:val="669E24FD"/>
    <w:rsid w:val="669E4476"/>
    <w:rsid w:val="66A03469"/>
    <w:rsid w:val="66A20497"/>
    <w:rsid w:val="66A2109C"/>
    <w:rsid w:val="66A21782"/>
    <w:rsid w:val="66A77173"/>
    <w:rsid w:val="66A84A8A"/>
    <w:rsid w:val="66AB6E66"/>
    <w:rsid w:val="66AC2E1F"/>
    <w:rsid w:val="66AD6911"/>
    <w:rsid w:val="66AF0077"/>
    <w:rsid w:val="66B07D06"/>
    <w:rsid w:val="66B167BD"/>
    <w:rsid w:val="66B76593"/>
    <w:rsid w:val="66B81B78"/>
    <w:rsid w:val="66B91549"/>
    <w:rsid w:val="66BE152B"/>
    <w:rsid w:val="66BE454B"/>
    <w:rsid w:val="66BF08D3"/>
    <w:rsid w:val="66C02BFB"/>
    <w:rsid w:val="66C400B0"/>
    <w:rsid w:val="66C631C4"/>
    <w:rsid w:val="66C8504F"/>
    <w:rsid w:val="66CC5EDC"/>
    <w:rsid w:val="66D0175B"/>
    <w:rsid w:val="66D3451E"/>
    <w:rsid w:val="66D71874"/>
    <w:rsid w:val="66D76BE3"/>
    <w:rsid w:val="66D96C69"/>
    <w:rsid w:val="66DE2AC5"/>
    <w:rsid w:val="66E77BCB"/>
    <w:rsid w:val="66E804CE"/>
    <w:rsid w:val="66EB6361"/>
    <w:rsid w:val="66ED5A4E"/>
    <w:rsid w:val="66EE05C2"/>
    <w:rsid w:val="66F1153E"/>
    <w:rsid w:val="66F14CED"/>
    <w:rsid w:val="66F347C2"/>
    <w:rsid w:val="66F74533"/>
    <w:rsid w:val="66FD6FD3"/>
    <w:rsid w:val="66FF63E7"/>
    <w:rsid w:val="670267B3"/>
    <w:rsid w:val="67044395"/>
    <w:rsid w:val="67046B1A"/>
    <w:rsid w:val="67063087"/>
    <w:rsid w:val="67065C43"/>
    <w:rsid w:val="67076DAF"/>
    <w:rsid w:val="67077743"/>
    <w:rsid w:val="67097888"/>
    <w:rsid w:val="670B3DCF"/>
    <w:rsid w:val="67120B0B"/>
    <w:rsid w:val="671775CB"/>
    <w:rsid w:val="67185726"/>
    <w:rsid w:val="671B5AC7"/>
    <w:rsid w:val="67233DA9"/>
    <w:rsid w:val="6725229E"/>
    <w:rsid w:val="67281B80"/>
    <w:rsid w:val="672C62F1"/>
    <w:rsid w:val="672F2353"/>
    <w:rsid w:val="673033D3"/>
    <w:rsid w:val="67347DA4"/>
    <w:rsid w:val="673634AD"/>
    <w:rsid w:val="67370C72"/>
    <w:rsid w:val="673821D5"/>
    <w:rsid w:val="673C5F52"/>
    <w:rsid w:val="673E504C"/>
    <w:rsid w:val="67414C3C"/>
    <w:rsid w:val="674403B9"/>
    <w:rsid w:val="67446DCC"/>
    <w:rsid w:val="67450352"/>
    <w:rsid w:val="67452010"/>
    <w:rsid w:val="674B7FFB"/>
    <w:rsid w:val="67514D62"/>
    <w:rsid w:val="67547144"/>
    <w:rsid w:val="6754752E"/>
    <w:rsid w:val="675524B4"/>
    <w:rsid w:val="67597347"/>
    <w:rsid w:val="675C355A"/>
    <w:rsid w:val="67660DE6"/>
    <w:rsid w:val="67673DB5"/>
    <w:rsid w:val="67674F82"/>
    <w:rsid w:val="676A4395"/>
    <w:rsid w:val="676B7A40"/>
    <w:rsid w:val="676E5C69"/>
    <w:rsid w:val="676F11D5"/>
    <w:rsid w:val="676F2541"/>
    <w:rsid w:val="6771125B"/>
    <w:rsid w:val="67757527"/>
    <w:rsid w:val="67760F4F"/>
    <w:rsid w:val="6779193D"/>
    <w:rsid w:val="677B0414"/>
    <w:rsid w:val="677B083A"/>
    <w:rsid w:val="677C710D"/>
    <w:rsid w:val="677E05E4"/>
    <w:rsid w:val="677E1A8F"/>
    <w:rsid w:val="677F3A3C"/>
    <w:rsid w:val="678078AD"/>
    <w:rsid w:val="67836BDB"/>
    <w:rsid w:val="6784199D"/>
    <w:rsid w:val="678D5027"/>
    <w:rsid w:val="678D5106"/>
    <w:rsid w:val="678F39DE"/>
    <w:rsid w:val="67921CA0"/>
    <w:rsid w:val="679835FD"/>
    <w:rsid w:val="67987C3D"/>
    <w:rsid w:val="679900DA"/>
    <w:rsid w:val="679B7247"/>
    <w:rsid w:val="679C14F1"/>
    <w:rsid w:val="679E07C6"/>
    <w:rsid w:val="679E2E72"/>
    <w:rsid w:val="679F34A7"/>
    <w:rsid w:val="67A243B9"/>
    <w:rsid w:val="67A563E9"/>
    <w:rsid w:val="67A6307C"/>
    <w:rsid w:val="67A64B1E"/>
    <w:rsid w:val="67A8786A"/>
    <w:rsid w:val="67A909C3"/>
    <w:rsid w:val="67AA4E89"/>
    <w:rsid w:val="67AC3A7D"/>
    <w:rsid w:val="67B00A63"/>
    <w:rsid w:val="67B02F86"/>
    <w:rsid w:val="67B114ED"/>
    <w:rsid w:val="67B37F7F"/>
    <w:rsid w:val="67B538AE"/>
    <w:rsid w:val="67B805CF"/>
    <w:rsid w:val="67B96F35"/>
    <w:rsid w:val="67C5379F"/>
    <w:rsid w:val="67CA4386"/>
    <w:rsid w:val="67CD7150"/>
    <w:rsid w:val="67D10B9C"/>
    <w:rsid w:val="67D25AB4"/>
    <w:rsid w:val="67D612B3"/>
    <w:rsid w:val="67D70A29"/>
    <w:rsid w:val="67D87514"/>
    <w:rsid w:val="67DF0A23"/>
    <w:rsid w:val="67E37C9E"/>
    <w:rsid w:val="67E62ACA"/>
    <w:rsid w:val="67E92F45"/>
    <w:rsid w:val="67E94456"/>
    <w:rsid w:val="67EA4464"/>
    <w:rsid w:val="67EA593C"/>
    <w:rsid w:val="67EC7E69"/>
    <w:rsid w:val="67EF53F5"/>
    <w:rsid w:val="67F17E0B"/>
    <w:rsid w:val="67F3004F"/>
    <w:rsid w:val="67F36D1A"/>
    <w:rsid w:val="67F36F5C"/>
    <w:rsid w:val="67F53FC8"/>
    <w:rsid w:val="67F7322A"/>
    <w:rsid w:val="67F73EB5"/>
    <w:rsid w:val="67F82529"/>
    <w:rsid w:val="67FB5062"/>
    <w:rsid w:val="67FC7C35"/>
    <w:rsid w:val="68006EFF"/>
    <w:rsid w:val="680321BC"/>
    <w:rsid w:val="68051A2B"/>
    <w:rsid w:val="6807566D"/>
    <w:rsid w:val="68077DF9"/>
    <w:rsid w:val="68084E41"/>
    <w:rsid w:val="680A3788"/>
    <w:rsid w:val="680A6AA5"/>
    <w:rsid w:val="680B1DC8"/>
    <w:rsid w:val="680C60B3"/>
    <w:rsid w:val="680E2F36"/>
    <w:rsid w:val="68121128"/>
    <w:rsid w:val="68154BEC"/>
    <w:rsid w:val="681D0AF2"/>
    <w:rsid w:val="681D521E"/>
    <w:rsid w:val="681E22E4"/>
    <w:rsid w:val="68264723"/>
    <w:rsid w:val="68271250"/>
    <w:rsid w:val="6829279C"/>
    <w:rsid w:val="682A5B2C"/>
    <w:rsid w:val="682C0E2D"/>
    <w:rsid w:val="682D2256"/>
    <w:rsid w:val="682D7E4D"/>
    <w:rsid w:val="68334662"/>
    <w:rsid w:val="68344467"/>
    <w:rsid w:val="683C069A"/>
    <w:rsid w:val="683E1A6D"/>
    <w:rsid w:val="684A6E8D"/>
    <w:rsid w:val="684E4C3B"/>
    <w:rsid w:val="684F4DF1"/>
    <w:rsid w:val="68522762"/>
    <w:rsid w:val="68541A0D"/>
    <w:rsid w:val="685500F8"/>
    <w:rsid w:val="6855620F"/>
    <w:rsid w:val="6859176A"/>
    <w:rsid w:val="685E738A"/>
    <w:rsid w:val="68630AA0"/>
    <w:rsid w:val="686716E8"/>
    <w:rsid w:val="6868146A"/>
    <w:rsid w:val="68686F8D"/>
    <w:rsid w:val="6869150C"/>
    <w:rsid w:val="68691FA6"/>
    <w:rsid w:val="686964F5"/>
    <w:rsid w:val="686B5959"/>
    <w:rsid w:val="686F2514"/>
    <w:rsid w:val="68700B0D"/>
    <w:rsid w:val="68715CA9"/>
    <w:rsid w:val="687433D5"/>
    <w:rsid w:val="687460E8"/>
    <w:rsid w:val="687B1E20"/>
    <w:rsid w:val="687B654F"/>
    <w:rsid w:val="687D644E"/>
    <w:rsid w:val="68817B6A"/>
    <w:rsid w:val="68892900"/>
    <w:rsid w:val="688A3F04"/>
    <w:rsid w:val="688B4B9E"/>
    <w:rsid w:val="688C6B52"/>
    <w:rsid w:val="688D2BBF"/>
    <w:rsid w:val="68927DC1"/>
    <w:rsid w:val="68981844"/>
    <w:rsid w:val="689A389B"/>
    <w:rsid w:val="689D337A"/>
    <w:rsid w:val="68A32D7D"/>
    <w:rsid w:val="68A52111"/>
    <w:rsid w:val="68A6500E"/>
    <w:rsid w:val="68A6502A"/>
    <w:rsid w:val="68A761C6"/>
    <w:rsid w:val="68A76544"/>
    <w:rsid w:val="68AC5B18"/>
    <w:rsid w:val="68B44C6D"/>
    <w:rsid w:val="68B7189A"/>
    <w:rsid w:val="68B75894"/>
    <w:rsid w:val="68B76844"/>
    <w:rsid w:val="68BA4E6C"/>
    <w:rsid w:val="68BC0481"/>
    <w:rsid w:val="68BD66D8"/>
    <w:rsid w:val="68C0267A"/>
    <w:rsid w:val="68C074E9"/>
    <w:rsid w:val="68C11E75"/>
    <w:rsid w:val="68C56718"/>
    <w:rsid w:val="68C879AD"/>
    <w:rsid w:val="68CE0C94"/>
    <w:rsid w:val="68CF698B"/>
    <w:rsid w:val="68D301A9"/>
    <w:rsid w:val="68D4106C"/>
    <w:rsid w:val="68D44A3B"/>
    <w:rsid w:val="68D57C16"/>
    <w:rsid w:val="68DA0E46"/>
    <w:rsid w:val="68DB7A30"/>
    <w:rsid w:val="68DF0569"/>
    <w:rsid w:val="68E1552E"/>
    <w:rsid w:val="68E30A1E"/>
    <w:rsid w:val="68E40FE8"/>
    <w:rsid w:val="68E423D6"/>
    <w:rsid w:val="68E657DF"/>
    <w:rsid w:val="68EA25C6"/>
    <w:rsid w:val="68F42853"/>
    <w:rsid w:val="68F4387F"/>
    <w:rsid w:val="68F97228"/>
    <w:rsid w:val="68FB1104"/>
    <w:rsid w:val="68FC0C9D"/>
    <w:rsid w:val="68FE4C41"/>
    <w:rsid w:val="6901503B"/>
    <w:rsid w:val="69046EB2"/>
    <w:rsid w:val="69072139"/>
    <w:rsid w:val="69080BA7"/>
    <w:rsid w:val="690B386C"/>
    <w:rsid w:val="690C687E"/>
    <w:rsid w:val="69117181"/>
    <w:rsid w:val="69133C03"/>
    <w:rsid w:val="69157049"/>
    <w:rsid w:val="691645AD"/>
    <w:rsid w:val="691720B5"/>
    <w:rsid w:val="691816E8"/>
    <w:rsid w:val="691A42A9"/>
    <w:rsid w:val="691C028A"/>
    <w:rsid w:val="691E201D"/>
    <w:rsid w:val="692109E6"/>
    <w:rsid w:val="69215250"/>
    <w:rsid w:val="69286353"/>
    <w:rsid w:val="69293D04"/>
    <w:rsid w:val="692A5EA3"/>
    <w:rsid w:val="692D5C38"/>
    <w:rsid w:val="69362BF6"/>
    <w:rsid w:val="693645BE"/>
    <w:rsid w:val="69377EB5"/>
    <w:rsid w:val="69380E48"/>
    <w:rsid w:val="693A6EB9"/>
    <w:rsid w:val="693E052C"/>
    <w:rsid w:val="69484925"/>
    <w:rsid w:val="694C27B0"/>
    <w:rsid w:val="69536378"/>
    <w:rsid w:val="695527BF"/>
    <w:rsid w:val="695C038F"/>
    <w:rsid w:val="695F2186"/>
    <w:rsid w:val="695F27C6"/>
    <w:rsid w:val="695F2C30"/>
    <w:rsid w:val="69622B0D"/>
    <w:rsid w:val="6967586B"/>
    <w:rsid w:val="696957BB"/>
    <w:rsid w:val="69706866"/>
    <w:rsid w:val="697228FA"/>
    <w:rsid w:val="69724E14"/>
    <w:rsid w:val="69733349"/>
    <w:rsid w:val="69735746"/>
    <w:rsid w:val="69767DA5"/>
    <w:rsid w:val="69781F2D"/>
    <w:rsid w:val="6979175C"/>
    <w:rsid w:val="697C1812"/>
    <w:rsid w:val="697D3CE8"/>
    <w:rsid w:val="697E40EB"/>
    <w:rsid w:val="697F3B8C"/>
    <w:rsid w:val="698227D6"/>
    <w:rsid w:val="69825B6B"/>
    <w:rsid w:val="6983520B"/>
    <w:rsid w:val="6985393A"/>
    <w:rsid w:val="698777AF"/>
    <w:rsid w:val="69883157"/>
    <w:rsid w:val="698C7D52"/>
    <w:rsid w:val="698E5C0C"/>
    <w:rsid w:val="69947E46"/>
    <w:rsid w:val="69953EB2"/>
    <w:rsid w:val="69967F49"/>
    <w:rsid w:val="699762C9"/>
    <w:rsid w:val="699809CD"/>
    <w:rsid w:val="69981676"/>
    <w:rsid w:val="699871BB"/>
    <w:rsid w:val="69992CD3"/>
    <w:rsid w:val="69A0515F"/>
    <w:rsid w:val="69A44E21"/>
    <w:rsid w:val="69AF2940"/>
    <w:rsid w:val="69B11B77"/>
    <w:rsid w:val="69B55846"/>
    <w:rsid w:val="69B70DE6"/>
    <w:rsid w:val="69B97B85"/>
    <w:rsid w:val="69BB0EA3"/>
    <w:rsid w:val="69BE3132"/>
    <w:rsid w:val="69C03A0B"/>
    <w:rsid w:val="69C51F1F"/>
    <w:rsid w:val="69C97C6D"/>
    <w:rsid w:val="69CF1D34"/>
    <w:rsid w:val="69D149F4"/>
    <w:rsid w:val="69D40498"/>
    <w:rsid w:val="69D752E6"/>
    <w:rsid w:val="69D846E3"/>
    <w:rsid w:val="69D94687"/>
    <w:rsid w:val="69D975FB"/>
    <w:rsid w:val="69DA3CA1"/>
    <w:rsid w:val="69DD04F3"/>
    <w:rsid w:val="69DE6DA5"/>
    <w:rsid w:val="69E145B4"/>
    <w:rsid w:val="69E63014"/>
    <w:rsid w:val="69E63C3F"/>
    <w:rsid w:val="69EE0C4A"/>
    <w:rsid w:val="69FA3BD8"/>
    <w:rsid w:val="69FC1871"/>
    <w:rsid w:val="69FE61B2"/>
    <w:rsid w:val="69FF347E"/>
    <w:rsid w:val="6A0376A9"/>
    <w:rsid w:val="6A0419BA"/>
    <w:rsid w:val="6A0523B2"/>
    <w:rsid w:val="6A0744F9"/>
    <w:rsid w:val="6A0772B1"/>
    <w:rsid w:val="6A08343B"/>
    <w:rsid w:val="6A0B2D20"/>
    <w:rsid w:val="6A0B3BB0"/>
    <w:rsid w:val="6A101611"/>
    <w:rsid w:val="6A1205FA"/>
    <w:rsid w:val="6A121E55"/>
    <w:rsid w:val="6A125906"/>
    <w:rsid w:val="6A127362"/>
    <w:rsid w:val="6A1456FA"/>
    <w:rsid w:val="6A1629C0"/>
    <w:rsid w:val="6A1642D6"/>
    <w:rsid w:val="6A1928F3"/>
    <w:rsid w:val="6A1933D3"/>
    <w:rsid w:val="6A1B098B"/>
    <w:rsid w:val="6A1E4511"/>
    <w:rsid w:val="6A2201FF"/>
    <w:rsid w:val="6A267795"/>
    <w:rsid w:val="6A28297C"/>
    <w:rsid w:val="6A295DF0"/>
    <w:rsid w:val="6A2A02EC"/>
    <w:rsid w:val="6A2E22A3"/>
    <w:rsid w:val="6A2E5B68"/>
    <w:rsid w:val="6A3022B5"/>
    <w:rsid w:val="6A323639"/>
    <w:rsid w:val="6A340AA7"/>
    <w:rsid w:val="6A347350"/>
    <w:rsid w:val="6A3473F1"/>
    <w:rsid w:val="6A360D60"/>
    <w:rsid w:val="6A36255A"/>
    <w:rsid w:val="6A3D039F"/>
    <w:rsid w:val="6A3D398B"/>
    <w:rsid w:val="6A3E376A"/>
    <w:rsid w:val="6A40456D"/>
    <w:rsid w:val="6A407913"/>
    <w:rsid w:val="6A41397D"/>
    <w:rsid w:val="6A4140F8"/>
    <w:rsid w:val="6A426267"/>
    <w:rsid w:val="6A433D9F"/>
    <w:rsid w:val="6A470791"/>
    <w:rsid w:val="6A472827"/>
    <w:rsid w:val="6A4751A8"/>
    <w:rsid w:val="6A4906A2"/>
    <w:rsid w:val="6A4920FD"/>
    <w:rsid w:val="6A4A7786"/>
    <w:rsid w:val="6A4B337E"/>
    <w:rsid w:val="6A4C76CF"/>
    <w:rsid w:val="6A577151"/>
    <w:rsid w:val="6A5F34DE"/>
    <w:rsid w:val="6A6130FA"/>
    <w:rsid w:val="6A653DF1"/>
    <w:rsid w:val="6A6D45F2"/>
    <w:rsid w:val="6A6D488B"/>
    <w:rsid w:val="6A6E7D76"/>
    <w:rsid w:val="6A6F4666"/>
    <w:rsid w:val="6A7050EE"/>
    <w:rsid w:val="6A707D58"/>
    <w:rsid w:val="6A7122F6"/>
    <w:rsid w:val="6A7375EB"/>
    <w:rsid w:val="6A780565"/>
    <w:rsid w:val="6A7D5B05"/>
    <w:rsid w:val="6A7E429A"/>
    <w:rsid w:val="6A7E56D8"/>
    <w:rsid w:val="6A814175"/>
    <w:rsid w:val="6A84423B"/>
    <w:rsid w:val="6A855117"/>
    <w:rsid w:val="6A870E81"/>
    <w:rsid w:val="6A8A0CF4"/>
    <w:rsid w:val="6A8D2838"/>
    <w:rsid w:val="6A8D36DA"/>
    <w:rsid w:val="6A8F4802"/>
    <w:rsid w:val="6A8F5526"/>
    <w:rsid w:val="6A902328"/>
    <w:rsid w:val="6A924790"/>
    <w:rsid w:val="6A935813"/>
    <w:rsid w:val="6A94483F"/>
    <w:rsid w:val="6A9450E3"/>
    <w:rsid w:val="6A9544B3"/>
    <w:rsid w:val="6A964A9D"/>
    <w:rsid w:val="6A986F44"/>
    <w:rsid w:val="6A9A4F55"/>
    <w:rsid w:val="6AA45C64"/>
    <w:rsid w:val="6AA46670"/>
    <w:rsid w:val="6AA52237"/>
    <w:rsid w:val="6AAE4E82"/>
    <w:rsid w:val="6AAE756A"/>
    <w:rsid w:val="6AB015B8"/>
    <w:rsid w:val="6AB624FC"/>
    <w:rsid w:val="6AB651A5"/>
    <w:rsid w:val="6AB665FC"/>
    <w:rsid w:val="6AB66FC7"/>
    <w:rsid w:val="6AB818B0"/>
    <w:rsid w:val="6AB82F20"/>
    <w:rsid w:val="6AB97523"/>
    <w:rsid w:val="6ABB3DBD"/>
    <w:rsid w:val="6ABC16A0"/>
    <w:rsid w:val="6ABE3582"/>
    <w:rsid w:val="6AC564D3"/>
    <w:rsid w:val="6AC62028"/>
    <w:rsid w:val="6AC67093"/>
    <w:rsid w:val="6AC70F94"/>
    <w:rsid w:val="6AC834D4"/>
    <w:rsid w:val="6ACB4F62"/>
    <w:rsid w:val="6ACB6D61"/>
    <w:rsid w:val="6ACD4341"/>
    <w:rsid w:val="6ACF53D8"/>
    <w:rsid w:val="6AD0608F"/>
    <w:rsid w:val="6AD2507A"/>
    <w:rsid w:val="6AD33D4F"/>
    <w:rsid w:val="6AD42215"/>
    <w:rsid w:val="6AD63B77"/>
    <w:rsid w:val="6AD7023F"/>
    <w:rsid w:val="6ADA17BB"/>
    <w:rsid w:val="6ADD6CFC"/>
    <w:rsid w:val="6ADD7472"/>
    <w:rsid w:val="6ADE44B2"/>
    <w:rsid w:val="6AE36E4D"/>
    <w:rsid w:val="6AE738BC"/>
    <w:rsid w:val="6AEB7C2E"/>
    <w:rsid w:val="6AF13BE7"/>
    <w:rsid w:val="6AF33F1D"/>
    <w:rsid w:val="6AF428B7"/>
    <w:rsid w:val="6AF750C0"/>
    <w:rsid w:val="6AFA3EFC"/>
    <w:rsid w:val="6AFE4BD7"/>
    <w:rsid w:val="6B010B39"/>
    <w:rsid w:val="6B0756E8"/>
    <w:rsid w:val="6B0C2E41"/>
    <w:rsid w:val="6B0C4581"/>
    <w:rsid w:val="6B103401"/>
    <w:rsid w:val="6B1247F9"/>
    <w:rsid w:val="6B1532D7"/>
    <w:rsid w:val="6B1619F4"/>
    <w:rsid w:val="6B1C73E9"/>
    <w:rsid w:val="6B1E5B3D"/>
    <w:rsid w:val="6B1E7A66"/>
    <w:rsid w:val="6B2027B9"/>
    <w:rsid w:val="6B22664D"/>
    <w:rsid w:val="6B2601FA"/>
    <w:rsid w:val="6B27230E"/>
    <w:rsid w:val="6B285323"/>
    <w:rsid w:val="6B2C2F36"/>
    <w:rsid w:val="6B2C4B33"/>
    <w:rsid w:val="6B2D2FFF"/>
    <w:rsid w:val="6B324A82"/>
    <w:rsid w:val="6B32518D"/>
    <w:rsid w:val="6B345B57"/>
    <w:rsid w:val="6B370474"/>
    <w:rsid w:val="6B3709F5"/>
    <w:rsid w:val="6B3B0D88"/>
    <w:rsid w:val="6B415DB9"/>
    <w:rsid w:val="6B433A99"/>
    <w:rsid w:val="6B45035E"/>
    <w:rsid w:val="6B486805"/>
    <w:rsid w:val="6B4C1617"/>
    <w:rsid w:val="6B4E2552"/>
    <w:rsid w:val="6B555870"/>
    <w:rsid w:val="6B584B58"/>
    <w:rsid w:val="6B5B4072"/>
    <w:rsid w:val="6B5B5C25"/>
    <w:rsid w:val="6B5B6E91"/>
    <w:rsid w:val="6B5B737B"/>
    <w:rsid w:val="6B5D1949"/>
    <w:rsid w:val="6B61176B"/>
    <w:rsid w:val="6B640529"/>
    <w:rsid w:val="6B640681"/>
    <w:rsid w:val="6B6461F8"/>
    <w:rsid w:val="6B6543D6"/>
    <w:rsid w:val="6B661A81"/>
    <w:rsid w:val="6B67752D"/>
    <w:rsid w:val="6B6B194C"/>
    <w:rsid w:val="6B6B63F1"/>
    <w:rsid w:val="6B733A68"/>
    <w:rsid w:val="6B742137"/>
    <w:rsid w:val="6B753528"/>
    <w:rsid w:val="6B7A14CA"/>
    <w:rsid w:val="6B7C4D14"/>
    <w:rsid w:val="6B7E1F2A"/>
    <w:rsid w:val="6B7E4876"/>
    <w:rsid w:val="6B80354C"/>
    <w:rsid w:val="6B8D7213"/>
    <w:rsid w:val="6B900695"/>
    <w:rsid w:val="6B914EFC"/>
    <w:rsid w:val="6B980574"/>
    <w:rsid w:val="6B9B0301"/>
    <w:rsid w:val="6BA0003E"/>
    <w:rsid w:val="6BA27C8F"/>
    <w:rsid w:val="6BA90B8E"/>
    <w:rsid w:val="6BA95E67"/>
    <w:rsid w:val="6BAA0DE6"/>
    <w:rsid w:val="6BAA5838"/>
    <w:rsid w:val="6BAC3782"/>
    <w:rsid w:val="6BAC6743"/>
    <w:rsid w:val="6BAE2139"/>
    <w:rsid w:val="6BAE7FBC"/>
    <w:rsid w:val="6BB40DC4"/>
    <w:rsid w:val="6BB61FA3"/>
    <w:rsid w:val="6BB70A3B"/>
    <w:rsid w:val="6BB86227"/>
    <w:rsid w:val="6BBA58A1"/>
    <w:rsid w:val="6BBB5A2B"/>
    <w:rsid w:val="6BBE4C73"/>
    <w:rsid w:val="6BBF6286"/>
    <w:rsid w:val="6BC01077"/>
    <w:rsid w:val="6BC074AE"/>
    <w:rsid w:val="6BC61B39"/>
    <w:rsid w:val="6BCC710C"/>
    <w:rsid w:val="6BD06ED9"/>
    <w:rsid w:val="6BD12270"/>
    <w:rsid w:val="6BD53A07"/>
    <w:rsid w:val="6BD76F3B"/>
    <w:rsid w:val="6BD87F55"/>
    <w:rsid w:val="6BE07937"/>
    <w:rsid w:val="6BE529A4"/>
    <w:rsid w:val="6BE61591"/>
    <w:rsid w:val="6BE64C49"/>
    <w:rsid w:val="6BE8335D"/>
    <w:rsid w:val="6BE929C6"/>
    <w:rsid w:val="6BEB3552"/>
    <w:rsid w:val="6BEC7D5C"/>
    <w:rsid w:val="6BF265FE"/>
    <w:rsid w:val="6BF47E4F"/>
    <w:rsid w:val="6BF60054"/>
    <w:rsid w:val="6BF8186A"/>
    <w:rsid w:val="6BFC283C"/>
    <w:rsid w:val="6BFC682C"/>
    <w:rsid w:val="6BFE736B"/>
    <w:rsid w:val="6C06002F"/>
    <w:rsid w:val="6C0A3AA5"/>
    <w:rsid w:val="6C0C2D36"/>
    <w:rsid w:val="6C0F23A8"/>
    <w:rsid w:val="6C13382D"/>
    <w:rsid w:val="6C13641D"/>
    <w:rsid w:val="6C1C7F30"/>
    <w:rsid w:val="6C1D2CB6"/>
    <w:rsid w:val="6C2110E2"/>
    <w:rsid w:val="6C217E49"/>
    <w:rsid w:val="6C222FCD"/>
    <w:rsid w:val="6C276A33"/>
    <w:rsid w:val="6C2A5535"/>
    <w:rsid w:val="6C2C2C28"/>
    <w:rsid w:val="6C2F2C51"/>
    <w:rsid w:val="6C333CFB"/>
    <w:rsid w:val="6C340A53"/>
    <w:rsid w:val="6C372119"/>
    <w:rsid w:val="6C380C77"/>
    <w:rsid w:val="6C403AED"/>
    <w:rsid w:val="6C4433CA"/>
    <w:rsid w:val="6C470226"/>
    <w:rsid w:val="6C4B463F"/>
    <w:rsid w:val="6C4C7579"/>
    <w:rsid w:val="6C4F7B81"/>
    <w:rsid w:val="6C513DA6"/>
    <w:rsid w:val="6C572752"/>
    <w:rsid w:val="6C5A508C"/>
    <w:rsid w:val="6C5F30AA"/>
    <w:rsid w:val="6C62194C"/>
    <w:rsid w:val="6C63509E"/>
    <w:rsid w:val="6C642611"/>
    <w:rsid w:val="6C656CDE"/>
    <w:rsid w:val="6C6665C9"/>
    <w:rsid w:val="6C684363"/>
    <w:rsid w:val="6C69711A"/>
    <w:rsid w:val="6C6A26E7"/>
    <w:rsid w:val="6C701163"/>
    <w:rsid w:val="6C703F68"/>
    <w:rsid w:val="6C78471F"/>
    <w:rsid w:val="6C793A4A"/>
    <w:rsid w:val="6C7A7857"/>
    <w:rsid w:val="6C7B6D88"/>
    <w:rsid w:val="6C7C5136"/>
    <w:rsid w:val="6C81247A"/>
    <w:rsid w:val="6C852DFC"/>
    <w:rsid w:val="6C857657"/>
    <w:rsid w:val="6C8578D2"/>
    <w:rsid w:val="6C870F69"/>
    <w:rsid w:val="6C944351"/>
    <w:rsid w:val="6C950857"/>
    <w:rsid w:val="6C995257"/>
    <w:rsid w:val="6C9A38D9"/>
    <w:rsid w:val="6CA65C74"/>
    <w:rsid w:val="6CA7396A"/>
    <w:rsid w:val="6CA83893"/>
    <w:rsid w:val="6CAF2D7D"/>
    <w:rsid w:val="6CB06CB1"/>
    <w:rsid w:val="6CB255AB"/>
    <w:rsid w:val="6CB26586"/>
    <w:rsid w:val="6CB55585"/>
    <w:rsid w:val="6CB601EE"/>
    <w:rsid w:val="6CB773A1"/>
    <w:rsid w:val="6CB851D9"/>
    <w:rsid w:val="6CBA4537"/>
    <w:rsid w:val="6CBE335E"/>
    <w:rsid w:val="6CC64922"/>
    <w:rsid w:val="6CC8453C"/>
    <w:rsid w:val="6CC846F3"/>
    <w:rsid w:val="6CD200E9"/>
    <w:rsid w:val="6CD20375"/>
    <w:rsid w:val="6CD6265A"/>
    <w:rsid w:val="6CD66592"/>
    <w:rsid w:val="6CD700EB"/>
    <w:rsid w:val="6CDE15E0"/>
    <w:rsid w:val="6CE4437D"/>
    <w:rsid w:val="6CE57659"/>
    <w:rsid w:val="6CE663E6"/>
    <w:rsid w:val="6CE8304F"/>
    <w:rsid w:val="6CE95D1F"/>
    <w:rsid w:val="6CEC01D2"/>
    <w:rsid w:val="6CEC5BAE"/>
    <w:rsid w:val="6CF368F5"/>
    <w:rsid w:val="6CF37610"/>
    <w:rsid w:val="6CF51041"/>
    <w:rsid w:val="6CFB07B3"/>
    <w:rsid w:val="6CFB0914"/>
    <w:rsid w:val="6D0221B7"/>
    <w:rsid w:val="6D035AD8"/>
    <w:rsid w:val="6D045962"/>
    <w:rsid w:val="6D0517A7"/>
    <w:rsid w:val="6D06067F"/>
    <w:rsid w:val="6D0A1512"/>
    <w:rsid w:val="6D0B288F"/>
    <w:rsid w:val="6D0C660D"/>
    <w:rsid w:val="6D0D0BB4"/>
    <w:rsid w:val="6D102FC1"/>
    <w:rsid w:val="6D1B6789"/>
    <w:rsid w:val="6D1F0378"/>
    <w:rsid w:val="6D221EF0"/>
    <w:rsid w:val="6D262AC2"/>
    <w:rsid w:val="6D286AF9"/>
    <w:rsid w:val="6D2956F6"/>
    <w:rsid w:val="6D297996"/>
    <w:rsid w:val="6D2B578F"/>
    <w:rsid w:val="6D324B75"/>
    <w:rsid w:val="6D3934C6"/>
    <w:rsid w:val="6D3B10A8"/>
    <w:rsid w:val="6D3C0603"/>
    <w:rsid w:val="6D402264"/>
    <w:rsid w:val="6D402944"/>
    <w:rsid w:val="6D410E6E"/>
    <w:rsid w:val="6D414740"/>
    <w:rsid w:val="6D415367"/>
    <w:rsid w:val="6D4B4D92"/>
    <w:rsid w:val="6D4C60A5"/>
    <w:rsid w:val="6D4C694D"/>
    <w:rsid w:val="6D4F54EA"/>
    <w:rsid w:val="6D501B8D"/>
    <w:rsid w:val="6D507121"/>
    <w:rsid w:val="6D587149"/>
    <w:rsid w:val="6D59661C"/>
    <w:rsid w:val="6D5A0C79"/>
    <w:rsid w:val="6D5A5E71"/>
    <w:rsid w:val="6D5C33D5"/>
    <w:rsid w:val="6D5D5584"/>
    <w:rsid w:val="6D5E0628"/>
    <w:rsid w:val="6D6323ED"/>
    <w:rsid w:val="6D633A30"/>
    <w:rsid w:val="6D644C0C"/>
    <w:rsid w:val="6D6632FC"/>
    <w:rsid w:val="6D692F90"/>
    <w:rsid w:val="6D6A50B2"/>
    <w:rsid w:val="6D6D7E6D"/>
    <w:rsid w:val="6D723F8F"/>
    <w:rsid w:val="6D732AC9"/>
    <w:rsid w:val="6D742ABA"/>
    <w:rsid w:val="6D7579D2"/>
    <w:rsid w:val="6D7966F9"/>
    <w:rsid w:val="6D8856A0"/>
    <w:rsid w:val="6D8952AE"/>
    <w:rsid w:val="6D8B38D9"/>
    <w:rsid w:val="6D8E4CAB"/>
    <w:rsid w:val="6D8F0E18"/>
    <w:rsid w:val="6D9030D3"/>
    <w:rsid w:val="6D942F3E"/>
    <w:rsid w:val="6D953B20"/>
    <w:rsid w:val="6D954DF4"/>
    <w:rsid w:val="6D98104E"/>
    <w:rsid w:val="6D9914F3"/>
    <w:rsid w:val="6D992588"/>
    <w:rsid w:val="6D994677"/>
    <w:rsid w:val="6D9970B3"/>
    <w:rsid w:val="6D997113"/>
    <w:rsid w:val="6D9B1668"/>
    <w:rsid w:val="6D9E0C13"/>
    <w:rsid w:val="6DA230A1"/>
    <w:rsid w:val="6DA277FA"/>
    <w:rsid w:val="6DA36526"/>
    <w:rsid w:val="6DA37ECA"/>
    <w:rsid w:val="6DA44E51"/>
    <w:rsid w:val="6DA877E7"/>
    <w:rsid w:val="6DAB4DC7"/>
    <w:rsid w:val="6DAC58E7"/>
    <w:rsid w:val="6DAD4833"/>
    <w:rsid w:val="6DB30027"/>
    <w:rsid w:val="6DB64B76"/>
    <w:rsid w:val="6DBB5211"/>
    <w:rsid w:val="6DBC4486"/>
    <w:rsid w:val="6DC10ACC"/>
    <w:rsid w:val="6DC20A4A"/>
    <w:rsid w:val="6DC33EF3"/>
    <w:rsid w:val="6DC933F7"/>
    <w:rsid w:val="6DCB3A62"/>
    <w:rsid w:val="6DCC7690"/>
    <w:rsid w:val="6DCD36F7"/>
    <w:rsid w:val="6DCF6855"/>
    <w:rsid w:val="6DD12575"/>
    <w:rsid w:val="6DD16218"/>
    <w:rsid w:val="6DD31308"/>
    <w:rsid w:val="6DD31400"/>
    <w:rsid w:val="6DD46BCF"/>
    <w:rsid w:val="6DD47EF4"/>
    <w:rsid w:val="6DDB74A2"/>
    <w:rsid w:val="6DDC45AF"/>
    <w:rsid w:val="6DDC6B25"/>
    <w:rsid w:val="6DDF784E"/>
    <w:rsid w:val="6DE34A57"/>
    <w:rsid w:val="6DE45176"/>
    <w:rsid w:val="6DE4548A"/>
    <w:rsid w:val="6DE5536A"/>
    <w:rsid w:val="6DEB756B"/>
    <w:rsid w:val="6DF02B61"/>
    <w:rsid w:val="6DF75950"/>
    <w:rsid w:val="6DFC0D15"/>
    <w:rsid w:val="6DFE2F86"/>
    <w:rsid w:val="6E0077C5"/>
    <w:rsid w:val="6E020281"/>
    <w:rsid w:val="6E043142"/>
    <w:rsid w:val="6E050A65"/>
    <w:rsid w:val="6E054DDB"/>
    <w:rsid w:val="6E076A2C"/>
    <w:rsid w:val="6E08019D"/>
    <w:rsid w:val="6E086A84"/>
    <w:rsid w:val="6E0B60BC"/>
    <w:rsid w:val="6E0E0B6F"/>
    <w:rsid w:val="6E11552E"/>
    <w:rsid w:val="6E131EC9"/>
    <w:rsid w:val="6E1533C2"/>
    <w:rsid w:val="6E1A79B6"/>
    <w:rsid w:val="6E1B27B0"/>
    <w:rsid w:val="6E1C7EA2"/>
    <w:rsid w:val="6E1F328C"/>
    <w:rsid w:val="6E1F5E9D"/>
    <w:rsid w:val="6E265B5B"/>
    <w:rsid w:val="6E2A3BAC"/>
    <w:rsid w:val="6E2D05D3"/>
    <w:rsid w:val="6E2D17C4"/>
    <w:rsid w:val="6E2F1519"/>
    <w:rsid w:val="6E305383"/>
    <w:rsid w:val="6E346754"/>
    <w:rsid w:val="6E35508D"/>
    <w:rsid w:val="6E3942A6"/>
    <w:rsid w:val="6E3A43B9"/>
    <w:rsid w:val="6E3C5272"/>
    <w:rsid w:val="6E3C695C"/>
    <w:rsid w:val="6E3E31C1"/>
    <w:rsid w:val="6E40191B"/>
    <w:rsid w:val="6E404F96"/>
    <w:rsid w:val="6E421FD0"/>
    <w:rsid w:val="6E425AB3"/>
    <w:rsid w:val="6E431F91"/>
    <w:rsid w:val="6E444037"/>
    <w:rsid w:val="6E451E27"/>
    <w:rsid w:val="6E45254C"/>
    <w:rsid w:val="6E472E02"/>
    <w:rsid w:val="6E4928C6"/>
    <w:rsid w:val="6E4A5F9F"/>
    <w:rsid w:val="6E4C2A0A"/>
    <w:rsid w:val="6E4C2FD1"/>
    <w:rsid w:val="6E531D18"/>
    <w:rsid w:val="6E54520F"/>
    <w:rsid w:val="6E54543C"/>
    <w:rsid w:val="6E560032"/>
    <w:rsid w:val="6E566059"/>
    <w:rsid w:val="6E5737E4"/>
    <w:rsid w:val="6E573B28"/>
    <w:rsid w:val="6E5D0115"/>
    <w:rsid w:val="6E5D4C17"/>
    <w:rsid w:val="6E5D5CFA"/>
    <w:rsid w:val="6E610709"/>
    <w:rsid w:val="6E611AAA"/>
    <w:rsid w:val="6E637DD2"/>
    <w:rsid w:val="6E684CC1"/>
    <w:rsid w:val="6E684E65"/>
    <w:rsid w:val="6E6E3D22"/>
    <w:rsid w:val="6E6F32C4"/>
    <w:rsid w:val="6E714E46"/>
    <w:rsid w:val="6E732864"/>
    <w:rsid w:val="6E7B14EF"/>
    <w:rsid w:val="6E7B67AA"/>
    <w:rsid w:val="6E813C40"/>
    <w:rsid w:val="6E816D74"/>
    <w:rsid w:val="6E8177B5"/>
    <w:rsid w:val="6E846DF4"/>
    <w:rsid w:val="6E8811FF"/>
    <w:rsid w:val="6E8E00B7"/>
    <w:rsid w:val="6E9267F7"/>
    <w:rsid w:val="6E932E45"/>
    <w:rsid w:val="6E947EA4"/>
    <w:rsid w:val="6E954D6E"/>
    <w:rsid w:val="6E9719D3"/>
    <w:rsid w:val="6E973F61"/>
    <w:rsid w:val="6E9B76B4"/>
    <w:rsid w:val="6E9E2147"/>
    <w:rsid w:val="6EA163F5"/>
    <w:rsid w:val="6EA2262A"/>
    <w:rsid w:val="6EA30DF3"/>
    <w:rsid w:val="6EA7723A"/>
    <w:rsid w:val="6EA80A9E"/>
    <w:rsid w:val="6EAB316E"/>
    <w:rsid w:val="6EAC7541"/>
    <w:rsid w:val="6EAD3F31"/>
    <w:rsid w:val="6EAF2038"/>
    <w:rsid w:val="6EB02117"/>
    <w:rsid w:val="6EB032B3"/>
    <w:rsid w:val="6EB16A61"/>
    <w:rsid w:val="6EB2703C"/>
    <w:rsid w:val="6EB5235D"/>
    <w:rsid w:val="6EBB2680"/>
    <w:rsid w:val="6EBD7464"/>
    <w:rsid w:val="6EBF6614"/>
    <w:rsid w:val="6EC070E5"/>
    <w:rsid w:val="6EC91708"/>
    <w:rsid w:val="6EC93EDE"/>
    <w:rsid w:val="6ECC157B"/>
    <w:rsid w:val="6ECC5791"/>
    <w:rsid w:val="6ECC58ED"/>
    <w:rsid w:val="6ECD58F9"/>
    <w:rsid w:val="6ECF48DB"/>
    <w:rsid w:val="6EDD7C0F"/>
    <w:rsid w:val="6EDE19A6"/>
    <w:rsid w:val="6EE114AF"/>
    <w:rsid w:val="6EE25037"/>
    <w:rsid w:val="6EE3033A"/>
    <w:rsid w:val="6EE467CD"/>
    <w:rsid w:val="6EE8372C"/>
    <w:rsid w:val="6EEA019F"/>
    <w:rsid w:val="6EEF5477"/>
    <w:rsid w:val="6EF17DEC"/>
    <w:rsid w:val="6EF41F64"/>
    <w:rsid w:val="6EF67624"/>
    <w:rsid w:val="6EF70E24"/>
    <w:rsid w:val="6EFA06B8"/>
    <w:rsid w:val="6EFA671D"/>
    <w:rsid w:val="6EFC4E2C"/>
    <w:rsid w:val="6EFC4F57"/>
    <w:rsid w:val="6EFC5B0C"/>
    <w:rsid w:val="6F001D7B"/>
    <w:rsid w:val="6F054937"/>
    <w:rsid w:val="6F064074"/>
    <w:rsid w:val="6F080964"/>
    <w:rsid w:val="6F0A0648"/>
    <w:rsid w:val="6F0A34C2"/>
    <w:rsid w:val="6F0B6421"/>
    <w:rsid w:val="6F0C0561"/>
    <w:rsid w:val="6F0F047D"/>
    <w:rsid w:val="6F0F4072"/>
    <w:rsid w:val="6F1277AF"/>
    <w:rsid w:val="6F146796"/>
    <w:rsid w:val="6F1658B1"/>
    <w:rsid w:val="6F177EF1"/>
    <w:rsid w:val="6F1B0B22"/>
    <w:rsid w:val="6F1B4441"/>
    <w:rsid w:val="6F1B5297"/>
    <w:rsid w:val="6F1E43A6"/>
    <w:rsid w:val="6F1F0DD4"/>
    <w:rsid w:val="6F1F746A"/>
    <w:rsid w:val="6F251BFC"/>
    <w:rsid w:val="6F285504"/>
    <w:rsid w:val="6F290C21"/>
    <w:rsid w:val="6F336B50"/>
    <w:rsid w:val="6F344737"/>
    <w:rsid w:val="6F3B6F8F"/>
    <w:rsid w:val="6F3C3411"/>
    <w:rsid w:val="6F3F1121"/>
    <w:rsid w:val="6F441354"/>
    <w:rsid w:val="6F467246"/>
    <w:rsid w:val="6F471115"/>
    <w:rsid w:val="6F4B46DF"/>
    <w:rsid w:val="6F4E612F"/>
    <w:rsid w:val="6F520D8B"/>
    <w:rsid w:val="6F5850C7"/>
    <w:rsid w:val="6F596849"/>
    <w:rsid w:val="6F5D7020"/>
    <w:rsid w:val="6F611AA4"/>
    <w:rsid w:val="6F614293"/>
    <w:rsid w:val="6F630C97"/>
    <w:rsid w:val="6F65642D"/>
    <w:rsid w:val="6F667E90"/>
    <w:rsid w:val="6F67621F"/>
    <w:rsid w:val="6F693A71"/>
    <w:rsid w:val="6F6D4AA4"/>
    <w:rsid w:val="6F6D7BC5"/>
    <w:rsid w:val="6F6E603B"/>
    <w:rsid w:val="6F700889"/>
    <w:rsid w:val="6F711411"/>
    <w:rsid w:val="6F713749"/>
    <w:rsid w:val="6F71599A"/>
    <w:rsid w:val="6F7273D7"/>
    <w:rsid w:val="6F744797"/>
    <w:rsid w:val="6F7C4D29"/>
    <w:rsid w:val="6F7C5FB9"/>
    <w:rsid w:val="6F7F4FDA"/>
    <w:rsid w:val="6F894856"/>
    <w:rsid w:val="6F8C7554"/>
    <w:rsid w:val="6F8E4486"/>
    <w:rsid w:val="6F8F1EA7"/>
    <w:rsid w:val="6F932B01"/>
    <w:rsid w:val="6F957E91"/>
    <w:rsid w:val="6F9E4746"/>
    <w:rsid w:val="6FA72C68"/>
    <w:rsid w:val="6FA80F2D"/>
    <w:rsid w:val="6FA928C6"/>
    <w:rsid w:val="6FAB36E8"/>
    <w:rsid w:val="6FAB5CDE"/>
    <w:rsid w:val="6FAC17A7"/>
    <w:rsid w:val="6FAF5F91"/>
    <w:rsid w:val="6FB13FCA"/>
    <w:rsid w:val="6FB36912"/>
    <w:rsid w:val="6FB47E2F"/>
    <w:rsid w:val="6FB57002"/>
    <w:rsid w:val="6FB9727A"/>
    <w:rsid w:val="6FBD0995"/>
    <w:rsid w:val="6FBD2FCE"/>
    <w:rsid w:val="6FBE2553"/>
    <w:rsid w:val="6FBF2F50"/>
    <w:rsid w:val="6FCB01D0"/>
    <w:rsid w:val="6FCC0C02"/>
    <w:rsid w:val="6FCE112B"/>
    <w:rsid w:val="6FCE1C7C"/>
    <w:rsid w:val="6FD17D1B"/>
    <w:rsid w:val="6FD64C81"/>
    <w:rsid w:val="6FD806D2"/>
    <w:rsid w:val="6FD956FB"/>
    <w:rsid w:val="6FDB01EE"/>
    <w:rsid w:val="6FDB5F8B"/>
    <w:rsid w:val="6FE91E55"/>
    <w:rsid w:val="6FEB6AD3"/>
    <w:rsid w:val="6FF125BF"/>
    <w:rsid w:val="6FF208AA"/>
    <w:rsid w:val="6FF26B0B"/>
    <w:rsid w:val="6FFB0243"/>
    <w:rsid w:val="6FFB6D5C"/>
    <w:rsid w:val="6FFC08C9"/>
    <w:rsid w:val="6FFE7D95"/>
    <w:rsid w:val="700101C9"/>
    <w:rsid w:val="700311C6"/>
    <w:rsid w:val="70037C15"/>
    <w:rsid w:val="70041EA1"/>
    <w:rsid w:val="70076E09"/>
    <w:rsid w:val="700C5674"/>
    <w:rsid w:val="700D2BD5"/>
    <w:rsid w:val="700E5A5A"/>
    <w:rsid w:val="700E7B00"/>
    <w:rsid w:val="7013431B"/>
    <w:rsid w:val="701B325C"/>
    <w:rsid w:val="701E1E22"/>
    <w:rsid w:val="701E59DA"/>
    <w:rsid w:val="701F2A63"/>
    <w:rsid w:val="701F5621"/>
    <w:rsid w:val="70237A09"/>
    <w:rsid w:val="70277E9C"/>
    <w:rsid w:val="702820CB"/>
    <w:rsid w:val="702C664F"/>
    <w:rsid w:val="702E4CB2"/>
    <w:rsid w:val="702E716A"/>
    <w:rsid w:val="702F5572"/>
    <w:rsid w:val="70336CAE"/>
    <w:rsid w:val="70343ED9"/>
    <w:rsid w:val="703662AF"/>
    <w:rsid w:val="7037546E"/>
    <w:rsid w:val="703A140C"/>
    <w:rsid w:val="703B3944"/>
    <w:rsid w:val="70413FBB"/>
    <w:rsid w:val="7045236D"/>
    <w:rsid w:val="70487CF9"/>
    <w:rsid w:val="704B361D"/>
    <w:rsid w:val="704F7B15"/>
    <w:rsid w:val="70523E05"/>
    <w:rsid w:val="70535AEC"/>
    <w:rsid w:val="7056587A"/>
    <w:rsid w:val="70582A4E"/>
    <w:rsid w:val="70595AF0"/>
    <w:rsid w:val="705C3753"/>
    <w:rsid w:val="705F6047"/>
    <w:rsid w:val="70606D86"/>
    <w:rsid w:val="70613B9A"/>
    <w:rsid w:val="70614748"/>
    <w:rsid w:val="70660A3A"/>
    <w:rsid w:val="706775D7"/>
    <w:rsid w:val="706C4B21"/>
    <w:rsid w:val="706C6547"/>
    <w:rsid w:val="70762E93"/>
    <w:rsid w:val="70795C3D"/>
    <w:rsid w:val="707D5A59"/>
    <w:rsid w:val="707F5860"/>
    <w:rsid w:val="707F6F2F"/>
    <w:rsid w:val="70800ABC"/>
    <w:rsid w:val="708145F0"/>
    <w:rsid w:val="70840E49"/>
    <w:rsid w:val="70857070"/>
    <w:rsid w:val="708610D0"/>
    <w:rsid w:val="708C2B29"/>
    <w:rsid w:val="708D4ADB"/>
    <w:rsid w:val="708F4275"/>
    <w:rsid w:val="709206F3"/>
    <w:rsid w:val="70945E5B"/>
    <w:rsid w:val="70951B96"/>
    <w:rsid w:val="709C4151"/>
    <w:rsid w:val="709F6018"/>
    <w:rsid w:val="70A203E9"/>
    <w:rsid w:val="70A25471"/>
    <w:rsid w:val="70A40548"/>
    <w:rsid w:val="70A41417"/>
    <w:rsid w:val="70A5621E"/>
    <w:rsid w:val="70A9598B"/>
    <w:rsid w:val="70AA155F"/>
    <w:rsid w:val="70AB402B"/>
    <w:rsid w:val="70AC56E7"/>
    <w:rsid w:val="70AE4712"/>
    <w:rsid w:val="70B0372E"/>
    <w:rsid w:val="70B2306D"/>
    <w:rsid w:val="70BA0DD5"/>
    <w:rsid w:val="70BB66D9"/>
    <w:rsid w:val="70BC286C"/>
    <w:rsid w:val="70BE6942"/>
    <w:rsid w:val="70BF6D6C"/>
    <w:rsid w:val="70BF7DE7"/>
    <w:rsid w:val="70C162C7"/>
    <w:rsid w:val="70C25013"/>
    <w:rsid w:val="70C41399"/>
    <w:rsid w:val="70C70C4E"/>
    <w:rsid w:val="70CA338D"/>
    <w:rsid w:val="70D13EC9"/>
    <w:rsid w:val="70D253FD"/>
    <w:rsid w:val="70D9199C"/>
    <w:rsid w:val="70D934E3"/>
    <w:rsid w:val="70D94A29"/>
    <w:rsid w:val="70DA60AB"/>
    <w:rsid w:val="70DB40D7"/>
    <w:rsid w:val="70E132FF"/>
    <w:rsid w:val="70E53F5D"/>
    <w:rsid w:val="70E63C74"/>
    <w:rsid w:val="70E76A1A"/>
    <w:rsid w:val="70E83423"/>
    <w:rsid w:val="70F04063"/>
    <w:rsid w:val="70F25AEA"/>
    <w:rsid w:val="70F36131"/>
    <w:rsid w:val="70F5617C"/>
    <w:rsid w:val="70FA1B16"/>
    <w:rsid w:val="70FB4D50"/>
    <w:rsid w:val="70FE577E"/>
    <w:rsid w:val="71033854"/>
    <w:rsid w:val="710805D7"/>
    <w:rsid w:val="710A56D2"/>
    <w:rsid w:val="710B46CD"/>
    <w:rsid w:val="710E2C80"/>
    <w:rsid w:val="710E7A93"/>
    <w:rsid w:val="710F511C"/>
    <w:rsid w:val="710F66AA"/>
    <w:rsid w:val="711234F6"/>
    <w:rsid w:val="7114649F"/>
    <w:rsid w:val="71165FD9"/>
    <w:rsid w:val="711845D1"/>
    <w:rsid w:val="711C0C2C"/>
    <w:rsid w:val="711C252F"/>
    <w:rsid w:val="711E7411"/>
    <w:rsid w:val="7121447C"/>
    <w:rsid w:val="712658C4"/>
    <w:rsid w:val="712C26FC"/>
    <w:rsid w:val="712C2B9C"/>
    <w:rsid w:val="712E483D"/>
    <w:rsid w:val="713200A4"/>
    <w:rsid w:val="71324139"/>
    <w:rsid w:val="7134173D"/>
    <w:rsid w:val="71373C3D"/>
    <w:rsid w:val="713752AB"/>
    <w:rsid w:val="71392DF3"/>
    <w:rsid w:val="713D1537"/>
    <w:rsid w:val="713E28BC"/>
    <w:rsid w:val="713F564D"/>
    <w:rsid w:val="71434C23"/>
    <w:rsid w:val="7145341C"/>
    <w:rsid w:val="714661A8"/>
    <w:rsid w:val="714754D2"/>
    <w:rsid w:val="71486C8E"/>
    <w:rsid w:val="714C32DB"/>
    <w:rsid w:val="714C4BB4"/>
    <w:rsid w:val="7150344E"/>
    <w:rsid w:val="715042C2"/>
    <w:rsid w:val="71540961"/>
    <w:rsid w:val="715772D6"/>
    <w:rsid w:val="71585890"/>
    <w:rsid w:val="71615FE4"/>
    <w:rsid w:val="71657C30"/>
    <w:rsid w:val="716A5579"/>
    <w:rsid w:val="716D1C63"/>
    <w:rsid w:val="7175058A"/>
    <w:rsid w:val="717571EC"/>
    <w:rsid w:val="71757A16"/>
    <w:rsid w:val="7179632E"/>
    <w:rsid w:val="71805F6D"/>
    <w:rsid w:val="718273CC"/>
    <w:rsid w:val="718276B7"/>
    <w:rsid w:val="71891519"/>
    <w:rsid w:val="718967DC"/>
    <w:rsid w:val="718B579D"/>
    <w:rsid w:val="718B5C5F"/>
    <w:rsid w:val="719B0843"/>
    <w:rsid w:val="719D200A"/>
    <w:rsid w:val="719E1D8C"/>
    <w:rsid w:val="719F4894"/>
    <w:rsid w:val="71A004CD"/>
    <w:rsid w:val="71A16BC9"/>
    <w:rsid w:val="71A63F1C"/>
    <w:rsid w:val="71A655FC"/>
    <w:rsid w:val="71A7321A"/>
    <w:rsid w:val="71A861A9"/>
    <w:rsid w:val="71AB4DA7"/>
    <w:rsid w:val="71AC1474"/>
    <w:rsid w:val="71AD7CC7"/>
    <w:rsid w:val="71B06C24"/>
    <w:rsid w:val="71B46D9E"/>
    <w:rsid w:val="71B538A4"/>
    <w:rsid w:val="71BA0011"/>
    <w:rsid w:val="71BF6817"/>
    <w:rsid w:val="71C070B9"/>
    <w:rsid w:val="71C5756B"/>
    <w:rsid w:val="71C716DA"/>
    <w:rsid w:val="71C7381E"/>
    <w:rsid w:val="71D4649E"/>
    <w:rsid w:val="71D507E3"/>
    <w:rsid w:val="71D87B98"/>
    <w:rsid w:val="71DF2FC1"/>
    <w:rsid w:val="71E05697"/>
    <w:rsid w:val="71E05C67"/>
    <w:rsid w:val="71E125CD"/>
    <w:rsid w:val="71E236BB"/>
    <w:rsid w:val="71E45020"/>
    <w:rsid w:val="71E8030F"/>
    <w:rsid w:val="71EA3A04"/>
    <w:rsid w:val="71EA3EA0"/>
    <w:rsid w:val="71EC540D"/>
    <w:rsid w:val="71F118FE"/>
    <w:rsid w:val="71F13BE0"/>
    <w:rsid w:val="71F52AC2"/>
    <w:rsid w:val="71F96ED0"/>
    <w:rsid w:val="71FC1ED9"/>
    <w:rsid w:val="71FD35A7"/>
    <w:rsid w:val="71FD5EFF"/>
    <w:rsid w:val="72043DE1"/>
    <w:rsid w:val="720712F0"/>
    <w:rsid w:val="72086C91"/>
    <w:rsid w:val="72090E31"/>
    <w:rsid w:val="720B0135"/>
    <w:rsid w:val="720B01D8"/>
    <w:rsid w:val="720D5A53"/>
    <w:rsid w:val="72100F11"/>
    <w:rsid w:val="72113E6B"/>
    <w:rsid w:val="721276C2"/>
    <w:rsid w:val="72130863"/>
    <w:rsid w:val="72165E16"/>
    <w:rsid w:val="72171CA2"/>
    <w:rsid w:val="721C1E0B"/>
    <w:rsid w:val="722B6536"/>
    <w:rsid w:val="7230020C"/>
    <w:rsid w:val="7234778F"/>
    <w:rsid w:val="72355724"/>
    <w:rsid w:val="72361A07"/>
    <w:rsid w:val="72392A72"/>
    <w:rsid w:val="723971E6"/>
    <w:rsid w:val="723A1831"/>
    <w:rsid w:val="723D3A45"/>
    <w:rsid w:val="723E3050"/>
    <w:rsid w:val="7241546A"/>
    <w:rsid w:val="72455D81"/>
    <w:rsid w:val="72490927"/>
    <w:rsid w:val="724920B6"/>
    <w:rsid w:val="72507F39"/>
    <w:rsid w:val="7251506B"/>
    <w:rsid w:val="72566B4F"/>
    <w:rsid w:val="72585114"/>
    <w:rsid w:val="725C7AA4"/>
    <w:rsid w:val="725E3CB8"/>
    <w:rsid w:val="725F6385"/>
    <w:rsid w:val="726649EB"/>
    <w:rsid w:val="72684AB5"/>
    <w:rsid w:val="726C4C68"/>
    <w:rsid w:val="726E0BC0"/>
    <w:rsid w:val="72724B59"/>
    <w:rsid w:val="72730387"/>
    <w:rsid w:val="7275169E"/>
    <w:rsid w:val="727642A1"/>
    <w:rsid w:val="72791A12"/>
    <w:rsid w:val="72792B30"/>
    <w:rsid w:val="727C53E4"/>
    <w:rsid w:val="727D533F"/>
    <w:rsid w:val="727D7F16"/>
    <w:rsid w:val="72824319"/>
    <w:rsid w:val="72842772"/>
    <w:rsid w:val="72843956"/>
    <w:rsid w:val="7286251B"/>
    <w:rsid w:val="728A5F00"/>
    <w:rsid w:val="728C0CC6"/>
    <w:rsid w:val="72927EBD"/>
    <w:rsid w:val="72930546"/>
    <w:rsid w:val="72937AA8"/>
    <w:rsid w:val="72956E0F"/>
    <w:rsid w:val="729612E8"/>
    <w:rsid w:val="72980EEB"/>
    <w:rsid w:val="72996809"/>
    <w:rsid w:val="72A1683D"/>
    <w:rsid w:val="72A51309"/>
    <w:rsid w:val="72A602DA"/>
    <w:rsid w:val="72A61F54"/>
    <w:rsid w:val="72A626D2"/>
    <w:rsid w:val="72A87631"/>
    <w:rsid w:val="72B017B9"/>
    <w:rsid w:val="72B05BA1"/>
    <w:rsid w:val="72B3013C"/>
    <w:rsid w:val="72B31F37"/>
    <w:rsid w:val="72B33777"/>
    <w:rsid w:val="72B57D1D"/>
    <w:rsid w:val="72B72E1E"/>
    <w:rsid w:val="72BA162E"/>
    <w:rsid w:val="72BB2750"/>
    <w:rsid w:val="72BB539E"/>
    <w:rsid w:val="72BC0503"/>
    <w:rsid w:val="72BC5654"/>
    <w:rsid w:val="72BC6995"/>
    <w:rsid w:val="72BE6B4E"/>
    <w:rsid w:val="72BF2A63"/>
    <w:rsid w:val="72C263C9"/>
    <w:rsid w:val="72C54B39"/>
    <w:rsid w:val="72C964B4"/>
    <w:rsid w:val="72CA3B57"/>
    <w:rsid w:val="72CC10B6"/>
    <w:rsid w:val="72CE1F49"/>
    <w:rsid w:val="72CE59FE"/>
    <w:rsid w:val="72D21533"/>
    <w:rsid w:val="72D43106"/>
    <w:rsid w:val="72D973C0"/>
    <w:rsid w:val="72DA436C"/>
    <w:rsid w:val="72DB610A"/>
    <w:rsid w:val="72DD00D4"/>
    <w:rsid w:val="72DD7CE7"/>
    <w:rsid w:val="72E50C16"/>
    <w:rsid w:val="72E63D1F"/>
    <w:rsid w:val="72EA1602"/>
    <w:rsid w:val="72ED556C"/>
    <w:rsid w:val="72EE0EB5"/>
    <w:rsid w:val="72F052DE"/>
    <w:rsid w:val="72F666AA"/>
    <w:rsid w:val="72F84F0E"/>
    <w:rsid w:val="72F8751F"/>
    <w:rsid w:val="72FA761C"/>
    <w:rsid w:val="730255D0"/>
    <w:rsid w:val="73026341"/>
    <w:rsid w:val="7304021C"/>
    <w:rsid w:val="73093180"/>
    <w:rsid w:val="73117892"/>
    <w:rsid w:val="7314097E"/>
    <w:rsid w:val="7315042D"/>
    <w:rsid w:val="73155DC7"/>
    <w:rsid w:val="73170C9C"/>
    <w:rsid w:val="73172586"/>
    <w:rsid w:val="73200474"/>
    <w:rsid w:val="73226F65"/>
    <w:rsid w:val="7323022A"/>
    <w:rsid w:val="73244059"/>
    <w:rsid w:val="7326434F"/>
    <w:rsid w:val="73274A5A"/>
    <w:rsid w:val="73285E21"/>
    <w:rsid w:val="732C0180"/>
    <w:rsid w:val="732E26DE"/>
    <w:rsid w:val="732E6B82"/>
    <w:rsid w:val="7330662D"/>
    <w:rsid w:val="73324D9E"/>
    <w:rsid w:val="7336039A"/>
    <w:rsid w:val="733A0AAE"/>
    <w:rsid w:val="733C6694"/>
    <w:rsid w:val="733F0D8F"/>
    <w:rsid w:val="73403296"/>
    <w:rsid w:val="734231A5"/>
    <w:rsid w:val="73462432"/>
    <w:rsid w:val="734720F8"/>
    <w:rsid w:val="73480A85"/>
    <w:rsid w:val="734A37EF"/>
    <w:rsid w:val="734B03DF"/>
    <w:rsid w:val="734B7734"/>
    <w:rsid w:val="734B77D3"/>
    <w:rsid w:val="734D4442"/>
    <w:rsid w:val="734F77F8"/>
    <w:rsid w:val="73506E68"/>
    <w:rsid w:val="73544F4C"/>
    <w:rsid w:val="735639BF"/>
    <w:rsid w:val="735848BE"/>
    <w:rsid w:val="73591E51"/>
    <w:rsid w:val="735F4FE0"/>
    <w:rsid w:val="7362201C"/>
    <w:rsid w:val="73630676"/>
    <w:rsid w:val="73633B03"/>
    <w:rsid w:val="7364136F"/>
    <w:rsid w:val="73647975"/>
    <w:rsid w:val="7365283D"/>
    <w:rsid w:val="736A6DBA"/>
    <w:rsid w:val="736B4D4D"/>
    <w:rsid w:val="736D4121"/>
    <w:rsid w:val="73705B4F"/>
    <w:rsid w:val="73732452"/>
    <w:rsid w:val="73772B09"/>
    <w:rsid w:val="73794ECD"/>
    <w:rsid w:val="737A24C2"/>
    <w:rsid w:val="737C5CFE"/>
    <w:rsid w:val="737C78ED"/>
    <w:rsid w:val="73811A9F"/>
    <w:rsid w:val="73816CB2"/>
    <w:rsid w:val="73835C4B"/>
    <w:rsid w:val="738677C1"/>
    <w:rsid w:val="7387368E"/>
    <w:rsid w:val="738A025C"/>
    <w:rsid w:val="738B4A4B"/>
    <w:rsid w:val="738B5B15"/>
    <w:rsid w:val="738F312B"/>
    <w:rsid w:val="739252E3"/>
    <w:rsid w:val="73996BE3"/>
    <w:rsid w:val="739D084E"/>
    <w:rsid w:val="739D1454"/>
    <w:rsid w:val="73A12F31"/>
    <w:rsid w:val="73A26A7D"/>
    <w:rsid w:val="73A75E93"/>
    <w:rsid w:val="73AC0B41"/>
    <w:rsid w:val="73AD075C"/>
    <w:rsid w:val="73B159E0"/>
    <w:rsid w:val="73BA25AC"/>
    <w:rsid w:val="73BD2BD0"/>
    <w:rsid w:val="73BE53C3"/>
    <w:rsid w:val="73BE562F"/>
    <w:rsid w:val="73C023EB"/>
    <w:rsid w:val="73C346EF"/>
    <w:rsid w:val="73C8221E"/>
    <w:rsid w:val="73C9035E"/>
    <w:rsid w:val="73CA0DD1"/>
    <w:rsid w:val="73CD2556"/>
    <w:rsid w:val="73CD26E1"/>
    <w:rsid w:val="73CE1DB8"/>
    <w:rsid w:val="73CE6057"/>
    <w:rsid w:val="73CF3EC1"/>
    <w:rsid w:val="73CF782A"/>
    <w:rsid w:val="73D56C91"/>
    <w:rsid w:val="73D609D1"/>
    <w:rsid w:val="73D66388"/>
    <w:rsid w:val="73D70421"/>
    <w:rsid w:val="73D72D6F"/>
    <w:rsid w:val="73D72D76"/>
    <w:rsid w:val="73DD0E66"/>
    <w:rsid w:val="73E10AE6"/>
    <w:rsid w:val="73E2290D"/>
    <w:rsid w:val="73E415BD"/>
    <w:rsid w:val="73E46F9F"/>
    <w:rsid w:val="73E703F4"/>
    <w:rsid w:val="73EC18E6"/>
    <w:rsid w:val="73EC640A"/>
    <w:rsid w:val="73F11AAC"/>
    <w:rsid w:val="73F211C9"/>
    <w:rsid w:val="73F545BB"/>
    <w:rsid w:val="73F56E0E"/>
    <w:rsid w:val="73F9444D"/>
    <w:rsid w:val="73FB6A64"/>
    <w:rsid w:val="73FC13DF"/>
    <w:rsid w:val="73FF08CF"/>
    <w:rsid w:val="7402495F"/>
    <w:rsid w:val="740C3E40"/>
    <w:rsid w:val="740D2C3B"/>
    <w:rsid w:val="74137BED"/>
    <w:rsid w:val="741E72C6"/>
    <w:rsid w:val="741F002B"/>
    <w:rsid w:val="74223602"/>
    <w:rsid w:val="74225189"/>
    <w:rsid w:val="74253169"/>
    <w:rsid w:val="74253D00"/>
    <w:rsid w:val="742731EB"/>
    <w:rsid w:val="742765C9"/>
    <w:rsid w:val="742C30C1"/>
    <w:rsid w:val="7430528B"/>
    <w:rsid w:val="743243FE"/>
    <w:rsid w:val="74325189"/>
    <w:rsid w:val="74332C31"/>
    <w:rsid w:val="74353A48"/>
    <w:rsid w:val="74374088"/>
    <w:rsid w:val="74383409"/>
    <w:rsid w:val="7439278E"/>
    <w:rsid w:val="743C603D"/>
    <w:rsid w:val="744019D6"/>
    <w:rsid w:val="7441563F"/>
    <w:rsid w:val="744651BA"/>
    <w:rsid w:val="744651CD"/>
    <w:rsid w:val="74466838"/>
    <w:rsid w:val="7449748B"/>
    <w:rsid w:val="744C2F6B"/>
    <w:rsid w:val="74504D95"/>
    <w:rsid w:val="7452093F"/>
    <w:rsid w:val="74553339"/>
    <w:rsid w:val="74597830"/>
    <w:rsid w:val="745A5E80"/>
    <w:rsid w:val="745B435A"/>
    <w:rsid w:val="745D6DDC"/>
    <w:rsid w:val="745E6FF3"/>
    <w:rsid w:val="74607DA7"/>
    <w:rsid w:val="74627647"/>
    <w:rsid w:val="746622E4"/>
    <w:rsid w:val="746821B0"/>
    <w:rsid w:val="74694A46"/>
    <w:rsid w:val="746A3DD5"/>
    <w:rsid w:val="746E5CAF"/>
    <w:rsid w:val="746F1740"/>
    <w:rsid w:val="747212D1"/>
    <w:rsid w:val="74722C60"/>
    <w:rsid w:val="74741CDF"/>
    <w:rsid w:val="747566C9"/>
    <w:rsid w:val="747B1FEA"/>
    <w:rsid w:val="747B2EED"/>
    <w:rsid w:val="747D01AA"/>
    <w:rsid w:val="747F2A4C"/>
    <w:rsid w:val="747F4559"/>
    <w:rsid w:val="747F7469"/>
    <w:rsid w:val="7483789B"/>
    <w:rsid w:val="74841499"/>
    <w:rsid w:val="7484187D"/>
    <w:rsid w:val="748922C2"/>
    <w:rsid w:val="748A1283"/>
    <w:rsid w:val="748C4FA0"/>
    <w:rsid w:val="748D2CCE"/>
    <w:rsid w:val="748E1F74"/>
    <w:rsid w:val="74916068"/>
    <w:rsid w:val="749377BC"/>
    <w:rsid w:val="7497290E"/>
    <w:rsid w:val="74977D24"/>
    <w:rsid w:val="74986C70"/>
    <w:rsid w:val="749C51ED"/>
    <w:rsid w:val="74A13471"/>
    <w:rsid w:val="74A3517D"/>
    <w:rsid w:val="74A457DE"/>
    <w:rsid w:val="74AA0F9A"/>
    <w:rsid w:val="74B17705"/>
    <w:rsid w:val="74B61363"/>
    <w:rsid w:val="74B705B0"/>
    <w:rsid w:val="74B906DA"/>
    <w:rsid w:val="74B92160"/>
    <w:rsid w:val="74BC3895"/>
    <w:rsid w:val="74BC3CE6"/>
    <w:rsid w:val="74BF5C09"/>
    <w:rsid w:val="74BF74BA"/>
    <w:rsid w:val="74C17342"/>
    <w:rsid w:val="74C27162"/>
    <w:rsid w:val="74C40172"/>
    <w:rsid w:val="74C45400"/>
    <w:rsid w:val="74C71DE3"/>
    <w:rsid w:val="74C940A1"/>
    <w:rsid w:val="74CE26E2"/>
    <w:rsid w:val="74CF13B0"/>
    <w:rsid w:val="74D079C5"/>
    <w:rsid w:val="74D24B74"/>
    <w:rsid w:val="74D379E1"/>
    <w:rsid w:val="74D61BC8"/>
    <w:rsid w:val="74D76614"/>
    <w:rsid w:val="74DB62DB"/>
    <w:rsid w:val="74DC6A53"/>
    <w:rsid w:val="74E05A36"/>
    <w:rsid w:val="74E46ABD"/>
    <w:rsid w:val="74E60F92"/>
    <w:rsid w:val="74F13466"/>
    <w:rsid w:val="74F301C2"/>
    <w:rsid w:val="74F80234"/>
    <w:rsid w:val="74F8393F"/>
    <w:rsid w:val="74FA4152"/>
    <w:rsid w:val="74FD4A5E"/>
    <w:rsid w:val="74FE0F72"/>
    <w:rsid w:val="74FE320A"/>
    <w:rsid w:val="750108DD"/>
    <w:rsid w:val="750258D7"/>
    <w:rsid w:val="75052316"/>
    <w:rsid w:val="75093403"/>
    <w:rsid w:val="750B22EA"/>
    <w:rsid w:val="750C3118"/>
    <w:rsid w:val="75112E68"/>
    <w:rsid w:val="75136EFF"/>
    <w:rsid w:val="75155C46"/>
    <w:rsid w:val="751D2C88"/>
    <w:rsid w:val="751D420A"/>
    <w:rsid w:val="751E5CC1"/>
    <w:rsid w:val="751E690A"/>
    <w:rsid w:val="752145AA"/>
    <w:rsid w:val="75221A05"/>
    <w:rsid w:val="752231FE"/>
    <w:rsid w:val="75245508"/>
    <w:rsid w:val="75246200"/>
    <w:rsid w:val="75262F5E"/>
    <w:rsid w:val="75284200"/>
    <w:rsid w:val="75285314"/>
    <w:rsid w:val="75286165"/>
    <w:rsid w:val="752952EB"/>
    <w:rsid w:val="752A1C42"/>
    <w:rsid w:val="752B6CB3"/>
    <w:rsid w:val="752E2E69"/>
    <w:rsid w:val="7536035E"/>
    <w:rsid w:val="75385A96"/>
    <w:rsid w:val="753B6CFC"/>
    <w:rsid w:val="753F6D7D"/>
    <w:rsid w:val="75434E2F"/>
    <w:rsid w:val="754834D4"/>
    <w:rsid w:val="7549560E"/>
    <w:rsid w:val="754A4031"/>
    <w:rsid w:val="754A63FA"/>
    <w:rsid w:val="754B220A"/>
    <w:rsid w:val="754C1FDF"/>
    <w:rsid w:val="754C32EF"/>
    <w:rsid w:val="754C7D8D"/>
    <w:rsid w:val="754D3905"/>
    <w:rsid w:val="754E0E32"/>
    <w:rsid w:val="75513346"/>
    <w:rsid w:val="75552838"/>
    <w:rsid w:val="755643E0"/>
    <w:rsid w:val="75573270"/>
    <w:rsid w:val="75595538"/>
    <w:rsid w:val="75625330"/>
    <w:rsid w:val="756D555B"/>
    <w:rsid w:val="75705F95"/>
    <w:rsid w:val="7570680E"/>
    <w:rsid w:val="75722D56"/>
    <w:rsid w:val="757530F6"/>
    <w:rsid w:val="757765BE"/>
    <w:rsid w:val="757A2C3A"/>
    <w:rsid w:val="757D4FA5"/>
    <w:rsid w:val="757E5E9D"/>
    <w:rsid w:val="757F44C7"/>
    <w:rsid w:val="758350C2"/>
    <w:rsid w:val="75867ED3"/>
    <w:rsid w:val="758D7824"/>
    <w:rsid w:val="75905B9E"/>
    <w:rsid w:val="75921871"/>
    <w:rsid w:val="75932CCC"/>
    <w:rsid w:val="75940CF0"/>
    <w:rsid w:val="75957C88"/>
    <w:rsid w:val="75994786"/>
    <w:rsid w:val="759B2B10"/>
    <w:rsid w:val="759B3ACE"/>
    <w:rsid w:val="759B64B5"/>
    <w:rsid w:val="759B75AD"/>
    <w:rsid w:val="759D7F51"/>
    <w:rsid w:val="759F3EF7"/>
    <w:rsid w:val="759F4E8E"/>
    <w:rsid w:val="759F6388"/>
    <w:rsid w:val="75A01508"/>
    <w:rsid w:val="75A4719B"/>
    <w:rsid w:val="75A57CEF"/>
    <w:rsid w:val="75A66EA3"/>
    <w:rsid w:val="75A708BD"/>
    <w:rsid w:val="75AA186D"/>
    <w:rsid w:val="75AA2512"/>
    <w:rsid w:val="75AB5500"/>
    <w:rsid w:val="75B15221"/>
    <w:rsid w:val="75B23DEB"/>
    <w:rsid w:val="75B3213E"/>
    <w:rsid w:val="75B53C6D"/>
    <w:rsid w:val="75B8234D"/>
    <w:rsid w:val="75B859D0"/>
    <w:rsid w:val="75BC34B6"/>
    <w:rsid w:val="75BC4E88"/>
    <w:rsid w:val="75BE3C46"/>
    <w:rsid w:val="75BF4A61"/>
    <w:rsid w:val="75C36658"/>
    <w:rsid w:val="75C51F6C"/>
    <w:rsid w:val="75C76E00"/>
    <w:rsid w:val="75CA2E5B"/>
    <w:rsid w:val="75CA5770"/>
    <w:rsid w:val="75CF4942"/>
    <w:rsid w:val="75CF6591"/>
    <w:rsid w:val="75D32AF0"/>
    <w:rsid w:val="75D53F1E"/>
    <w:rsid w:val="75D63FFE"/>
    <w:rsid w:val="75D810A1"/>
    <w:rsid w:val="75D92DD5"/>
    <w:rsid w:val="75DA282B"/>
    <w:rsid w:val="75DA5344"/>
    <w:rsid w:val="75DD30AF"/>
    <w:rsid w:val="75DE28D2"/>
    <w:rsid w:val="75E25C51"/>
    <w:rsid w:val="75E95492"/>
    <w:rsid w:val="75EB25BF"/>
    <w:rsid w:val="75EC034A"/>
    <w:rsid w:val="75FB031C"/>
    <w:rsid w:val="76011F4A"/>
    <w:rsid w:val="76073A8E"/>
    <w:rsid w:val="760A2DD4"/>
    <w:rsid w:val="76100AC8"/>
    <w:rsid w:val="76123486"/>
    <w:rsid w:val="76146659"/>
    <w:rsid w:val="761835A9"/>
    <w:rsid w:val="7618678B"/>
    <w:rsid w:val="761D154C"/>
    <w:rsid w:val="76204EEF"/>
    <w:rsid w:val="76220DF4"/>
    <w:rsid w:val="76254F6A"/>
    <w:rsid w:val="76264D50"/>
    <w:rsid w:val="76266077"/>
    <w:rsid w:val="762D3121"/>
    <w:rsid w:val="762F50EB"/>
    <w:rsid w:val="7636315A"/>
    <w:rsid w:val="763666CB"/>
    <w:rsid w:val="7637425D"/>
    <w:rsid w:val="763B463E"/>
    <w:rsid w:val="763B5EAA"/>
    <w:rsid w:val="763C15B6"/>
    <w:rsid w:val="763C6AC7"/>
    <w:rsid w:val="763E7E1D"/>
    <w:rsid w:val="76424FBE"/>
    <w:rsid w:val="764306EF"/>
    <w:rsid w:val="764500F2"/>
    <w:rsid w:val="7645377C"/>
    <w:rsid w:val="7645769D"/>
    <w:rsid w:val="764C210C"/>
    <w:rsid w:val="76502DD4"/>
    <w:rsid w:val="7650410A"/>
    <w:rsid w:val="76563337"/>
    <w:rsid w:val="765A7645"/>
    <w:rsid w:val="765D7C32"/>
    <w:rsid w:val="765F3F80"/>
    <w:rsid w:val="765F7530"/>
    <w:rsid w:val="76610DB3"/>
    <w:rsid w:val="76621CFC"/>
    <w:rsid w:val="76622CB6"/>
    <w:rsid w:val="76622E8E"/>
    <w:rsid w:val="76650D15"/>
    <w:rsid w:val="766740A1"/>
    <w:rsid w:val="766A7EB7"/>
    <w:rsid w:val="766C2087"/>
    <w:rsid w:val="76705F0C"/>
    <w:rsid w:val="76727AA2"/>
    <w:rsid w:val="767570D4"/>
    <w:rsid w:val="76782D11"/>
    <w:rsid w:val="767915E6"/>
    <w:rsid w:val="76796294"/>
    <w:rsid w:val="767A68D1"/>
    <w:rsid w:val="767B3E8C"/>
    <w:rsid w:val="76851986"/>
    <w:rsid w:val="76861E36"/>
    <w:rsid w:val="768B7AD1"/>
    <w:rsid w:val="768E2EBE"/>
    <w:rsid w:val="768E4E3E"/>
    <w:rsid w:val="769370EE"/>
    <w:rsid w:val="76945EE6"/>
    <w:rsid w:val="76946912"/>
    <w:rsid w:val="769D2585"/>
    <w:rsid w:val="76A22C56"/>
    <w:rsid w:val="76A24BC3"/>
    <w:rsid w:val="76A515B5"/>
    <w:rsid w:val="76A56B45"/>
    <w:rsid w:val="76AF6189"/>
    <w:rsid w:val="76B178AE"/>
    <w:rsid w:val="76B31406"/>
    <w:rsid w:val="76B54DAA"/>
    <w:rsid w:val="76B600C1"/>
    <w:rsid w:val="76B7749B"/>
    <w:rsid w:val="76BD0099"/>
    <w:rsid w:val="76BD27DA"/>
    <w:rsid w:val="76BD67E7"/>
    <w:rsid w:val="76BD6CD4"/>
    <w:rsid w:val="76BE28AC"/>
    <w:rsid w:val="76C05737"/>
    <w:rsid w:val="76C41720"/>
    <w:rsid w:val="76CD399F"/>
    <w:rsid w:val="76D13049"/>
    <w:rsid w:val="76D157FF"/>
    <w:rsid w:val="76D87345"/>
    <w:rsid w:val="76D936DC"/>
    <w:rsid w:val="76DA32A9"/>
    <w:rsid w:val="76E25AA2"/>
    <w:rsid w:val="76E46FCC"/>
    <w:rsid w:val="76E4756C"/>
    <w:rsid w:val="76E714B1"/>
    <w:rsid w:val="76E842DB"/>
    <w:rsid w:val="76EA04BD"/>
    <w:rsid w:val="76EE0575"/>
    <w:rsid w:val="76EE58AD"/>
    <w:rsid w:val="76EF3DEE"/>
    <w:rsid w:val="76EF4B7B"/>
    <w:rsid w:val="76F549A8"/>
    <w:rsid w:val="76FC704E"/>
    <w:rsid w:val="76FF0B78"/>
    <w:rsid w:val="770C1961"/>
    <w:rsid w:val="770F3EF6"/>
    <w:rsid w:val="77107440"/>
    <w:rsid w:val="7713277F"/>
    <w:rsid w:val="771518D3"/>
    <w:rsid w:val="77152863"/>
    <w:rsid w:val="77190122"/>
    <w:rsid w:val="771927D0"/>
    <w:rsid w:val="77207A79"/>
    <w:rsid w:val="77215FA8"/>
    <w:rsid w:val="772169B7"/>
    <w:rsid w:val="772223CE"/>
    <w:rsid w:val="77266FE7"/>
    <w:rsid w:val="772848A0"/>
    <w:rsid w:val="772B7954"/>
    <w:rsid w:val="77303BA0"/>
    <w:rsid w:val="773334B2"/>
    <w:rsid w:val="77336AA0"/>
    <w:rsid w:val="77346E88"/>
    <w:rsid w:val="77347BB3"/>
    <w:rsid w:val="77373CAB"/>
    <w:rsid w:val="7739787A"/>
    <w:rsid w:val="773A1095"/>
    <w:rsid w:val="77414EDD"/>
    <w:rsid w:val="774557C6"/>
    <w:rsid w:val="774951C0"/>
    <w:rsid w:val="774D615E"/>
    <w:rsid w:val="7750368C"/>
    <w:rsid w:val="77560455"/>
    <w:rsid w:val="775919C0"/>
    <w:rsid w:val="7759643A"/>
    <w:rsid w:val="775A5C04"/>
    <w:rsid w:val="775D3F1B"/>
    <w:rsid w:val="7760783E"/>
    <w:rsid w:val="77667502"/>
    <w:rsid w:val="77674632"/>
    <w:rsid w:val="77692691"/>
    <w:rsid w:val="776A2ADA"/>
    <w:rsid w:val="776E2AD3"/>
    <w:rsid w:val="776E3C95"/>
    <w:rsid w:val="7770634A"/>
    <w:rsid w:val="7771421E"/>
    <w:rsid w:val="77737AD7"/>
    <w:rsid w:val="77754D6F"/>
    <w:rsid w:val="7776232F"/>
    <w:rsid w:val="77766FE8"/>
    <w:rsid w:val="77773222"/>
    <w:rsid w:val="77784179"/>
    <w:rsid w:val="77817631"/>
    <w:rsid w:val="7785692E"/>
    <w:rsid w:val="778B1DFE"/>
    <w:rsid w:val="778C2824"/>
    <w:rsid w:val="7793469A"/>
    <w:rsid w:val="77937C49"/>
    <w:rsid w:val="77951FE1"/>
    <w:rsid w:val="779551F6"/>
    <w:rsid w:val="779805D4"/>
    <w:rsid w:val="779B2E87"/>
    <w:rsid w:val="779C51EE"/>
    <w:rsid w:val="779C726C"/>
    <w:rsid w:val="779F080F"/>
    <w:rsid w:val="77A32AF5"/>
    <w:rsid w:val="77A802AF"/>
    <w:rsid w:val="77A862F1"/>
    <w:rsid w:val="77A86DF8"/>
    <w:rsid w:val="77A9528F"/>
    <w:rsid w:val="77AB3E28"/>
    <w:rsid w:val="77B01DAD"/>
    <w:rsid w:val="77B1285F"/>
    <w:rsid w:val="77B14772"/>
    <w:rsid w:val="77B33945"/>
    <w:rsid w:val="77B45EFF"/>
    <w:rsid w:val="77B70519"/>
    <w:rsid w:val="77B8645C"/>
    <w:rsid w:val="77BF509E"/>
    <w:rsid w:val="77C108D5"/>
    <w:rsid w:val="77C1275B"/>
    <w:rsid w:val="77C23131"/>
    <w:rsid w:val="77C3148E"/>
    <w:rsid w:val="77C44D68"/>
    <w:rsid w:val="77CD2F41"/>
    <w:rsid w:val="77CE088D"/>
    <w:rsid w:val="77CF7615"/>
    <w:rsid w:val="77D16DC4"/>
    <w:rsid w:val="77D306F7"/>
    <w:rsid w:val="77D56E69"/>
    <w:rsid w:val="77E57F0B"/>
    <w:rsid w:val="77E61FFD"/>
    <w:rsid w:val="77E97581"/>
    <w:rsid w:val="77EA5555"/>
    <w:rsid w:val="77EA6A14"/>
    <w:rsid w:val="77EB10F2"/>
    <w:rsid w:val="77EC16E5"/>
    <w:rsid w:val="77EE4EDF"/>
    <w:rsid w:val="77EE6A34"/>
    <w:rsid w:val="77EF03CA"/>
    <w:rsid w:val="77F3360E"/>
    <w:rsid w:val="77F33B98"/>
    <w:rsid w:val="77F47954"/>
    <w:rsid w:val="77F73CE8"/>
    <w:rsid w:val="77FB320A"/>
    <w:rsid w:val="77FC0F59"/>
    <w:rsid w:val="77FE2CFB"/>
    <w:rsid w:val="77FF0DFC"/>
    <w:rsid w:val="78000AED"/>
    <w:rsid w:val="78003E7B"/>
    <w:rsid w:val="780069CE"/>
    <w:rsid w:val="780103C1"/>
    <w:rsid w:val="780113AB"/>
    <w:rsid w:val="780239C6"/>
    <w:rsid w:val="78025B06"/>
    <w:rsid w:val="78080340"/>
    <w:rsid w:val="780A3963"/>
    <w:rsid w:val="780C0FA4"/>
    <w:rsid w:val="780D166A"/>
    <w:rsid w:val="780D62E4"/>
    <w:rsid w:val="780E349C"/>
    <w:rsid w:val="78114144"/>
    <w:rsid w:val="78122E38"/>
    <w:rsid w:val="78143510"/>
    <w:rsid w:val="78155518"/>
    <w:rsid w:val="78160F31"/>
    <w:rsid w:val="78162870"/>
    <w:rsid w:val="781D31DA"/>
    <w:rsid w:val="781E1EAC"/>
    <w:rsid w:val="781F1653"/>
    <w:rsid w:val="78202CFD"/>
    <w:rsid w:val="782241D9"/>
    <w:rsid w:val="78246C1A"/>
    <w:rsid w:val="78261554"/>
    <w:rsid w:val="782904CF"/>
    <w:rsid w:val="782B48EA"/>
    <w:rsid w:val="782D34EB"/>
    <w:rsid w:val="783363DF"/>
    <w:rsid w:val="783764D9"/>
    <w:rsid w:val="783A2124"/>
    <w:rsid w:val="784952E3"/>
    <w:rsid w:val="784A37BF"/>
    <w:rsid w:val="784A56E3"/>
    <w:rsid w:val="784B7C21"/>
    <w:rsid w:val="785160EB"/>
    <w:rsid w:val="785311C3"/>
    <w:rsid w:val="785504F4"/>
    <w:rsid w:val="78552F74"/>
    <w:rsid w:val="78567F83"/>
    <w:rsid w:val="7857124A"/>
    <w:rsid w:val="78585FC2"/>
    <w:rsid w:val="785869D5"/>
    <w:rsid w:val="785B0CE6"/>
    <w:rsid w:val="785C22A1"/>
    <w:rsid w:val="785C3F61"/>
    <w:rsid w:val="785D4DFC"/>
    <w:rsid w:val="785D6F57"/>
    <w:rsid w:val="785F5230"/>
    <w:rsid w:val="785F735D"/>
    <w:rsid w:val="7866182E"/>
    <w:rsid w:val="78693A97"/>
    <w:rsid w:val="78721A73"/>
    <w:rsid w:val="78740ECF"/>
    <w:rsid w:val="78746F65"/>
    <w:rsid w:val="787A7B41"/>
    <w:rsid w:val="787B4880"/>
    <w:rsid w:val="787D2B5C"/>
    <w:rsid w:val="787D46C7"/>
    <w:rsid w:val="787E30C0"/>
    <w:rsid w:val="787E6C89"/>
    <w:rsid w:val="787F2F98"/>
    <w:rsid w:val="788018F4"/>
    <w:rsid w:val="78801C2E"/>
    <w:rsid w:val="788102DC"/>
    <w:rsid w:val="78823220"/>
    <w:rsid w:val="788B08E5"/>
    <w:rsid w:val="788C4780"/>
    <w:rsid w:val="788D4DA2"/>
    <w:rsid w:val="78904927"/>
    <w:rsid w:val="789468AA"/>
    <w:rsid w:val="789705A4"/>
    <w:rsid w:val="789919B5"/>
    <w:rsid w:val="78A2778E"/>
    <w:rsid w:val="78A60B62"/>
    <w:rsid w:val="78A832D2"/>
    <w:rsid w:val="78AA4ACC"/>
    <w:rsid w:val="78B70C2B"/>
    <w:rsid w:val="78B82234"/>
    <w:rsid w:val="78C053D6"/>
    <w:rsid w:val="78C2141E"/>
    <w:rsid w:val="78C253BA"/>
    <w:rsid w:val="78C25DE3"/>
    <w:rsid w:val="78C357ED"/>
    <w:rsid w:val="78C50A86"/>
    <w:rsid w:val="78C7366F"/>
    <w:rsid w:val="78CC6F23"/>
    <w:rsid w:val="78D12396"/>
    <w:rsid w:val="78D14E14"/>
    <w:rsid w:val="78D34DCF"/>
    <w:rsid w:val="78D4623D"/>
    <w:rsid w:val="78D9133E"/>
    <w:rsid w:val="78DC2E26"/>
    <w:rsid w:val="78DC76B2"/>
    <w:rsid w:val="78E37C29"/>
    <w:rsid w:val="78E511EE"/>
    <w:rsid w:val="78E51B04"/>
    <w:rsid w:val="78E71E09"/>
    <w:rsid w:val="78E809BA"/>
    <w:rsid w:val="78E92503"/>
    <w:rsid w:val="78EA0077"/>
    <w:rsid w:val="78EB5694"/>
    <w:rsid w:val="78EC72C3"/>
    <w:rsid w:val="78EF2702"/>
    <w:rsid w:val="78FB5FA6"/>
    <w:rsid w:val="7904685F"/>
    <w:rsid w:val="790C47B4"/>
    <w:rsid w:val="790C7B75"/>
    <w:rsid w:val="791244F6"/>
    <w:rsid w:val="79150207"/>
    <w:rsid w:val="791712C7"/>
    <w:rsid w:val="79174289"/>
    <w:rsid w:val="791B7E5C"/>
    <w:rsid w:val="791C30E4"/>
    <w:rsid w:val="79290F37"/>
    <w:rsid w:val="792E045B"/>
    <w:rsid w:val="792E168A"/>
    <w:rsid w:val="79302DB4"/>
    <w:rsid w:val="793060A0"/>
    <w:rsid w:val="7933660B"/>
    <w:rsid w:val="79365A8F"/>
    <w:rsid w:val="793723CD"/>
    <w:rsid w:val="793831F9"/>
    <w:rsid w:val="793B765D"/>
    <w:rsid w:val="793C77B3"/>
    <w:rsid w:val="79403D77"/>
    <w:rsid w:val="79404DE3"/>
    <w:rsid w:val="794249E0"/>
    <w:rsid w:val="7944745A"/>
    <w:rsid w:val="79455537"/>
    <w:rsid w:val="79485CAD"/>
    <w:rsid w:val="794B7FDB"/>
    <w:rsid w:val="794E7466"/>
    <w:rsid w:val="795310F0"/>
    <w:rsid w:val="795918BF"/>
    <w:rsid w:val="7959636B"/>
    <w:rsid w:val="795B2E47"/>
    <w:rsid w:val="795C61F7"/>
    <w:rsid w:val="795C735C"/>
    <w:rsid w:val="795D282A"/>
    <w:rsid w:val="795D5ACB"/>
    <w:rsid w:val="795D7A67"/>
    <w:rsid w:val="79600F95"/>
    <w:rsid w:val="7961052E"/>
    <w:rsid w:val="796254D7"/>
    <w:rsid w:val="79667D36"/>
    <w:rsid w:val="7969279E"/>
    <w:rsid w:val="79694B38"/>
    <w:rsid w:val="796A4721"/>
    <w:rsid w:val="796A5D78"/>
    <w:rsid w:val="796C624D"/>
    <w:rsid w:val="797352EE"/>
    <w:rsid w:val="7974097A"/>
    <w:rsid w:val="79741C08"/>
    <w:rsid w:val="79742C52"/>
    <w:rsid w:val="7975134B"/>
    <w:rsid w:val="79767FFC"/>
    <w:rsid w:val="797712CC"/>
    <w:rsid w:val="7979172B"/>
    <w:rsid w:val="797C4DA7"/>
    <w:rsid w:val="797D64E8"/>
    <w:rsid w:val="79821102"/>
    <w:rsid w:val="7983016B"/>
    <w:rsid w:val="79836B17"/>
    <w:rsid w:val="7984574E"/>
    <w:rsid w:val="798515D3"/>
    <w:rsid w:val="798533BD"/>
    <w:rsid w:val="7986046E"/>
    <w:rsid w:val="798647AE"/>
    <w:rsid w:val="798A6070"/>
    <w:rsid w:val="798B058C"/>
    <w:rsid w:val="798B7A66"/>
    <w:rsid w:val="798C2D00"/>
    <w:rsid w:val="798E3ABB"/>
    <w:rsid w:val="798F5B58"/>
    <w:rsid w:val="798F6C9F"/>
    <w:rsid w:val="7995382F"/>
    <w:rsid w:val="79954F0C"/>
    <w:rsid w:val="79955265"/>
    <w:rsid w:val="799C581E"/>
    <w:rsid w:val="79A36A44"/>
    <w:rsid w:val="79A6173C"/>
    <w:rsid w:val="79A63514"/>
    <w:rsid w:val="79AE6327"/>
    <w:rsid w:val="79B078D8"/>
    <w:rsid w:val="79B431BC"/>
    <w:rsid w:val="79B80D45"/>
    <w:rsid w:val="79C40321"/>
    <w:rsid w:val="79C869EA"/>
    <w:rsid w:val="79C94B4B"/>
    <w:rsid w:val="79CD6233"/>
    <w:rsid w:val="79D149CE"/>
    <w:rsid w:val="79D33FDF"/>
    <w:rsid w:val="79D91733"/>
    <w:rsid w:val="79D938A4"/>
    <w:rsid w:val="79DA45DE"/>
    <w:rsid w:val="79DA756D"/>
    <w:rsid w:val="79DB3ABD"/>
    <w:rsid w:val="79DC5BB2"/>
    <w:rsid w:val="79DC7E1C"/>
    <w:rsid w:val="79E03A56"/>
    <w:rsid w:val="79E116C3"/>
    <w:rsid w:val="79E3167F"/>
    <w:rsid w:val="79E41D48"/>
    <w:rsid w:val="79E53C96"/>
    <w:rsid w:val="79E56079"/>
    <w:rsid w:val="79E70B47"/>
    <w:rsid w:val="79EF2C5B"/>
    <w:rsid w:val="79F06638"/>
    <w:rsid w:val="79F11200"/>
    <w:rsid w:val="79F20023"/>
    <w:rsid w:val="79F32313"/>
    <w:rsid w:val="79F3466B"/>
    <w:rsid w:val="79F37792"/>
    <w:rsid w:val="79F64305"/>
    <w:rsid w:val="79F67EF0"/>
    <w:rsid w:val="79F75659"/>
    <w:rsid w:val="79F85AD2"/>
    <w:rsid w:val="79F91114"/>
    <w:rsid w:val="79FD2E0A"/>
    <w:rsid w:val="79FD629E"/>
    <w:rsid w:val="7A004319"/>
    <w:rsid w:val="7A0154C7"/>
    <w:rsid w:val="7A020420"/>
    <w:rsid w:val="7A04168A"/>
    <w:rsid w:val="7A074C74"/>
    <w:rsid w:val="7A081108"/>
    <w:rsid w:val="7A081EF5"/>
    <w:rsid w:val="7A0D129F"/>
    <w:rsid w:val="7A0D1CC7"/>
    <w:rsid w:val="7A0F0165"/>
    <w:rsid w:val="7A0F0945"/>
    <w:rsid w:val="7A10786F"/>
    <w:rsid w:val="7A1366E8"/>
    <w:rsid w:val="7A17390D"/>
    <w:rsid w:val="7A177611"/>
    <w:rsid w:val="7A186762"/>
    <w:rsid w:val="7A1A2001"/>
    <w:rsid w:val="7A1C5F19"/>
    <w:rsid w:val="7A1F6757"/>
    <w:rsid w:val="7A20439B"/>
    <w:rsid w:val="7A235413"/>
    <w:rsid w:val="7A275CD3"/>
    <w:rsid w:val="7A300401"/>
    <w:rsid w:val="7A337D1C"/>
    <w:rsid w:val="7A38686E"/>
    <w:rsid w:val="7A3A3020"/>
    <w:rsid w:val="7A3E1F6B"/>
    <w:rsid w:val="7A423A14"/>
    <w:rsid w:val="7A424F07"/>
    <w:rsid w:val="7A44022D"/>
    <w:rsid w:val="7A46397D"/>
    <w:rsid w:val="7A496B9E"/>
    <w:rsid w:val="7A497D07"/>
    <w:rsid w:val="7A4E310B"/>
    <w:rsid w:val="7A510226"/>
    <w:rsid w:val="7A51551F"/>
    <w:rsid w:val="7A540C70"/>
    <w:rsid w:val="7A550538"/>
    <w:rsid w:val="7A562688"/>
    <w:rsid w:val="7A58313B"/>
    <w:rsid w:val="7A59680F"/>
    <w:rsid w:val="7A5C3FD5"/>
    <w:rsid w:val="7A60442E"/>
    <w:rsid w:val="7A6210BB"/>
    <w:rsid w:val="7A625262"/>
    <w:rsid w:val="7A66442C"/>
    <w:rsid w:val="7A6809D3"/>
    <w:rsid w:val="7A6A7412"/>
    <w:rsid w:val="7A6B246A"/>
    <w:rsid w:val="7A6D228F"/>
    <w:rsid w:val="7A6E1922"/>
    <w:rsid w:val="7A6E19A1"/>
    <w:rsid w:val="7A6F3C64"/>
    <w:rsid w:val="7A7008FD"/>
    <w:rsid w:val="7A742E4E"/>
    <w:rsid w:val="7A78354D"/>
    <w:rsid w:val="7A7B3555"/>
    <w:rsid w:val="7A7C15F3"/>
    <w:rsid w:val="7A7E3116"/>
    <w:rsid w:val="7A7E7F2D"/>
    <w:rsid w:val="7A801E00"/>
    <w:rsid w:val="7A8073FD"/>
    <w:rsid w:val="7A8122C8"/>
    <w:rsid w:val="7A83735A"/>
    <w:rsid w:val="7A8525EA"/>
    <w:rsid w:val="7A8B7A6D"/>
    <w:rsid w:val="7A8C20EC"/>
    <w:rsid w:val="7A920303"/>
    <w:rsid w:val="7A936EE8"/>
    <w:rsid w:val="7A962F16"/>
    <w:rsid w:val="7A9670D7"/>
    <w:rsid w:val="7A976512"/>
    <w:rsid w:val="7A983686"/>
    <w:rsid w:val="7A990DFE"/>
    <w:rsid w:val="7A9B7743"/>
    <w:rsid w:val="7A9D0CE8"/>
    <w:rsid w:val="7A9D5CDD"/>
    <w:rsid w:val="7AA008BF"/>
    <w:rsid w:val="7AA01750"/>
    <w:rsid w:val="7AA9175C"/>
    <w:rsid w:val="7AAB2530"/>
    <w:rsid w:val="7AAF00E7"/>
    <w:rsid w:val="7AB441D5"/>
    <w:rsid w:val="7AB8650B"/>
    <w:rsid w:val="7AB92029"/>
    <w:rsid w:val="7ABE0452"/>
    <w:rsid w:val="7AC0116C"/>
    <w:rsid w:val="7AC36F7D"/>
    <w:rsid w:val="7AC53928"/>
    <w:rsid w:val="7AC96B3F"/>
    <w:rsid w:val="7ACB66CA"/>
    <w:rsid w:val="7AD24042"/>
    <w:rsid w:val="7AD33C59"/>
    <w:rsid w:val="7AD94348"/>
    <w:rsid w:val="7AD96201"/>
    <w:rsid w:val="7ADB30C3"/>
    <w:rsid w:val="7ADB3F7C"/>
    <w:rsid w:val="7ADE4F4C"/>
    <w:rsid w:val="7AE13380"/>
    <w:rsid w:val="7AE23E17"/>
    <w:rsid w:val="7AE278C7"/>
    <w:rsid w:val="7AE87351"/>
    <w:rsid w:val="7AE87439"/>
    <w:rsid w:val="7AEF5FDF"/>
    <w:rsid w:val="7AF00DB4"/>
    <w:rsid w:val="7AF3046A"/>
    <w:rsid w:val="7AF33363"/>
    <w:rsid w:val="7AF5196F"/>
    <w:rsid w:val="7AF663AB"/>
    <w:rsid w:val="7AF66C73"/>
    <w:rsid w:val="7AF83136"/>
    <w:rsid w:val="7AFA2F2A"/>
    <w:rsid w:val="7AFB25AC"/>
    <w:rsid w:val="7AFD40A1"/>
    <w:rsid w:val="7AFD7CFE"/>
    <w:rsid w:val="7AFE66B2"/>
    <w:rsid w:val="7B013002"/>
    <w:rsid w:val="7B013CDD"/>
    <w:rsid w:val="7B05319D"/>
    <w:rsid w:val="7B066978"/>
    <w:rsid w:val="7B101571"/>
    <w:rsid w:val="7B114DBF"/>
    <w:rsid w:val="7B134FFD"/>
    <w:rsid w:val="7B171648"/>
    <w:rsid w:val="7B1819E7"/>
    <w:rsid w:val="7B211F55"/>
    <w:rsid w:val="7B247ADC"/>
    <w:rsid w:val="7B275A68"/>
    <w:rsid w:val="7B28050C"/>
    <w:rsid w:val="7B2806CE"/>
    <w:rsid w:val="7B293BD3"/>
    <w:rsid w:val="7B2B5CBF"/>
    <w:rsid w:val="7B2D7A9F"/>
    <w:rsid w:val="7B2E3DEE"/>
    <w:rsid w:val="7B342DC6"/>
    <w:rsid w:val="7B34311F"/>
    <w:rsid w:val="7B345A1B"/>
    <w:rsid w:val="7B3620E8"/>
    <w:rsid w:val="7B394B98"/>
    <w:rsid w:val="7B3A2568"/>
    <w:rsid w:val="7B3D35E8"/>
    <w:rsid w:val="7B3F335C"/>
    <w:rsid w:val="7B407557"/>
    <w:rsid w:val="7B46002A"/>
    <w:rsid w:val="7B4934B7"/>
    <w:rsid w:val="7B4A0483"/>
    <w:rsid w:val="7B4A346F"/>
    <w:rsid w:val="7B4E750F"/>
    <w:rsid w:val="7B503C31"/>
    <w:rsid w:val="7B511F2F"/>
    <w:rsid w:val="7B51623D"/>
    <w:rsid w:val="7B5B674F"/>
    <w:rsid w:val="7B5C72B4"/>
    <w:rsid w:val="7B614326"/>
    <w:rsid w:val="7B6267BA"/>
    <w:rsid w:val="7B632C26"/>
    <w:rsid w:val="7B643141"/>
    <w:rsid w:val="7B6469D0"/>
    <w:rsid w:val="7B66237D"/>
    <w:rsid w:val="7B6714B3"/>
    <w:rsid w:val="7B682200"/>
    <w:rsid w:val="7B6B67E4"/>
    <w:rsid w:val="7B6F0D44"/>
    <w:rsid w:val="7B76116A"/>
    <w:rsid w:val="7B774BF1"/>
    <w:rsid w:val="7B7D4EB6"/>
    <w:rsid w:val="7B8451AE"/>
    <w:rsid w:val="7B84600B"/>
    <w:rsid w:val="7B851555"/>
    <w:rsid w:val="7B85417F"/>
    <w:rsid w:val="7B87064B"/>
    <w:rsid w:val="7B8944C9"/>
    <w:rsid w:val="7B8C36F5"/>
    <w:rsid w:val="7B8D35B1"/>
    <w:rsid w:val="7B8D3B25"/>
    <w:rsid w:val="7B952BBB"/>
    <w:rsid w:val="7B9856BA"/>
    <w:rsid w:val="7B9A088B"/>
    <w:rsid w:val="7B9B2968"/>
    <w:rsid w:val="7BA61D8C"/>
    <w:rsid w:val="7BA66D12"/>
    <w:rsid w:val="7BA8187D"/>
    <w:rsid w:val="7BA842FC"/>
    <w:rsid w:val="7BB16C95"/>
    <w:rsid w:val="7BB36BFC"/>
    <w:rsid w:val="7BB77F53"/>
    <w:rsid w:val="7BBB0D55"/>
    <w:rsid w:val="7BBE16E9"/>
    <w:rsid w:val="7BC57BA4"/>
    <w:rsid w:val="7BC76F7A"/>
    <w:rsid w:val="7BC83AEF"/>
    <w:rsid w:val="7BC9071C"/>
    <w:rsid w:val="7BCB1B35"/>
    <w:rsid w:val="7BD13261"/>
    <w:rsid w:val="7BD421A6"/>
    <w:rsid w:val="7BD450C5"/>
    <w:rsid w:val="7BD51432"/>
    <w:rsid w:val="7BD66969"/>
    <w:rsid w:val="7BD87934"/>
    <w:rsid w:val="7BDE19DF"/>
    <w:rsid w:val="7BE106A3"/>
    <w:rsid w:val="7BE40BB6"/>
    <w:rsid w:val="7BE86B7B"/>
    <w:rsid w:val="7BED25F2"/>
    <w:rsid w:val="7BEE59D3"/>
    <w:rsid w:val="7BF24B26"/>
    <w:rsid w:val="7BF27542"/>
    <w:rsid w:val="7BF65538"/>
    <w:rsid w:val="7BF90F24"/>
    <w:rsid w:val="7BFB309E"/>
    <w:rsid w:val="7BFB3BF3"/>
    <w:rsid w:val="7BFF0538"/>
    <w:rsid w:val="7C02790B"/>
    <w:rsid w:val="7C0820DB"/>
    <w:rsid w:val="7C08326F"/>
    <w:rsid w:val="7C0C43DB"/>
    <w:rsid w:val="7C0F1753"/>
    <w:rsid w:val="7C127334"/>
    <w:rsid w:val="7C135F1E"/>
    <w:rsid w:val="7C144705"/>
    <w:rsid w:val="7C1548DF"/>
    <w:rsid w:val="7C175324"/>
    <w:rsid w:val="7C183205"/>
    <w:rsid w:val="7C1A6DD0"/>
    <w:rsid w:val="7C1D1951"/>
    <w:rsid w:val="7C214D28"/>
    <w:rsid w:val="7C2519D4"/>
    <w:rsid w:val="7C263C5F"/>
    <w:rsid w:val="7C357EF5"/>
    <w:rsid w:val="7C373897"/>
    <w:rsid w:val="7C396D1B"/>
    <w:rsid w:val="7C3B2037"/>
    <w:rsid w:val="7C3C3EC4"/>
    <w:rsid w:val="7C3E1BE4"/>
    <w:rsid w:val="7C3E56E8"/>
    <w:rsid w:val="7C3F0858"/>
    <w:rsid w:val="7C417F25"/>
    <w:rsid w:val="7C437462"/>
    <w:rsid w:val="7C4617C2"/>
    <w:rsid w:val="7C465214"/>
    <w:rsid w:val="7C4822C5"/>
    <w:rsid w:val="7C492337"/>
    <w:rsid w:val="7C4961E4"/>
    <w:rsid w:val="7C4A5941"/>
    <w:rsid w:val="7C4C2BED"/>
    <w:rsid w:val="7C570EF7"/>
    <w:rsid w:val="7C571D10"/>
    <w:rsid w:val="7C5961DB"/>
    <w:rsid w:val="7C5A7004"/>
    <w:rsid w:val="7C5C3E40"/>
    <w:rsid w:val="7C6058BE"/>
    <w:rsid w:val="7C623036"/>
    <w:rsid w:val="7C68549E"/>
    <w:rsid w:val="7C6929D9"/>
    <w:rsid w:val="7C6C179F"/>
    <w:rsid w:val="7C70134E"/>
    <w:rsid w:val="7C724943"/>
    <w:rsid w:val="7C731EF4"/>
    <w:rsid w:val="7C754444"/>
    <w:rsid w:val="7C762E33"/>
    <w:rsid w:val="7C793002"/>
    <w:rsid w:val="7C7D6467"/>
    <w:rsid w:val="7C827C53"/>
    <w:rsid w:val="7C842F39"/>
    <w:rsid w:val="7C8500E7"/>
    <w:rsid w:val="7C885555"/>
    <w:rsid w:val="7C897E2D"/>
    <w:rsid w:val="7C8A0659"/>
    <w:rsid w:val="7C8C34C2"/>
    <w:rsid w:val="7C8C4DFC"/>
    <w:rsid w:val="7C914409"/>
    <w:rsid w:val="7C921D0A"/>
    <w:rsid w:val="7C921F30"/>
    <w:rsid w:val="7C924E58"/>
    <w:rsid w:val="7C931BEA"/>
    <w:rsid w:val="7C99232B"/>
    <w:rsid w:val="7C9E50EB"/>
    <w:rsid w:val="7CA60E13"/>
    <w:rsid w:val="7CA73B62"/>
    <w:rsid w:val="7CA9382F"/>
    <w:rsid w:val="7CB366FC"/>
    <w:rsid w:val="7CB56EF2"/>
    <w:rsid w:val="7CBB62AD"/>
    <w:rsid w:val="7CBC6FAC"/>
    <w:rsid w:val="7CBF4F60"/>
    <w:rsid w:val="7CC12D41"/>
    <w:rsid w:val="7CC7080D"/>
    <w:rsid w:val="7CC7607D"/>
    <w:rsid w:val="7CC77E2B"/>
    <w:rsid w:val="7CCB22A2"/>
    <w:rsid w:val="7CCD26CF"/>
    <w:rsid w:val="7CCD6A45"/>
    <w:rsid w:val="7CCE3FDE"/>
    <w:rsid w:val="7CCF0A8E"/>
    <w:rsid w:val="7CCF3759"/>
    <w:rsid w:val="7CD13082"/>
    <w:rsid w:val="7CD17CAD"/>
    <w:rsid w:val="7CD267D0"/>
    <w:rsid w:val="7CD50259"/>
    <w:rsid w:val="7CD744DD"/>
    <w:rsid w:val="7CD85482"/>
    <w:rsid w:val="7CDA03B2"/>
    <w:rsid w:val="7CDE27CD"/>
    <w:rsid w:val="7CE52D60"/>
    <w:rsid w:val="7CE62EAE"/>
    <w:rsid w:val="7CE74FD7"/>
    <w:rsid w:val="7CE821E8"/>
    <w:rsid w:val="7CEA58C8"/>
    <w:rsid w:val="7CEC017E"/>
    <w:rsid w:val="7CF010AC"/>
    <w:rsid w:val="7CFE1606"/>
    <w:rsid w:val="7D03643D"/>
    <w:rsid w:val="7D0559DD"/>
    <w:rsid w:val="7D0A353B"/>
    <w:rsid w:val="7D0E0779"/>
    <w:rsid w:val="7D0E3565"/>
    <w:rsid w:val="7D1028C7"/>
    <w:rsid w:val="7D14264E"/>
    <w:rsid w:val="7D14634D"/>
    <w:rsid w:val="7D162F4F"/>
    <w:rsid w:val="7D1838B8"/>
    <w:rsid w:val="7D1B3CD3"/>
    <w:rsid w:val="7D1F7E82"/>
    <w:rsid w:val="7D20002D"/>
    <w:rsid w:val="7D2335B6"/>
    <w:rsid w:val="7D257168"/>
    <w:rsid w:val="7D280220"/>
    <w:rsid w:val="7D290D7E"/>
    <w:rsid w:val="7D294FC1"/>
    <w:rsid w:val="7D2A2A4B"/>
    <w:rsid w:val="7D2B7A94"/>
    <w:rsid w:val="7D2C004B"/>
    <w:rsid w:val="7D2D0C1A"/>
    <w:rsid w:val="7D326AA1"/>
    <w:rsid w:val="7D3614CE"/>
    <w:rsid w:val="7D3634EC"/>
    <w:rsid w:val="7D3766AA"/>
    <w:rsid w:val="7D3E172D"/>
    <w:rsid w:val="7D412320"/>
    <w:rsid w:val="7D414749"/>
    <w:rsid w:val="7D4255DE"/>
    <w:rsid w:val="7D434B61"/>
    <w:rsid w:val="7D4827E2"/>
    <w:rsid w:val="7D523199"/>
    <w:rsid w:val="7D567BC5"/>
    <w:rsid w:val="7D574AB6"/>
    <w:rsid w:val="7D5B4CCC"/>
    <w:rsid w:val="7D5B7B11"/>
    <w:rsid w:val="7D5D305F"/>
    <w:rsid w:val="7D5E396C"/>
    <w:rsid w:val="7D644CA2"/>
    <w:rsid w:val="7D680034"/>
    <w:rsid w:val="7D687AFA"/>
    <w:rsid w:val="7D690CA4"/>
    <w:rsid w:val="7D6A32F1"/>
    <w:rsid w:val="7D710A8D"/>
    <w:rsid w:val="7D746FF5"/>
    <w:rsid w:val="7D767623"/>
    <w:rsid w:val="7D7A3789"/>
    <w:rsid w:val="7D7A37B0"/>
    <w:rsid w:val="7D7A6D7A"/>
    <w:rsid w:val="7D7B2DAF"/>
    <w:rsid w:val="7D7F2275"/>
    <w:rsid w:val="7D8D3A46"/>
    <w:rsid w:val="7D9212F4"/>
    <w:rsid w:val="7D960D81"/>
    <w:rsid w:val="7D970AEA"/>
    <w:rsid w:val="7D973A8E"/>
    <w:rsid w:val="7D9A5566"/>
    <w:rsid w:val="7D9B0E5C"/>
    <w:rsid w:val="7D9C6AF9"/>
    <w:rsid w:val="7DA44D3F"/>
    <w:rsid w:val="7DA75D88"/>
    <w:rsid w:val="7DA84080"/>
    <w:rsid w:val="7DA939D5"/>
    <w:rsid w:val="7DA959EE"/>
    <w:rsid w:val="7DAA4F90"/>
    <w:rsid w:val="7DAB7A3E"/>
    <w:rsid w:val="7DAC798B"/>
    <w:rsid w:val="7DAD52A3"/>
    <w:rsid w:val="7DB109BE"/>
    <w:rsid w:val="7DB134DA"/>
    <w:rsid w:val="7DB13CEB"/>
    <w:rsid w:val="7DB60878"/>
    <w:rsid w:val="7DBA747C"/>
    <w:rsid w:val="7DBA7990"/>
    <w:rsid w:val="7DBB1263"/>
    <w:rsid w:val="7DBB6EF0"/>
    <w:rsid w:val="7DBC7B82"/>
    <w:rsid w:val="7DC161B3"/>
    <w:rsid w:val="7DC56DA1"/>
    <w:rsid w:val="7DC77936"/>
    <w:rsid w:val="7DCC1FE2"/>
    <w:rsid w:val="7DCF787A"/>
    <w:rsid w:val="7DD01DDD"/>
    <w:rsid w:val="7DD71264"/>
    <w:rsid w:val="7DDC2D85"/>
    <w:rsid w:val="7DDD56E0"/>
    <w:rsid w:val="7DDE5CEA"/>
    <w:rsid w:val="7DE55B94"/>
    <w:rsid w:val="7DF0352C"/>
    <w:rsid w:val="7DF04AD1"/>
    <w:rsid w:val="7DF3295E"/>
    <w:rsid w:val="7DF36DAD"/>
    <w:rsid w:val="7DF46549"/>
    <w:rsid w:val="7DF76B21"/>
    <w:rsid w:val="7DFB6179"/>
    <w:rsid w:val="7DFD15FB"/>
    <w:rsid w:val="7DFE223D"/>
    <w:rsid w:val="7DFE782D"/>
    <w:rsid w:val="7DFE7C67"/>
    <w:rsid w:val="7DFF35F5"/>
    <w:rsid w:val="7DFF3A8C"/>
    <w:rsid w:val="7E0527E5"/>
    <w:rsid w:val="7E064D7D"/>
    <w:rsid w:val="7E0A7C86"/>
    <w:rsid w:val="7E0C2ECD"/>
    <w:rsid w:val="7E0C52E5"/>
    <w:rsid w:val="7E0E2E22"/>
    <w:rsid w:val="7E1023EB"/>
    <w:rsid w:val="7E17679C"/>
    <w:rsid w:val="7E187CA0"/>
    <w:rsid w:val="7E1C1A51"/>
    <w:rsid w:val="7E1E79AD"/>
    <w:rsid w:val="7E207292"/>
    <w:rsid w:val="7E236E12"/>
    <w:rsid w:val="7E283A36"/>
    <w:rsid w:val="7E2A2AA1"/>
    <w:rsid w:val="7E2B05CF"/>
    <w:rsid w:val="7E2C7D99"/>
    <w:rsid w:val="7E2D1F30"/>
    <w:rsid w:val="7E3176B5"/>
    <w:rsid w:val="7E320B69"/>
    <w:rsid w:val="7E324724"/>
    <w:rsid w:val="7E326113"/>
    <w:rsid w:val="7E3617D2"/>
    <w:rsid w:val="7E37359E"/>
    <w:rsid w:val="7E383061"/>
    <w:rsid w:val="7E391D4B"/>
    <w:rsid w:val="7E3D5CDC"/>
    <w:rsid w:val="7E3E6534"/>
    <w:rsid w:val="7E406B52"/>
    <w:rsid w:val="7E487FAE"/>
    <w:rsid w:val="7E4952E6"/>
    <w:rsid w:val="7E4C5F39"/>
    <w:rsid w:val="7E4E28B6"/>
    <w:rsid w:val="7E52721B"/>
    <w:rsid w:val="7E540A67"/>
    <w:rsid w:val="7E577EC0"/>
    <w:rsid w:val="7E591276"/>
    <w:rsid w:val="7E5A11E3"/>
    <w:rsid w:val="7E5A31A3"/>
    <w:rsid w:val="7E5C6747"/>
    <w:rsid w:val="7E5E656D"/>
    <w:rsid w:val="7E5F01CB"/>
    <w:rsid w:val="7E5F1C22"/>
    <w:rsid w:val="7E616729"/>
    <w:rsid w:val="7E646727"/>
    <w:rsid w:val="7E6876F1"/>
    <w:rsid w:val="7E707601"/>
    <w:rsid w:val="7E721D1F"/>
    <w:rsid w:val="7E722226"/>
    <w:rsid w:val="7E734E5A"/>
    <w:rsid w:val="7E784A80"/>
    <w:rsid w:val="7E7A010F"/>
    <w:rsid w:val="7E7B5B32"/>
    <w:rsid w:val="7E7E09BD"/>
    <w:rsid w:val="7E7E24FB"/>
    <w:rsid w:val="7E805601"/>
    <w:rsid w:val="7E853F27"/>
    <w:rsid w:val="7E871D92"/>
    <w:rsid w:val="7E8F6A62"/>
    <w:rsid w:val="7E975FFF"/>
    <w:rsid w:val="7E98761A"/>
    <w:rsid w:val="7E9A36ED"/>
    <w:rsid w:val="7E9A7DB5"/>
    <w:rsid w:val="7E9D7C41"/>
    <w:rsid w:val="7EA23735"/>
    <w:rsid w:val="7EA65C6B"/>
    <w:rsid w:val="7EA66620"/>
    <w:rsid w:val="7EA70103"/>
    <w:rsid w:val="7EA93453"/>
    <w:rsid w:val="7EA9748C"/>
    <w:rsid w:val="7EAA3473"/>
    <w:rsid w:val="7EAB4410"/>
    <w:rsid w:val="7EAE3C1F"/>
    <w:rsid w:val="7EB22415"/>
    <w:rsid w:val="7EB44DD4"/>
    <w:rsid w:val="7EB47CBA"/>
    <w:rsid w:val="7EB47F15"/>
    <w:rsid w:val="7EBA3292"/>
    <w:rsid w:val="7EBA3E20"/>
    <w:rsid w:val="7EBB2F86"/>
    <w:rsid w:val="7EBE0AEB"/>
    <w:rsid w:val="7EC03BF0"/>
    <w:rsid w:val="7EC3786F"/>
    <w:rsid w:val="7EC55A96"/>
    <w:rsid w:val="7ECC46AC"/>
    <w:rsid w:val="7ED056BB"/>
    <w:rsid w:val="7ED14FC8"/>
    <w:rsid w:val="7ED3531E"/>
    <w:rsid w:val="7ED4727F"/>
    <w:rsid w:val="7ED65D87"/>
    <w:rsid w:val="7ED67ADA"/>
    <w:rsid w:val="7ED76F88"/>
    <w:rsid w:val="7EDB31BE"/>
    <w:rsid w:val="7EDE76AE"/>
    <w:rsid w:val="7EE046C6"/>
    <w:rsid w:val="7EE67555"/>
    <w:rsid w:val="7EEA692C"/>
    <w:rsid w:val="7EEB07CE"/>
    <w:rsid w:val="7EF32DF7"/>
    <w:rsid w:val="7EF64DC9"/>
    <w:rsid w:val="7EF72EB6"/>
    <w:rsid w:val="7EF938B3"/>
    <w:rsid w:val="7EF944E8"/>
    <w:rsid w:val="7EFC6E7C"/>
    <w:rsid w:val="7EFF63D7"/>
    <w:rsid w:val="7EFF7D90"/>
    <w:rsid w:val="7F015E8D"/>
    <w:rsid w:val="7F0264F0"/>
    <w:rsid w:val="7F034138"/>
    <w:rsid w:val="7F05224C"/>
    <w:rsid w:val="7F08297D"/>
    <w:rsid w:val="7F0C47C2"/>
    <w:rsid w:val="7F0D6FB3"/>
    <w:rsid w:val="7F107FD7"/>
    <w:rsid w:val="7F164779"/>
    <w:rsid w:val="7F1758A7"/>
    <w:rsid w:val="7F1760B5"/>
    <w:rsid w:val="7F1A735D"/>
    <w:rsid w:val="7F1C2CE6"/>
    <w:rsid w:val="7F1C3A63"/>
    <w:rsid w:val="7F1E1EE9"/>
    <w:rsid w:val="7F1E483B"/>
    <w:rsid w:val="7F1F2C94"/>
    <w:rsid w:val="7F225FF2"/>
    <w:rsid w:val="7F2437A5"/>
    <w:rsid w:val="7F25058E"/>
    <w:rsid w:val="7F251081"/>
    <w:rsid w:val="7F297580"/>
    <w:rsid w:val="7F2C3D96"/>
    <w:rsid w:val="7F303A79"/>
    <w:rsid w:val="7F363E6E"/>
    <w:rsid w:val="7F380575"/>
    <w:rsid w:val="7F3D16A4"/>
    <w:rsid w:val="7F402B5E"/>
    <w:rsid w:val="7F412D6A"/>
    <w:rsid w:val="7F417CE5"/>
    <w:rsid w:val="7F4C4618"/>
    <w:rsid w:val="7F4F0673"/>
    <w:rsid w:val="7F507D15"/>
    <w:rsid w:val="7F54345F"/>
    <w:rsid w:val="7F552893"/>
    <w:rsid w:val="7F552BBF"/>
    <w:rsid w:val="7F570504"/>
    <w:rsid w:val="7F5A541F"/>
    <w:rsid w:val="7F664237"/>
    <w:rsid w:val="7F665D16"/>
    <w:rsid w:val="7F680BB6"/>
    <w:rsid w:val="7F682F57"/>
    <w:rsid w:val="7F6905D5"/>
    <w:rsid w:val="7F696FF9"/>
    <w:rsid w:val="7F6C5BA9"/>
    <w:rsid w:val="7F6D193F"/>
    <w:rsid w:val="7F716735"/>
    <w:rsid w:val="7F72309C"/>
    <w:rsid w:val="7F78140F"/>
    <w:rsid w:val="7F7818B1"/>
    <w:rsid w:val="7F7B63CC"/>
    <w:rsid w:val="7F7D28FB"/>
    <w:rsid w:val="7F803CB7"/>
    <w:rsid w:val="7F822FE3"/>
    <w:rsid w:val="7F83107B"/>
    <w:rsid w:val="7F8364EC"/>
    <w:rsid w:val="7F8653F4"/>
    <w:rsid w:val="7F876014"/>
    <w:rsid w:val="7F8909D3"/>
    <w:rsid w:val="7F8936B8"/>
    <w:rsid w:val="7F904F09"/>
    <w:rsid w:val="7F9058E8"/>
    <w:rsid w:val="7F934E5D"/>
    <w:rsid w:val="7FA56960"/>
    <w:rsid w:val="7FA57DB0"/>
    <w:rsid w:val="7FA81745"/>
    <w:rsid w:val="7FAA005D"/>
    <w:rsid w:val="7FAA3564"/>
    <w:rsid w:val="7FAA6042"/>
    <w:rsid w:val="7FAB6E33"/>
    <w:rsid w:val="7FAC6F1D"/>
    <w:rsid w:val="7FAE7344"/>
    <w:rsid w:val="7FB053AD"/>
    <w:rsid w:val="7FB35AB3"/>
    <w:rsid w:val="7FB36571"/>
    <w:rsid w:val="7FB453DB"/>
    <w:rsid w:val="7FB55FA3"/>
    <w:rsid w:val="7FB55FEC"/>
    <w:rsid w:val="7FB70F9E"/>
    <w:rsid w:val="7FBE2591"/>
    <w:rsid w:val="7FC12847"/>
    <w:rsid w:val="7FC80122"/>
    <w:rsid w:val="7FC87D6C"/>
    <w:rsid w:val="7FD50AB1"/>
    <w:rsid w:val="7FD521BA"/>
    <w:rsid w:val="7FD770CE"/>
    <w:rsid w:val="7FDA25FE"/>
    <w:rsid w:val="7FDD3CC6"/>
    <w:rsid w:val="7FE00316"/>
    <w:rsid w:val="7FE42AA2"/>
    <w:rsid w:val="7FE577E0"/>
    <w:rsid w:val="7FE63B66"/>
    <w:rsid w:val="7FE82930"/>
    <w:rsid w:val="7FF026F9"/>
    <w:rsid w:val="7FF148B1"/>
    <w:rsid w:val="7FF16F3F"/>
    <w:rsid w:val="7FF31C0E"/>
    <w:rsid w:val="7FF35AC4"/>
    <w:rsid w:val="7FF53F45"/>
    <w:rsid w:val="7FF56B6E"/>
    <w:rsid w:val="7FF74110"/>
    <w:rsid w:val="7FF86C32"/>
    <w:rsid w:val="7FFC0A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nhideWhenUsed="0" w:uiPriority="0"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adjustRightInd w:val="0"/>
      <w:snapToGrid w:val="0"/>
      <w:spacing w:after="200"/>
    </w:pPr>
    <w:rPr>
      <w:rFonts w:ascii="Tahoma" w:hAnsi="Tahoma" w:eastAsia="微软雅黑" w:cstheme="minorBidi"/>
      <w:sz w:val="22"/>
      <w:szCs w:val="22"/>
      <w:lang w:val="en-US" w:eastAsia="zh-CN" w:bidi="ar-SA"/>
    </w:rPr>
  </w:style>
  <w:style w:type="paragraph" w:styleId="2">
    <w:name w:val="heading 1"/>
    <w:basedOn w:val="1"/>
    <w:next w:val="1"/>
    <w:link w:val="34"/>
    <w:autoRedefine/>
    <w:qFormat/>
    <w:uiPriority w:val="9"/>
    <w:pPr>
      <w:adjustRightInd/>
      <w:snapToGrid/>
      <w:spacing w:before="100" w:beforeAutospacing="1" w:after="100" w:afterAutospacing="1"/>
      <w:outlineLvl w:val="0"/>
    </w:pPr>
    <w:rPr>
      <w:rFonts w:ascii="宋体" w:hAnsi="宋体" w:eastAsia="宋体" w:cs="宋体"/>
      <w:b/>
      <w:bCs/>
      <w:kern w:val="36"/>
      <w:sz w:val="48"/>
      <w:szCs w:val="48"/>
    </w:rPr>
  </w:style>
  <w:style w:type="paragraph" w:styleId="3">
    <w:name w:val="heading 3"/>
    <w:basedOn w:val="1"/>
    <w:next w:val="1"/>
    <w:autoRedefine/>
    <w:unhideWhenUsed/>
    <w:qFormat/>
    <w:uiPriority w:val="9"/>
    <w:pPr>
      <w:spacing w:before="100" w:beforeAutospacing="1" w:after="100" w:afterAutospacing="1"/>
      <w:outlineLvl w:val="2"/>
    </w:pPr>
    <w:rPr>
      <w:rFonts w:hint="eastAsia" w:ascii="宋体" w:hAnsi="宋体" w:eastAsia="宋体" w:cs="Times New Roman"/>
      <w:b/>
      <w:sz w:val="27"/>
      <w:szCs w:val="27"/>
    </w:rPr>
  </w:style>
  <w:style w:type="paragraph" w:styleId="4">
    <w:name w:val="heading 4"/>
    <w:basedOn w:val="1"/>
    <w:next w:val="1"/>
    <w:autoRedefine/>
    <w:qFormat/>
    <w:uiPriority w:val="0"/>
    <w:pPr>
      <w:keepNext/>
      <w:spacing w:before="240" w:after="60"/>
      <w:outlineLvl w:val="3"/>
    </w:pPr>
    <w:rPr>
      <w:b/>
      <w:bCs/>
      <w:sz w:val="28"/>
      <w:szCs w:val="28"/>
    </w:rPr>
  </w:style>
  <w:style w:type="character" w:default="1" w:styleId="19">
    <w:name w:val="Default Paragraph Font"/>
    <w:autoRedefine/>
    <w:semiHidden/>
    <w:unhideWhenUsed/>
    <w:qFormat/>
    <w:uiPriority w:val="1"/>
  </w:style>
  <w:style w:type="table" w:default="1" w:styleId="15">
    <w:name w:val="Normal Table"/>
    <w:autoRedefin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5">
    <w:name w:val="annotation text"/>
    <w:basedOn w:val="1"/>
    <w:autoRedefine/>
    <w:unhideWhenUsed/>
    <w:qFormat/>
    <w:uiPriority w:val="99"/>
  </w:style>
  <w:style w:type="paragraph" w:styleId="6">
    <w:name w:val="toc 3"/>
    <w:basedOn w:val="1"/>
    <w:next w:val="1"/>
    <w:autoRedefine/>
    <w:unhideWhenUsed/>
    <w:qFormat/>
    <w:uiPriority w:val="39"/>
    <w:pPr>
      <w:ind w:left="840" w:leftChars="400"/>
    </w:pPr>
  </w:style>
  <w:style w:type="paragraph" w:styleId="7">
    <w:name w:val="Balloon Text"/>
    <w:basedOn w:val="1"/>
    <w:link w:val="27"/>
    <w:autoRedefine/>
    <w:unhideWhenUsed/>
    <w:qFormat/>
    <w:uiPriority w:val="99"/>
    <w:pPr>
      <w:spacing w:after="0"/>
    </w:pPr>
    <w:rPr>
      <w:sz w:val="18"/>
      <w:szCs w:val="18"/>
    </w:rPr>
  </w:style>
  <w:style w:type="paragraph" w:styleId="8">
    <w:name w:val="footer"/>
    <w:basedOn w:val="1"/>
    <w:link w:val="26"/>
    <w:autoRedefine/>
    <w:unhideWhenUsed/>
    <w:qFormat/>
    <w:uiPriority w:val="99"/>
    <w:pPr>
      <w:tabs>
        <w:tab w:val="center" w:pos="4153"/>
        <w:tab w:val="right" w:pos="8306"/>
      </w:tabs>
    </w:pPr>
    <w:rPr>
      <w:sz w:val="18"/>
      <w:szCs w:val="18"/>
    </w:rPr>
  </w:style>
  <w:style w:type="paragraph" w:styleId="9">
    <w:name w:val="header"/>
    <w:basedOn w:val="1"/>
    <w:link w:val="25"/>
    <w:autoRedefine/>
    <w:unhideWhenUsed/>
    <w:qFormat/>
    <w:uiPriority w:val="99"/>
    <w:pPr>
      <w:pBdr>
        <w:bottom w:val="single" w:color="auto" w:sz="6" w:space="1"/>
      </w:pBdr>
      <w:tabs>
        <w:tab w:val="center" w:pos="4153"/>
        <w:tab w:val="right" w:pos="8306"/>
      </w:tabs>
      <w:jc w:val="center"/>
    </w:pPr>
    <w:rPr>
      <w:sz w:val="18"/>
      <w:szCs w:val="18"/>
    </w:rPr>
  </w:style>
  <w:style w:type="paragraph" w:styleId="10">
    <w:name w:val="toc 1"/>
    <w:basedOn w:val="1"/>
    <w:next w:val="1"/>
    <w:autoRedefine/>
    <w:unhideWhenUsed/>
    <w:qFormat/>
    <w:uiPriority w:val="39"/>
  </w:style>
  <w:style w:type="paragraph" w:styleId="11">
    <w:name w:val="toc 4"/>
    <w:basedOn w:val="1"/>
    <w:next w:val="1"/>
    <w:autoRedefine/>
    <w:unhideWhenUsed/>
    <w:qFormat/>
    <w:uiPriority w:val="39"/>
    <w:pPr>
      <w:ind w:left="1260" w:leftChars="600"/>
    </w:pPr>
  </w:style>
  <w:style w:type="paragraph" w:styleId="12">
    <w:name w:val="toc 2"/>
    <w:basedOn w:val="1"/>
    <w:next w:val="1"/>
    <w:autoRedefine/>
    <w:unhideWhenUsed/>
    <w:qFormat/>
    <w:uiPriority w:val="39"/>
    <w:pPr>
      <w:ind w:left="420" w:leftChars="200"/>
    </w:pPr>
  </w:style>
  <w:style w:type="paragraph" w:styleId="13">
    <w:name w:val="HTML Preformatted"/>
    <w:basedOn w:val="1"/>
    <w:link w:val="43"/>
    <w:autoRedefine/>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after="0"/>
    </w:pPr>
    <w:rPr>
      <w:rFonts w:ascii="宋体" w:hAnsi="宋体" w:eastAsia="宋体" w:cs="宋体"/>
      <w:sz w:val="24"/>
      <w:szCs w:val="24"/>
    </w:rPr>
  </w:style>
  <w:style w:type="paragraph" w:styleId="14">
    <w:name w:val="Normal (Web)"/>
    <w:basedOn w:val="1"/>
    <w:autoRedefine/>
    <w:unhideWhenUsed/>
    <w:qFormat/>
    <w:uiPriority w:val="99"/>
    <w:pPr>
      <w:spacing w:beforeAutospacing="1" w:after="0" w:afterAutospacing="1"/>
    </w:pPr>
    <w:rPr>
      <w:rFonts w:cs="Times New Roman"/>
      <w:sz w:val="24"/>
    </w:rPr>
  </w:style>
  <w:style w:type="table" w:styleId="16">
    <w:name w:val="Table Grid"/>
    <w:basedOn w:val="15"/>
    <w:autoRedefine/>
    <w:qFormat/>
    <w:uiPriority w:val="59"/>
    <w:rPr>
      <w:rFonts w:eastAsiaTheme="minorEastAsia"/>
      <w:kern w:val="2"/>
      <w:sz w:val="21"/>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17">
    <w:name w:val="Light List Accent 3"/>
    <w:basedOn w:val="15"/>
    <w:autoRedefine/>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18">
    <w:name w:val="Light List Accent 6"/>
    <w:basedOn w:val="15"/>
    <w:autoRedefine/>
    <w:qFormat/>
    <w:uiPriority w:val="61"/>
    <w:rPr>
      <w:rFonts w:eastAsiaTheme="minorEastAsia"/>
      <w:kern w:val="2"/>
      <w:sz w:val="21"/>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character" w:styleId="20">
    <w:name w:val="Strong"/>
    <w:basedOn w:val="19"/>
    <w:autoRedefine/>
    <w:qFormat/>
    <w:uiPriority w:val="22"/>
    <w:rPr>
      <w:b/>
    </w:rPr>
  </w:style>
  <w:style w:type="character" w:styleId="21">
    <w:name w:val="FollowedHyperlink"/>
    <w:basedOn w:val="19"/>
    <w:autoRedefine/>
    <w:unhideWhenUsed/>
    <w:qFormat/>
    <w:uiPriority w:val="99"/>
    <w:rPr>
      <w:color w:val="800080"/>
      <w:u w:val="single"/>
    </w:rPr>
  </w:style>
  <w:style w:type="character" w:styleId="22">
    <w:name w:val="Emphasis"/>
    <w:basedOn w:val="19"/>
    <w:autoRedefine/>
    <w:qFormat/>
    <w:uiPriority w:val="20"/>
    <w:rPr>
      <w:i/>
    </w:rPr>
  </w:style>
  <w:style w:type="character" w:styleId="23">
    <w:name w:val="Hyperlink"/>
    <w:basedOn w:val="19"/>
    <w:autoRedefine/>
    <w:unhideWhenUsed/>
    <w:qFormat/>
    <w:uiPriority w:val="99"/>
    <w:rPr>
      <w:color w:val="0000FF" w:themeColor="hyperlink"/>
      <w:u w:val="single"/>
      <w14:textFill>
        <w14:solidFill>
          <w14:schemeClr w14:val="hlink"/>
        </w14:solidFill>
      </w14:textFill>
    </w:rPr>
  </w:style>
  <w:style w:type="character" w:styleId="24">
    <w:name w:val="annotation reference"/>
    <w:basedOn w:val="19"/>
    <w:autoRedefine/>
    <w:semiHidden/>
    <w:unhideWhenUsed/>
    <w:qFormat/>
    <w:uiPriority w:val="99"/>
    <w:rPr>
      <w:sz w:val="21"/>
      <w:szCs w:val="21"/>
    </w:rPr>
  </w:style>
  <w:style w:type="character" w:customStyle="1" w:styleId="25">
    <w:name w:val="页眉 字符"/>
    <w:basedOn w:val="19"/>
    <w:link w:val="9"/>
    <w:autoRedefine/>
    <w:qFormat/>
    <w:uiPriority w:val="99"/>
    <w:rPr>
      <w:rFonts w:ascii="Tahoma" w:hAnsi="Tahoma"/>
      <w:sz w:val="18"/>
      <w:szCs w:val="18"/>
    </w:rPr>
  </w:style>
  <w:style w:type="character" w:customStyle="1" w:styleId="26">
    <w:name w:val="页脚 字符"/>
    <w:basedOn w:val="19"/>
    <w:link w:val="8"/>
    <w:autoRedefine/>
    <w:qFormat/>
    <w:uiPriority w:val="99"/>
    <w:rPr>
      <w:rFonts w:ascii="Tahoma" w:hAnsi="Tahoma"/>
      <w:sz w:val="18"/>
      <w:szCs w:val="18"/>
    </w:rPr>
  </w:style>
  <w:style w:type="character" w:customStyle="1" w:styleId="27">
    <w:name w:val="批注框文本 字符"/>
    <w:basedOn w:val="19"/>
    <w:link w:val="7"/>
    <w:autoRedefine/>
    <w:semiHidden/>
    <w:qFormat/>
    <w:uiPriority w:val="99"/>
    <w:rPr>
      <w:rFonts w:ascii="Tahoma" w:hAnsi="Tahoma"/>
      <w:sz w:val="18"/>
      <w:szCs w:val="18"/>
    </w:rPr>
  </w:style>
  <w:style w:type="paragraph" w:customStyle="1" w:styleId="28">
    <w:name w:val="Normal_1"/>
    <w:autoRedefine/>
    <w:qFormat/>
    <w:uiPriority w:val="0"/>
    <w:pPr>
      <w:spacing w:before="120" w:after="240"/>
      <w:jc w:val="both"/>
    </w:pPr>
    <w:rPr>
      <w:rFonts w:ascii="Calibri" w:hAnsi="Calibri" w:eastAsia="Calibri" w:cs="Times New Roman"/>
      <w:sz w:val="22"/>
      <w:szCs w:val="22"/>
      <w:lang w:val="ru-RU" w:eastAsia="en-US" w:bidi="ar-SA"/>
    </w:rPr>
  </w:style>
  <w:style w:type="paragraph" w:customStyle="1" w:styleId="29">
    <w:name w:val="列出段落1"/>
    <w:basedOn w:val="1"/>
    <w:autoRedefine/>
    <w:qFormat/>
    <w:uiPriority w:val="34"/>
    <w:pPr>
      <w:ind w:firstLine="420" w:firstLineChars="200"/>
    </w:pPr>
  </w:style>
  <w:style w:type="table" w:customStyle="1" w:styleId="30">
    <w:name w:val="无格式表格 11"/>
    <w:basedOn w:val="15"/>
    <w:autoRedefine/>
    <w:qFormat/>
    <w:uiPriority w:val="41"/>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31">
    <w:name w:val="无格式表格 12"/>
    <w:basedOn w:val="15"/>
    <w:autoRedefine/>
    <w:qFormat/>
    <w:uiPriority w:val="41"/>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paragraph" w:customStyle="1" w:styleId="32">
    <w:name w:val="Normal_4"/>
    <w:autoRedefine/>
    <w:qFormat/>
    <w:uiPriority w:val="0"/>
    <w:pPr>
      <w:spacing w:before="120" w:after="240"/>
      <w:jc w:val="both"/>
    </w:pPr>
    <w:rPr>
      <w:rFonts w:ascii="Calibri" w:hAnsi="Calibri" w:eastAsia="Calibri" w:cs="Times New Roman"/>
      <w:sz w:val="22"/>
      <w:szCs w:val="22"/>
      <w:lang w:val="ru-RU" w:eastAsia="en-US" w:bidi="ar-SA"/>
    </w:rPr>
  </w:style>
  <w:style w:type="character" w:customStyle="1" w:styleId="33">
    <w:name w:val="copied"/>
    <w:basedOn w:val="19"/>
    <w:autoRedefine/>
    <w:qFormat/>
    <w:uiPriority w:val="0"/>
  </w:style>
  <w:style w:type="character" w:customStyle="1" w:styleId="34">
    <w:name w:val="标题 1 字符"/>
    <w:basedOn w:val="19"/>
    <w:link w:val="2"/>
    <w:autoRedefine/>
    <w:qFormat/>
    <w:uiPriority w:val="9"/>
    <w:rPr>
      <w:rFonts w:ascii="宋体" w:hAnsi="宋体" w:eastAsia="宋体" w:cs="宋体"/>
      <w:b/>
      <w:bCs/>
      <w:kern w:val="36"/>
      <w:sz w:val="48"/>
      <w:szCs w:val="48"/>
    </w:rPr>
  </w:style>
  <w:style w:type="character" w:customStyle="1" w:styleId="35">
    <w:name w:val="apple-converted-space"/>
    <w:basedOn w:val="19"/>
    <w:autoRedefine/>
    <w:qFormat/>
    <w:uiPriority w:val="0"/>
  </w:style>
  <w:style w:type="character" w:customStyle="1" w:styleId="36">
    <w:name w:val="hit_inf"/>
    <w:basedOn w:val="19"/>
    <w:autoRedefine/>
    <w:qFormat/>
    <w:uiPriority w:val="0"/>
  </w:style>
  <w:style w:type="character" w:customStyle="1" w:styleId="37">
    <w:name w:val="hit_org"/>
    <w:basedOn w:val="19"/>
    <w:autoRedefine/>
    <w:qFormat/>
    <w:uiPriority w:val="0"/>
  </w:style>
  <w:style w:type="character" w:customStyle="1" w:styleId="38">
    <w:name w:val="hit_syn"/>
    <w:basedOn w:val="19"/>
    <w:autoRedefine/>
    <w:qFormat/>
    <w:uiPriority w:val="0"/>
  </w:style>
  <w:style w:type="character" w:customStyle="1" w:styleId="39">
    <w:name w:val="highlight"/>
    <w:basedOn w:val="19"/>
    <w:autoRedefine/>
    <w:qFormat/>
    <w:uiPriority w:val="0"/>
  </w:style>
  <w:style w:type="paragraph" w:customStyle="1" w:styleId="40">
    <w:name w:val="修订1"/>
    <w:autoRedefine/>
    <w:hidden/>
    <w:semiHidden/>
    <w:qFormat/>
    <w:uiPriority w:val="99"/>
    <w:rPr>
      <w:rFonts w:ascii="Tahoma" w:hAnsi="Tahoma" w:eastAsia="微软雅黑" w:cstheme="minorBidi"/>
      <w:sz w:val="22"/>
      <w:szCs w:val="22"/>
      <w:lang w:val="en-US" w:eastAsia="zh-CN" w:bidi="ar-SA"/>
    </w:rPr>
  </w:style>
  <w:style w:type="character" w:customStyle="1" w:styleId="41">
    <w:name w:val="font21"/>
    <w:basedOn w:val="19"/>
    <w:autoRedefine/>
    <w:qFormat/>
    <w:uiPriority w:val="0"/>
    <w:rPr>
      <w:rFonts w:hint="default" w:ascii="Arial" w:hAnsi="Arial" w:cs="Arial"/>
      <w:color w:val="000000"/>
      <w:sz w:val="20"/>
      <w:szCs w:val="20"/>
      <w:u w:val="none"/>
    </w:rPr>
  </w:style>
  <w:style w:type="paragraph" w:customStyle="1" w:styleId="42">
    <w:name w:val="列出段落2"/>
    <w:basedOn w:val="1"/>
    <w:autoRedefine/>
    <w:unhideWhenUsed/>
    <w:qFormat/>
    <w:uiPriority w:val="99"/>
    <w:pPr>
      <w:ind w:firstLine="420" w:firstLineChars="200"/>
    </w:pPr>
  </w:style>
  <w:style w:type="character" w:customStyle="1" w:styleId="43">
    <w:name w:val="HTML 预设格式 字符"/>
    <w:basedOn w:val="19"/>
    <w:link w:val="13"/>
    <w:autoRedefine/>
    <w:semiHidden/>
    <w:qFormat/>
    <w:uiPriority w:val="99"/>
    <w:rPr>
      <w:rFonts w:ascii="宋体" w:hAnsi="宋体" w:eastAsia="宋体" w:cs="宋体"/>
      <w:sz w:val="24"/>
      <w:szCs w:val="24"/>
    </w:rPr>
  </w:style>
  <w:style w:type="paragraph" w:customStyle="1" w:styleId="44">
    <w:name w:val="列出段落3"/>
    <w:basedOn w:val="1"/>
    <w:autoRedefine/>
    <w:qFormat/>
    <w:uiPriority w:val="99"/>
    <w:pPr>
      <w:ind w:firstLine="420" w:firstLineChars="200"/>
    </w:pPr>
  </w:style>
  <w:style w:type="character" w:customStyle="1" w:styleId="45">
    <w:name w:val="fontstyle01"/>
    <w:basedOn w:val="19"/>
    <w:autoRedefine/>
    <w:qFormat/>
    <w:uiPriority w:val="0"/>
    <w:rPr>
      <w:rFonts w:ascii="宋体" w:hAnsi="宋体" w:eastAsia="宋体" w:cs="宋体"/>
      <w:color w:val="000000"/>
      <w:sz w:val="22"/>
      <w:szCs w:val="22"/>
    </w:rPr>
  </w:style>
  <w:style w:type="character" w:customStyle="1" w:styleId="46">
    <w:name w:val="fontstyle21"/>
    <w:basedOn w:val="19"/>
    <w:autoRedefine/>
    <w:qFormat/>
    <w:uiPriority w:val="0"/>
    <w:rPr>
      <w:rFonts w:ascii="TimesNewRomanPSMT" w:hAnsi="TimesNewRomanPSMT" w:eastAsia="TimesNewRomanPSMT" w:cs="TimesNewRomanPSMT"/>
      <w:color w:val="000000"/>
      <w:sz w:val="22"/>
      <w:szCs w:val="22"/>
    </w:rPr>
  </w:style>
  <w:style w:type="character" w:customStyle="1" w:styleId="47">
    <w:name w:val="fontstyle31"/>
    <w:basedOn w:val="19"/>
    <w:autoRedefine/>
    <w:qFormat/>
    <w:uiPriority w:val="0"/>
    <w:rPr>
      <w:rFonts w:ascii="ArialUnicodeMS" w:hAnsi="ArialUnicodeMS" w:eastAsia="ArialUnicodeMS" w:cs="ArialUnicodeMS"/>
      <w:color w:val="538CD5"/>
      <w:sz w:val="32"/>
      <w:szCs w:val="32"/>
    </w:rPr>
  </w:style>
  <w:style w:type="character" w:customStyle="1" w:styleId="48">
    <w:name w:val="fontstyle41"/>
    <w:basedOn w:val="19"/>
    <w:autoRedefine/>
    <w:qFormat/>
    <w:uiPriority w:val="0"/>
    <w:rPr>
      <w:rFonts w:ascii="TimesNewRomanPS-ItalicMT" w:hAnsi="TimesNewRomanPS-ItalicMT" w:eastAsia="TimesNewRomanPS-ItalicMT" w:cs="TimesNewRomanPS-ItalicMT"/>
      <w:i/>
      <w:color w:val="000000"/>
      <w:sz w:val="22"/>
      <w:szCs w:val="22"/>
    </w:rPr>
  </w:style>
  <w:style w:type="character" w:customStyle="1" w:styleId="49">
    <w:name w:val="fontstyle11"/>
    <w:basedOn w:val="19"/>
    <w:autoRedefine/>
    <w:qFormat/>
    <w:uiPriority w:val="0"/>
    <w:rPr>
      <w:rFonts w:ascii="TimesNewRomanPSMT" w:hAnsi="TimesNewRomanPSMT" w:eastAsia="TimesNewRomanPSMT" w:cs="TimesNewRomanPSMT"/>
      <w:color w:val="000000"/>
      <w:sz w:val="20"/>
      <w:szCs w:val="20"/>
    </w:rPr>
  </w:style>
  <w:style w:type="paragraph" w:customStyle="1" w:styleId="50">
    <w:name w:val="EndNote Bibliography"/>
    <w:basedOn w:val="1"/>
    <w:autoRedefine/>
    <w:qFormat/>
    <w:uiPriority w:val="0"/>
    <w:rPr>
      <w:rFonts w:cs="Tahoma"/>
    </w:rPr>
  </w:style>
  <w:style w:type="character" w:customStyle="1" w:styleId="51">
    <w:name w:val="font01"/>
    <w:basedOn w:val="19"/>
    <w:autoRedefine/>
    <w:qFormat/>
    <w:uiPriority w:val="0"/>
    <w:rPr>
      <w:rFonts w:hint="eastAsia" w:ascii="Arial Unicode MS" w:hAnsi="Arial Unicode MS" w:eastAsia="Arial Unicode MS" w:cs="Arial Unicode MS"/>
      <w:color w:val="404040"/>
      <w:sz w:val="16"/>
      <w:szCs w:val="16"/>
      <w:u w:val="none"/>
    </w:rPr>
  </w:style>
  <w:style w:type="character" w:customStyle="1" w:styleId="52">
    <w:name w:val="font11"/>
    <w:basedOn w:val="19"/>
    <w:autoRedefine/>
    <w:qFormat/>
    <w:uiPriority w:val="0"/>
    <w:rPr>
      <w:rFonts w:hint="eastAsia" w:ascii="Arial Unicode MS" w:hAnsi="Arial Unicode MS" w:eastAsia="Arial Unicode MS" w:cs="Arial Unicode MS"/>
      <w:color w:val="262626"/>
      <w:sz w:val="16"/>
      <w:szCs w:val="16"/>
      <w:u w:val="none"/>
    </w:rPr>
  </w:style>
  <w:style w:type="paragraph" w:customStyle="1" w:styleId="53">
    <w:name w:val="列出段落4"/>
    <w:basedOn w:val="1"/>
    <w:autoRedefine/>
    <w:qFormat/>
    <w:uiPriority w:val="99"/>
    <w:pPr>
      <w:ind w:firstLine="420" w:firstLineChars="200"/>
    </w:pPr>
  </w:style>
  <w:style w:type="paragraph" w:customStyle="1" w:styleId="54">
    <w:name w:val="Default"/>
    <w:autoRedefine/>
    <w:unhideWhenUsed/>
    <w:qFormat/>
    <w:uiPriority w:val="99"/>
    <w:pPr>
      <w:widowControl w:val="0"/>
      <w:autoSpaceDE w:val="0"/>
      <w:autoSpaceDN w:val="0"/>
      <w:adjustRightInd w:val="0"/>
    </w:pPr>
    <w:rPr>
      <w:rFonts w:hint="eastAsia" w:ascii="宋体" w:hAnsi="宋体" w:eastAsia="宋体" w:cs="Times New Roman"/>
      <w:color w:val="000000"/>
      <w:sz w:val="24"/>
      <w:lang w:val="en-US" w:eastAsia="zh-CN" w:bidi="ar-SA"/>
    </w:rPr>
  </w:style>
  <w:style w:type="paragraph" w:styleId="55">
    <w:name w:val="List Paragraph"/>
    <w:basedOn w:val="1"/>
    <w:autoRedefine/>
    <w:unhideWhenUsed/>
    <w:qFormat/>
    <w:uiPriority w:val="99"/>
    <w:pPr>
      <w:ind w:firstLine="420" w:firstLineChars="200"/>
    </w:pPr>
  </w:style>
  <w:style w:type="character" w:customStyle="1" w:styleId="56">
    <w:name w:val="font31"/>
    <w:basedOn w:val="19"/>
    <w:autoRedefine/>
    <w:qFormat/>
    <w:uiPriority w:val="0"/>
    <w:rPr>
      <w:rFonts w:hint="default" w:ascii="Calibri" w:hAnsi="Calibri" w:cs="Calibri"/>
      <w:color w:val="000000"/>
      <w:sz w:val="21"/>
      <w:szCs w:val="21"/>
      <w:u w:val="none"/>
    </w:rPr>
  </w:style>
  <w:style w:type="paragraph" w:customStyle="1" w:styleId="57">
    <w:name w:val="WPSOffice手动目录 1"/>
    <w:autoRedefine/>
    <w:qFormat/>
    <w:uiPriority w:val="0"/>
    <w:rPr>
      <w:rFonts w:ascii="Times New Roman" w:hAnsi="Times New Roman" w:eastAsia="宋体" w:cs="Times New Roman"/>
      <w:lang w:val="en-US" w:eastAsia="zh-CN" w:bidi="ar-SA"/>
    </w:rPr>
  </w:style>
  <w:style w:type="character" w:customStyle="1" w:styleId="58">
    <w:name w:val="10"/>
    <w:basedOn w:val="19"/>
    <w:qFormat/>
    <w:uiPriority w:val="0"/>
    <w:rPr>
      <w:rFonts w:hint="default" w:ascii="Times New Roman" w:hAnsi="Times New Roman" w:cs="Times New Roman"/>
    </w:rPr>
  </w:style>
  <w:style w:type="character" w:customStyle="1" w:styleId="59">
    <w:name w:val="15"/>
    <w:basedOn w:val="19"/>
    <w:qFormat/>
    <w:uiPriority w:val="0"/>
    <w:rPr>
      <w:rFonts w:hint="default" w:ascii="Times New Roman" w:hAnsi="Times New Roman" w:cs="Times New Roman"/>
      <w:color w:val="800080"/>
      <w:u w:val="single"/>
    </w:rPr>
  </w:style>
  <w:style w:type="character" w:customStyle="1" w:styleId="60">
    <w:name w:val="16"/>
    <w:basedOn w:val="19"/>
    <w:qFormat/>
    <w:uiPriority w:val="0"/>
    <w:rPr>
      <w:rFonts w:hint="default" w:ascii="Times New Roman" w:hAnsi="Times New Roman" w:cs="Times New Roman"/>
      <w:color w:val="0000FF"/>
      <w:u w:val="single"/>
    </w:rPr>
  </w:style>
</w:styles>
</file>

<file path=word/_rels/comments.xml.rels><?xml version="1.0" encoding="UTF-8"?><Relationships xmlns="http://schemas.openxmlformats.org/package/2006/relationships"><Relationship Id="rId9" Type="http://schemas.openxmlformats.org/officeDocument/2006/relationships/image" Target="media/image9.png"/><Relationship Id="rId8" Type="http://schemas.openxmlformats.org/officeDocument/2006/relationships/image" Target="media/image8.png"/><Relationship Id="rId7" Type="http://schemas.openxmlformats.org/officeDocument/2006/relationships/image" Target="media/image7.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document.xml.rels><?xml version="1.0" encoding="UTF-8"?><Relationships xmlns="http://schemas.openxmlformats.org/package/2006/relationships"><Relationship Id="rId9" Type="http://schemas.openxmlformats.org/officeDocument/2006/relationships/header" Target="header2.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1.xml"/><Relationship Id="rId55" Type="http://schemas.microsoft.com/office/2011/relationships/people" Target="people.xml"/><Relationship Id="rId54" Type="http://schemas.openxmlformats.org/officeDocument/2006/relationships/fontTable" Target="fontTable.xml"/><Relationship Id="rId53" Type="http://schemas.openxmlformats.org/officeDocument/2006/relationships/customXml" Target="../customXml/item2.xml"/><Relationship Id="rId52" Type="http://schemas.openxmlformats.org/officeDocument/2006/relationships/numbering" Target="numbering.xml"/><Relationship Id="rId51" Type="http://schemas.openxmlformats.org/officeDocument/2006/relationships/customXml" Target="../customXml/item1.xml"/><Relationship Id="rId50" Type="http://schemas.openxmlformats.org/officeDocument/2006/relationships/image" Target="media/image47.jpeg"/><Relationship Id="rId5" Type="http://schemas.openxmlformats.org/officeDocument/2006/relationships/footnotes" Target="footnotes.xml"/><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jpeg"/><Relationship Id="rId41" Type="http://schemas.openxmlformats.org/officeDocument/2006/relationships/image" Target="media/image38.png"/><Relationship Id="rId40" Type="http://schemas.openxmlformats.org/officeDocument/2006/relationships/image" Target="media/image37.png"/><Relationship Id="rId4" Type="http://schemas.microsoft.com/office/2011/relationships/commentsExtended" Target="commentsExtended.xml"/><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comments" Target="comments.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theme" Target="theme/theme1.xml"/><Relationship Id="rId16" Type="http://schemas.openxmlformats.org/officeDocument/2006/relationships/footer" Target="footer5.xml"/><Relationship Id="rId15" Type="http://schemas.openxmlformats.org/officeDocument/2006/relationships/header" Target="header6.xml"/><Relationship Id="rId14" Type="http://schemas.openxmlformats.org/officeDocument/2006/relationships/header" Target="header5.xml"/><Relationship Id="rId13" Type="http://schemas.openxmlformats.org/officeDocument/2006/relationships/header" Target="header4.xml"/><Relationship Id="rId12" Type="http://schemas.openxmlformats.org/officeDocument/2006/relationships/footer" Target="footer4.xml"/><Relationship Id="rId11" Type="http://schemas.openxmlformats.org/officeDocument/2006/relationships/header" Target="header3.xml"/><Relationship Id="rId10" Type="http://schemas.openxmlformats.org/officeDocument/2006/relationships/footer" Target="footer3.xml"/><Relationship Id="rId1" Type="http://schemas.openxmlformats.org/officeDocument/2006/relationships/styles" Target="styles.xml"/></Relationships>
</file>

<file path=word/_rels/header2.xml.rels><?xml version="1.0" encoding="UTF-8"?><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0.png"/></Relationships>
</file>

<file path=word/_rels/header3.xml.rels><?xml version="1.0" encoding="UTF-8"?><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12.png"/></Relationships>
</file>

<file path=word/_rels/header5.xml.rels><?xml version="1.0" encoding="UTF-8"?><Relationships xmlns="http://schemas.openxmlformats.org/package/2006/relationships"><Relationship Id="rId1" Type="http://schemas.openxmlformats.org/officeDocument/2006/relationships/image" Target="media/image14.png"/></Relationships>
</file>

<file path=word/_rels/header6.xml.rels><?xml version="1.0" encoding="UTF-8"?><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DAA9108-2FB1-42BF-B3A1-50C1F34BF052}">
  <ds:schemaRefs/>
</ds:datastoreItem>
</file>

<file path=docProps/app.xml><?xml version="1.0" encoding="utf-8"?>
<Properties xmlns="http://schemas.openxmlformats.org/officeDocument/2006/extended-properties" xmlns:vt="http://schemas.openxmlformats.org/officeDocument/2006/docPropsVTypes">
  <Template>Normal.dotm</Template>
  <Pages>86</Pages>
  <Words>10027</Words>
  <Characters>13975</Characters>
  <Lines>1</Lines>
  <Paragraphs>1</Paragraphs>
  <TotalTime>5</TotalTime>
  <ScaleCrop>false</ScaleCrop>
  <LinksUpToDate>false</LinksUpToDate>
  <CharactersWithSpaces>14576</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2016-09-02T06:59:00Z</dcterms:created>
  <dc:creator>Wonzer</dc:creator>
  <cp:lastModifiedBy>依米</cp:lastModifiedBy>
  <cp:lastPrinted>2016-10-03T08:25:00Z</cp:lastPrinted>
  <dcterms:modified xsi:type="dcterms:W3CDTF">2025-12-10T03:06:21Z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C4498A3B6DE54574AE125B71F8EA08A7_13</vt:lpwstr>
  </property>
  <property fmtid="{D5CDD505-2E9C-101B-9397-08002B2CF9AE}" pid="4" name="KSOTemplateDocerSaveRecord">
    <vt:lpwstr>eyJoZGlkIjoiNmE3MWExZjUzOTdiZTZmYTQ0YzczNDk5ZWVhNjlkMjkiLCJ1c2VySWQiOiI3MjkyNTAyOTcifQ==</vt:lpwstr>
  </property>
</Properties>
</file>