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sz w:val="32"/>
        </w:rPr>
        <w:t>胃癌 RNA-seq 差异表达分析报告</w:t>
      </w:r>
    </w:p>
    <w:p>
      <w:pPr>
        <w:pStyle w:val="Heading1"/>
      </w:pPr>
      <w:r>
        <w:rPr>
          <w:rFonts w:ascii="SimHei" w:hAnsi="SimHei" w:eastAsia="SimHei"/>
          <w:sz w:val="32"/>
        </w:rPr>
        <w:t>1. 项目概述</w:t>
      </w:r>
    </w:p>
    <w:p>
      <w:pPr>
        <w:pStyle w:val="Heading2"/>
      </w:pPr>
      <w:r>
        <w:rPr>
          <w:rFonts w:ascii="SimHei" w:hAnsi="SimHei" w:eastAsia="SimHei"/>
          <w:sz w:val="28"/>
        </w:rPr>
        <w:t>1.1 研究背景</w:t>
      </w:r>
    </w:p>
    <w:p>
      <w:r>
        <w:rPr>
          <w:rFonts w:ascii="SimSun" w:hAnsi="SimSun" w:eastAsia="SimSun"/>
          <w:sz w:val="24"/>
        </w:rPr>
        <w:t>本项目针对客户提供的 6 例胃癌组织和 6 例癌旁正常组织的 RNA-seq 数据，进行差异表达分析。</w:t>
      </w:r>
    </w:p>
    <w:p>
      <w:pPr>
        <w:pStyle w:val="Heading2"/>
      </w:pPr>
      <w:r>
        <w:rPr>
          <w:rFonts w:ascii="SimHei" w:hAnsi="SimHei" w:eastAsia="SimHei"/>
          <w:sz w:val="28"/>
        </w:rPr>
        <w:t>1.2 分析目标</w:t>
      </w:r>
    </w:p>
    <w:p>
      <w:r>
        <w:rPr>
          <w:rFonts w:ascii="SimSun" w:hAnsi="SimSun" w:eastAsia="SimSun"/>
          <w:sz w:val="24"/>
        </w:rPr>
        <w:t>识别胃癌组织与正常组织之间的差异表达基因，并进行功能富集分析，为后续研究提供候选基因列表。</w:t>
      </w:r>
    </w:p>
    <w:p>
      <w:pPr>
        <w:pStyle w:val="Heading2"/>
      </w:pPr>
      <w:r>
        <w:rPr>
          <w:rFonts w:ascii="SimHei" w:hAnsi="SimHei" w:eastAsia="SimHei"/>
          <w:sz w:val="28"/>
        </w:rPr>
        <w:t>1.3 数据概况</w:t>
      </w:r>
    </w:p>
    <w:p>
      <w:r>
        <w:rPr>
          <w:rFonts w:ascii="SimSun" w:hAnsi="SimSun" w:eastAsia="SimSun"/>
          <w:sz w:val="24"/>
        </w:rPr>
        <w:t>共 12 个样本，其中 Tumor 组 6 例，Normal 组 6 例。</w:t>
      </w:r>
    </w:p>
    <w:p>
      <w:r>
        <w:rPr>
          <w:rFonts w:ascii="SimSun" w:hAnsi="SimSun" w:eastAsia="SimSun"/>
          <w:sz w:val="24"/>
        </w:rPr>
        <w:t>平均 reads 数：34.6M，平均比对率：94.5%。</w:t>
      </w:r>
    </w:p>
    <w:p>
      <w:pPr>
        <w:pStyle w:val="Heading1"/>
      </w:pPr>
      <w:r>
        <w:rPr>
          <w:rFonts w:ascii="SimHei" w:hAnsi="SimHei" w:eastAsia="SimHei"/>
          <w:sz w:val="32"/>
        </w:rPr>
        <w:t>2. 分析方法</w:t>
      </w:r>
    </w:p>
    <w:p>
      <w:pPr>
        <w:pStyle w:val="Heading2"/>
      </w:pPr>
      <w:r>
        <w:rPr>
          <w:rFonts w:ascii="SimHei" w:hAnsi="SimHei" w:eastAsia="SimHei"/>
          <w:sz w:val="28"/>
        </w:rPr>
        <w:t>2.1 分析流程</w:t>
      </w:r>
    </w:p>
    <w:p>
      <w:r>
        <w:rPr>
          <w:rFonts w:ascii="SimSun" w:hAnsi="SimSun" w:eastAsia="SimSun"/>
          <w:sz w:val="24"/>
        </w:rPr>
        <w:t>数据经 FastQC 质控后，使用 HISAT2 比对到人类参考基因组 GRCh38，featureCounts 进行基因表达定量，DESeq2 进行差异表达分析。</w:t>
      </w:r>
    </w:p>
    <w:p>
      <w:pPr>
        <w:pStyle w:val="Heading2"/>
      </w:pPr>
      <w:r>
        <w:rPr>
          <w:rFonts w:ascii="SimHei" w:hAnsi="SimHei" w:eastAsia="SimHei"/>
          <w:sz w:val="28"/>
        </w:rPr>
        <w:t>2.2 差异表达筛选标准</w:t>
      </w:r>
    </w:p>
    <w:p>
      <w:r>
        <w:rPr>
          <w:rFonts w:ascii="SimSun" w:hAnsi="SimSun" w:eastAsia="SimSun"/>
          <w:sz w:val="24"/>
        </w:rPr>
        <w:t>差异表达基因筛选条件：|log2FoldChange| &gt; 1 且 adjusted p-value &lt; 0.05。</w:t>
      </w:r>
    </w:p>
    <w:p>
      <w:pPr>
        <w:pStyle w:val="Heading1"/>
      </w:pPr>
      <w:r>
        <w:rPr>
          <w:rFonts w:ascii="SimHei" w:hAnsi="SimHei" w:eastAsia="SimHei"/>
          <w:sz w:val="32"/>
        </w:rPr>
        <w:t>3. 分析结果</w:t>
      </w:r>
    </w:p>
    <w:p>
      <w:pPr>
        <w:pStyle w:val="Heading2"/>
      </w:pPr>
      <w:r>
        <w:rPr>
          <w:rFonts w:ascii="SimHei" w:hAnsi="SimHei" w:eastAsia="SimHei"/>
          <w:sz w:val="28"/>
        </w:rPr>
        <w:t>3.1 样本质量与主成分分析</w:t>
      </w:r>
    </w:p>
    <w:p>
      <w:r>
        <w:rPr>
          <w:rFonts w:ascii="SimSun" w:hAnsi="SimSun" w:eastAsia="SimSun"/>
          <w:sz w:val="24"/>
        </w:rPr>
        <w:t>PCA 分析显示 Tumor 和 Normal 组在 PC1 方向上有明显分离，表明两组之间存在显著的基因表达差异（图 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94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9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1. 主成分分析（PCA）散点图</w:t>
      </w:r>
    </w:p>
    <w:p>
      <w:pPr>
        <w:pStyle w:val="Heading2"/>
      </w:pPr>
      <w:r>
        <w:rPr>
          <w:rFonts w:ascii="SimHei" w:hAnsi="SimHei" w:eastAsia="SimHei"/>
          <w:sz w:val="28"/>
        </w:rPr>
        <w:t>3.2 差异表达分析</w:t>
      </w:r>
    </w:p>
    <w:p>
      <w:r>
        <w:rPr>
          <w:rFonts w:ascii="SimSun" w:hAnsi="SimSun" w:eastAsia="SimSun"/>
          <w:sz w:val="24"/>
        </w:rPr>
        <w:t>共鉴定到 288 个差异表达基因，其中上调 141 个，下调 147 个（图 2）。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575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cano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2. 差异表达火山图</w:t>
      </w:r>
    </w:p>
    <w:p>
      <w:pPr>
        <w:pStyle w:val="Heading2"/>
      </w:pPr>
      <w:r>
        <w:rPr>
          <w:rFonts w:ascii="SimHei" w:hAnsi="SimHei" w:eastAsia="SimHei"/>
          <w:sz w:val="28"/>
        </w:rPr>
        <w:t>3.3 GO 功能富集分析</w:t>
      </w:r>
    </w:p>
    <w:p>
      <w:r>
        <w:rPr>
          <w:rFonts w:ascii="SimSun" w:hAnsi="SimSun" w:eastAsia="SimSun"/>
          <w:sz w:val="24"/>
        </w:rPr>
        <w:t>对差异表达基因进行 GO 功能富集分析，结果显示差异基因主要富集在细胞分裂、DNA 修复、凋亡等生物学过程（图 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254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_enrich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3. GO 功能富集分析气泡图</w:t>
      </w:r>
    </w:p>
    <w:p>
      <w:pPr>
        <w:pStyle w:val="Heading2"/>
      </w:pPr>
      <w:r>
        <w:rPr>
          <w:rFonts w:ascii="SimHei" w:hAnsi="SimHei" w:eastAsia="SimHei"/>
          <w:sz w:val="28"/>
        </w:rPr>
        <w:t>3.4 KEGG 通路富集分析</w:t>
      </w:r>
    </w:p>
    <w:p>
      <w:r>
        <w:rPr>
          <w:rFonts w:ascii="SimSun" w:hAnsi="SimSun" w:eastAsia="SimSun"/>
          <w:sz w:val="24"/>
        </w:rPr>
        <w:t>KEGG 通路分析显示差异基因显著富集在 Cell cycle、p53 signaling pathway、PI3K-Akt signaling pathway 和 Gastric cancer 等通路（图 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61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gg_enrich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4. KEGG 通路富集分析条形图</w:t>
      </w:r>
    </w:p>
    <w:p>
      <w:pPr>
        <w:pStyle w:val="Heading1"/>
      </w:pPr>
      <w:r>
        <w:rPr>
          <w:rFonts w:ascii="SimHei" w:hAnsi="SimHei" w:eastAsia="SimHei"/>
          <w:sz w:val="32"/>
        </w:rPr>
        <w:t>4. 结论与讨论</w:t>
      </w:r>
    </w:p>
    <w:p>
      <w:r>
        <w:rPr>
          <w:rFonts w:ascii="SimSun" w:hAnsi="SimSun" w:eastAsia="SimSun"/>
          <w:sz w:val="24"/>
        </w:rPr>
        <w:t>本研究通过 RNA-seq 分析，在胃癌组织与正常组织之间共鉴定到 288 个差异表达基因。功能富集分析表明这些基因主要参与细胞增殖、DNA 损伤修复和免疫应答等关键生物学过程，与胃癌的发生发展密切相关。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