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30"/>
          <w:szCs w:val="30"/>
        </w:rPr>
      </w:pPr>
      <w:r>
        <w:rPr>
          <w:rFonts w:hint="eastAsia" w:ascii="黑体" w:eastAsia="黑体"/>
          <w:sz w:val="30"/>
          <w:szCs w:val="30"/>
        </w:rPr>
        <w:t>计算机与信息学院研究生学业奖学金</w:t>
      </w:r>
      <w:r>
        <w:rPr>
          <w:rFonts w:hint="eastAsia" w:ascii="黑体" w:eastAsia="黑体"/>
          <w:color w:val="000000"/>
          <w:sz w:val="30"/>
          <w:szCs w:val="30"/>
        </w:rPr>
        <w:t>评审</w:t>
      </w:r>
      <w:r>
        <w:rPr>
          <w:rFonts w:hint="eastAsia" w:ascii="黑体" w:eastAsia="黑体"/>
          <w:sz w:val="30"/>
          <w:szCs w:val="30"/>
        </w:rPr>
        <w:t>实施细则</w:t>
      </w:r>
    </w:p>
    <w:p>
      <w:pPr>
        <w:snapToGrid w:val="0"/>
        <w:spacing w:after="156" w:afterLines="50" w:line="440" w:lineRule="atLeast"/>
        <w:ind w:firstLine="420" w:firstLineChars="200"/>
        <w:rPr>
          <w:rFonts w:ascii="宋体" w:hAnsi="宋体"/>
          <w:color w:val="000000"/>
          <w:szCs w:val="21"/>
        </w:rPr>
      </w:pPr>
      <w:r>
        <w:rPr>
          <w:rFonts w:hint="eastAsia" w:ascii="宋体" w:hAnsi="宋体"/>
          <w:color w:val="000000"/>
          <w:szCs w:val="21"/>
        </w:rPr>
        <w:t xml:space="preserve">  根据财政部、教育部《关于印发&lt;研究生学业奖学金管理暂行办法&gt;的通知》（财教〔2013〕219号）、《合肥工业大学研究生奖助工作实施办法(试行)》（合工大政发〔2013〕143号）、《合肥工业大学研究生学业奖学金评审规程（试行）》（合工大政发〔2014〕102号）等文件精神，结合学院实际，制定本评审细则。</w:t>
      </w:r>
    </w:p>
    <w:p>
      <w:pPr>
        <w:spacing w:before="156" w:beforeLines="50" w:line="450" w:lineRule="exact"/>
        <w:jc w:val="left"/>
        <w:rPr>
          <w:b/>
          <w:color w:val="000000"/>
          <w:sz w:val="28"/>
          <w:szCs w:val="28"/>
        </w:rPr>
      </w:pPr>
      <w:r>
        <w:rPr>
          <w:rFonts w:hint="eastAsia"/>
          <w:b/>
          <w:color w:val="000000"/>
          <w:sz w:val="28"/>
          <w:szCs w:val="28"/>
        </w:rPr>
        <w:t>一、基本条件与要求</w:t>
      </w:r>
    </w:p>
    <w:p>
      <w:pPr>
        <w:spacing w:line="450" w:lineRule="exact"/>
        <w:ind w:firstLine="422" w:firstLineChars="200"/>
        <w:rPr>
          <w:rFonts w:ascii="宋体" w:hAnsi="宋体"/>
          <w:b/>
          <w:color w:val="000000"/>
          <w:szCs w:val="21"/>
        </w:rPr>
      </w:pPr>
      <w:r>
        <w:rPr>
          <w:rFonts w:hint="eastAsia" w:ascii="宋体" w:hAnsi="宋体"/>
          <w:b/>
          <w:color w:val="000000"/>
          <w:szCs w:val="21"/>
        </w:rPr>
        <w:t>（一）基本条件：</w:t>
      </w:r>
    </w:p>
    <w:p>
      <w:pPr>
        <w:spacing w:line="450" w:lineRule="exact"/>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热爱社会主义祖国</w:t>
      </w:r>
      <w:r>
        <w:rPr>
          <w:rFonts w:hint="eastAsia" w:ascii="宋体" w:hAnsi="宋体"/>
          <w:color w:val="000000"/>
          <w:szCs w:val="21"/>
        </w:rPr>
        <w:t>，拥护中国共产党的领导；</w:t>
      </w:r>
    </w:p>
    <w:p>
      <w:pPr>
        <w:spacing w:line="450" w:lineRule="exact"/>
        <w:ind w:firstLine="420" w:firstLineChars="200"/>
        <w:rPr>
          <w:rFonts w:ascii="宋体" w:hAnsi="宋体"/>
          <w:color w:val="000000"/>
          <w:szCs w:val="21"/>
        </w:rPr>
      </w:pPr>
      <w:r>
        <w:rPr>
          <w:rFonts w:hint="eastAsia" w:ascii="宋体" w:hAnsi="宋体"/>
          <w:color w:val="000000"/>
          <w:szCs w:val="21"/>
        </w:rPr>
        <w:t>2、</w:t>
      </w:r>
      <w:r>
        <w:rPr>
          <w:rFonts w:ascii="宋体" w:hAnsi="宋体"/>
          <w:color w:val="000000"/>
          <w:szCs w:val="21"/>
        </w:rPr>
        <w:t>遵守</w:t>
      </w:r>
      <w:r>
        <w:rPr>
          <w:rFonts w:hint="eastAsia" w:ascii="宋体" w:hAnsi="宋体"/>
          <w:color w:val="000000"/>
          <w:szCs w:val="21"/>
        </w:rPr>
        <w:t>宪法和法律，遵守高等学校规章制度；</w:t>
      </w:r>
    </w:p>
    <w:p>
      <w:pPr>
        <w:spacing w:line="450" w:lineRule="exact"/>
        <w:ind w:firstLine="420" w:firstLineChars="200"/>
        <w:rPr>
          <w:rFonts w:ascii="宋体" w:hAnsi="宋体"/>
          <w:color w:val="000000"/>
          <w:szCs w:val="21"/>
        </w:rPr>
      </w:pPr>
      <w:r>
        <w:rPr>
          <w:rFonts w:hint="eastAsia" w:ascii="宋体" w:hAnsi="宋体"/>
          <w:color w:val="000000"/>
          <w:szCs w:val="21"/>
        </w:rPr>
        <w:t>3、诚实守信，品学兼优；</w:t>
      </w:r>
    </w:p>
    <w:p>
      <w:pPr>
        <w:spacing w:line="450" w:lineRule="exact"/>
        <w:ind w:firstLine="420" w:firstLineChars="200"/>
        <w:rPr>
          <w:rFonts w:ascii="宋体" w:hAnsi="宋体"/>
          <w:color w:val="000000"/>
          <w:szCs w:val="21"/>
        </w:rPr>
      </w:pPr>
      <w:r>
        <w:rPr>
          <w:rFonts w:hint="eastAsia" w:ascii="宋体" w:hAnsi="宋体"/>
          <w:color w:val="000000"/>
          <w:szCs w:val="21"/>
        </w:rPr>
        <w:t>4、积极参与科学研究和社会实践。</w:t>
      </w:r>
    </w:p>
    <w:p>
      <w:pPr>
        <w:spacing w:line="450" w:lineRule="exact"/>
        <w:ind w:firstLine="422" w:firstLineChars="200"/>
        <w:rPr>
          <w:rFonts w:ascii="宋体" w:hAnsi="宋体"/>
          <w:b/>
          <w:color w:val="000000"/>
          <w:szCs w:val="21"/>
        </w:rPr>
      </w:pPr>
      <w:r>
        <w:rPr>
          <w:rFonts w:hint="eastAsia" w:ascii="宋体" w:hAnsi="宋体"/>
          <w:b/>
          <w:color w:val="000000"/>
          <w:szCs w:val="21"/>
        </w:rPr>
        <w:t>（二）在校研究生上一学年内有下列情形之一者，取消本学年学业奖学金申请资格：</w:t>
      </w:r>
    </w:p>
    <w:p>
      <w:pPr>
        <w:spacing w:line="450" w:lineRule="exact"/>
        <w:ind w:firstLine="420" w:firstLineChars="200"/>
        <w:rPr>
          <w:rFonts w:ascii="宋体" w:hAnsi="宋体"/>
          <w:color w:val="000000"/>
          <w:szCs w:val="21"/>
        </w:rPr>
      </w:pPr>
      <w:r>
        <w:rPr>
          <w:rFonts w:hint="eastAsia" w:ascii="宋体" w:hAnsi="宋体"/>
          <w:color w:val="000000"/>
          <w:szCs w:val="21"/>
        </w:rPr>
        <w:t>1、违反国家法律、校纪校规，受到警告及以上处分；</w:t>
      </w:r>
    </w:p>
    <w:p>
      <w:pPr>
        <w:spacing w:line="450" w:lineRule="exact"/>
        <w:ind w:firstLine="420" w:firstLineChars="200"/>
        <w:rPr>
          <w:rFonts w:ascii="宋体" w:hAnsi="宋体"/>
          <w:color w:val="000000"/>
          <w:szCs w:val="21"/>
        </w:rPr>
      </w:pPr>
      <w:r>
        <w:rPr>
          <w:rFonts w:hint="eastAsia" w:ascii="宋体" w:hAnsi="宋体"/>
          <w:color w:val="000000"/>
          <w:szCs w:val="21"/>
        </w:rPr>
        <w:t>2、有经认定的抄袭剽窃、弄虚作假等学术不端行为；</w:t>
      </w:r>
    </w:p>
    <w:p>
      <w:pPr>
        <w:spacing w:line="450" w:lineRule="exact"/>
        <w:ind w:firstLine="420" w:firstLineChars="200"/>
        <w:rPr>
          <w:rFonts w:ascii="宋体" w:hAnsi="宋体"/>
          <w:color w:val="000000"/>
          <w:szCs w:val="21"/>
        </w:rPr>
      </w:pPr>
      <w:r>
        <w:rPr>
          <w:rFonts w:hint="eastAsia" w:ascii="宋体" w:hAnsi="宋体"/>
          <w:color w:val="000000"/>
          <w:szCs w:val="21"/>
        </w:rPr>
        <w:t>3、在提交的学业奖学金申请材料中，隐瞒事实或有虚假内容；</w:t>
      </w:r>
    </w:p>
    <w:p>
      <w:pPr>
        <w:spacing w:line="450" w:lineRule="exact"/>
        <w:ind w:firstLine="420" w:firstLineChars="200"/>
        <w:rPr>
          <w:rFonts w:ascii="宋体" w:hAnsi="宋体"/>
          <w:color w:val="000000"/>
          <w:szCs w:val="21"/>
        </w:rPr>
      </w:pPr>
      <w:r>
        <w:rPr>
          <w:rFonts w:hint="eastAsia" w:ascii="宋体" w:hAnsi="宋体"/>
          <w:color w:val="000000"/>
          <w:szCs w:val="21"/>
        </w:rPr>
        <w:t>4、不按学校规定时间进行学籍注册、缴纳学费；</w:t>
      </w:r>
    </w:p>
    <w:p>
      <w:pPr>
        <w:spacing w:line="450" w:lineRule="exact"/>
        <w:ind w:firstLine="420" w:firstLineChars="200"/>
        <w:rPr>
          <w:rFonts w:ascii="宋体" w:hAnsi="宋体"/>
          <w:color w:val="000000"/>
          <w:szCs w:val="21"/>
        </w:rPr>
      </w:pPr>
      <w:r>
        <w:rPr>
          <w:rFonts w:hint="eastAsia" w:ascii="宋体" w:hAnsi="宋体"/>
          <w:color w:val="000000"/>
          <w:szCs w:val="21"/>
        </w:rPr>
        <w:t>5、未按照规定承担助教、助管工作；</w:t>
      </w:r>
    </w:p>
    <w:p>
      <w:pPr>
        <w:spacing w:line="450" w:lineRule="exact"/>
        <w:ind w:firstLine="420" w:firstLineChars="200"/>
        <w:rPr>
          <w:rFonts w:ascii="宋体" w:hAnsi="宋体"/>
          <w:color w:val="000000"/>
          <w:szCs w:val="21"/>
        </w:rPr>
      </w:pPr>
      <w:r>
        <w:rPr>
          <w:rFonts w:hint="eastAsia" w:ascii="宋体" w:hAnsi="宋体"/>
          <w:color w:val="000000"/>
          <w:szCs w:val="21"/>
        </w:rPr>
        <w:t>6、本人导师书面建议取消其学业奖学金申请资格；</w:t>
      </w:r>
    </w:p>
    <w:p>
      <w:pPr>
        <w:spacing w:line="450" w:lineRule="exact"/>
        <w:ind w:firstLine="420" w:firstLineChars="200"/>
        <w:rPr>
          <w:rFonts w:ascii="宋体" w:hAnsi="宋体"/>
          <w:color w:val="000000"/>
          <w:szCs w:val="21"/>
        </w:rPr>
      </w:pPr>
      <w:r>
        <w:rPr>
          <w:rFonts w:hint="eastAsia" w:ascii="宋体" w:hAnsi="宋体"/>
          <w:color w:val="000000"/>
          <w:szCs w:val="21"/>
        </w:rPr>
        <w:t>7、学校依据相关规定认定的其他情形。</w:t>
      </w:r>
    </w:p>
    <w:p>
      <w:pPr>
        <w:spacing w:line="450" w:lineRule="exact"/>
        <w:jc w:val="left"/>
        <w:rPr>
          <w:b/>
          <w:color w:val="000000"/>
          <w:sz w:val="28"/>
          <w:szCs w:val="28"/>
        </w:rPr>
      </w:pPr>
      <w:r>
        <w:rPr>
          <w:rFonts w:hint="eastAsia"/>
          <w:b/>
          <w:color w:val="000000"/>
          <w:sz w:val="28"/>
          <w:szCs w:val="28"/>
        </w:rPr>
        <w:t>二、基本原则</w:t>
      </w:r>
    </w:p>
    <w:p>
      <w:pPr>
        <w:spacing w:line="450" w:lineRule="exact"/>
        <w:ind w:firstLine="420" w:firstLineChars="200"/>
        <w:rPr>
          <w:rFonts w:ascii="宋体" w:hAnsi="宋体"/>
          <w:color w:val="000000"/>
          <w:szCs w:val="21"/>
        </w:rPr>
      </w:pPr>
      <w:r>
        <w:rPr>
          <w:rFonts w:hint="eastAsia" w:ascii="宋体" w:hAnsi="宋体"/>
          <w:color w:val="000000"/>
          <w:szCs w:val="21"/>
        </w:rPr>
        <w:t>1、评选过程中坚持公平、公正、公开、择优的原则，发现弄虚作假行为，将按照学校规定对相关责任人予以处分。</w:t>
      </w:r>
    </w:p>
    <w:p>
      <w:pPr>
        <w:spacing w:line="450" w:lineRule="exact"/>
        <w:ind w:firstLine="420" w:firstLineChars="200"/>
        <w:rPr>
          <w:rFonts w:ascii="宋体" w:hAnsi="宋体"/>
          <w:color w:val="000000"/>
          <w:szCs w:val="21"/>
        </w:rPr>
      </w:pPr>
      <w:r>
        <w:rPr>
          <w:rFonts w:hint="eastAsia" w:ascii="宋体" w:hAnsi="宋体"/>
          <w:color w:val="000000"/>
          <w:szCs w:val="21"/>
        </w:rPr>
        <w:t>2、</w:t>
      </w:r>
      <w:r>
        <w:rPr>
          <w:rFonts w:ascii="宋体" w:hAnsi="宋体"/>
          <w:color w:val="000000"/>
          <w:szCs w:val="21"/>
        </w:rPr>
        <w:t>一年级研究生</w:t>
      </w:r>
      <w:r>
        <w:rPr>
          <w:rFonts w:hint="eastAsia" w:ascii="宋体" w:hAnsi="宋体"/>
          <w:color w:val="000000"/>
          <w:szCs w:val="21"/>
        </w:rPr>
        <w:t>学业</w:t>
      </w:r>
      <w:r>
        <w:rPr>
          <w:rFonts w:ascii="宋体" w:hAnsi="宋体"/>
          <w:color w:val="000000"/>
          <w:szCs w:val="21"/>
        </w:rPr>
        <w:t>奖学金的等级根据初试和复试成绩确定</w:t>
      </w:r>
      <w:r>
        <w:rPr>
          <w:rFonts w:hint="eastAsia" w:ascii="宋体" w:hAnsi="宋体"/>
          <w:color w:val="000000"/>
          <w:szCs w:val="21"/>
        </w:rPr>
        <w:t>；</w:t>
      </w:r>
      <w:r>
        <w:rPr>
          <w:rFonts w:ascii="宋体" w:hAnsi="宋体"/>
          <w:color w:val="000000"/>
          <w:szCs w:val="21"/>
        </w:rPr>
        <w:t>二年级</w:t>
      </w:r>
      <w:r>
        <w:rPr>
          <w:rFonts w:hint="eastAsia" w:ascii="宋体" w:hAnsi="宋体"/>
          <w:color w:val="000000"/>
          <w:szCs w:val="21"/>
        </w:rPr>
        <w:t>、三年级学业</w:t>
      </w:r>
      <w:r>
        <w:rPr>
          <w:rFonts w:ascii="宋体" w:hAnsi="宋体"/>
          <w:color w:val="000000"/>
          <w:szCs w:val="21"/>
        </w:rPr>
        <w:t>奖学金的等级根据研究生的</w:t>
      </w:r>
      <w:r>
        <w:rPr>
          <w:rFonts w:hint="eastAsia" w:ascii="宋体" w:hAnsi="宋体"/>
          <w:color w:val="000000"/>
          <w:szCs w:val="21"/>
        </w:rPr>
        <w:t>综合测评与</w:t>
      </w:r>
      <w:r>
        <w:rPr>
          <w:rFonts w:ascii="宋体" w:hAnsi="宋体"/>
          <w:color w:val="000000"/>
          <w:szCs w:val="21"/>
        </w:rPr>
        <w:t>综合表现</w:t>
      </w:r>
      <w:r>
        <w:rPr>
          <w:rFonts w:hint="eastAsia" w:ascii="宋体" w:hAnsi="宋体"/>
          <w:color w:val="000000"/>
          <w:szCs w:val="21"/>
        </w:rPr>
        <w:t>进行评定。课程考试不及格者，奖学金等级降一档评定。</w:t>
      </w:r>
    </w:p>
    <w:p>
      <w:pPr>
        <w:numPr>
          <w:ilvl w:val="0"/>
          <w:numId w:val="1"/>
        </w:numPr>
        <w:spacing w:line="450" w:lineRule="exact"/>
        <w:ind w:firstLine="420" w:firstLineChars="200"/>
        <w:rPr>
          <w:rFonts w:ascii="宋体" w:hAnsi="宋体"/>
          <w:color w:val="000000"/>
          <w:szCs w:val="21"/>
        </w:rPr>
      </w:pPr>
      <w:r>
        <w:rPr>
          <w:rFonts w:hint="eastAsia" w:ascii="宋体" w:hAnsi="宋体"/>
          <w:color w:val="000000"/>
          <w:szCs w:val="21"/>
        </w:rPr>
        <w:t>奖学金评定排序，按照学生所学专业的一级学科进行。各等级奖学金指标数，按照各一级学科学生总数，以学校规定的比例分配。</w:t>
      </w:r>
    </w:p>
    <w:p>
      <w:pPr>
        <w:numPr>
          <w:ilvl w:val="0"/>
          <w:numId w:val="1"/>
        </w:numPr>
        <w:spacing w:line="450" w:lineRule="exact"/>
        <w:ind w:firstLine="420"/>
        <w:rPr>
          <w:rFonts w:ascii="宋体" w:hAnsi="宋体"/>
          <w:color w:val="000000"/>
          <w:szCs w:val="21"/>
        </w:rPr>
      </w:pPr>
      <w:r>
        <w:rPr>
          <w:rFonts w:hint="eastAsia" w:ascii="宋体" w:hAnsi="宋体"/>
          <w:color w:val="000000"/>
          <w:szCs w:val="21"/>
        </w:rPr>
        <w:t>直博生和招生简章中注明不授予中间学位的本硕博、硕博连读学生以及</w:t>
      </w:r>
      <w:r>
        <w:rPr>
          <w:rFonts w:ascii="宋体" w:hAnsi="宋体"/>
          <w:color w:val="000000"/>
          <w:szCs w:val="21"/>
        </w:rPr>
        <w:t>学籍变动研究生</w:t>
      </w:r>
      <w:r>
        <w:rPr>
          <w:rFonts w:hint="eastAsia" w:ascii="宋体" w:hAnsi="宋体"/>
          <w:color w:val="000000"/>
          <w:szCs w:val="21"/>
        </w:rPr>
        <w:t>的学业奖学金评定按《合肥工业大学研究生学业奖学金评审规程（试行）》（合工大政发〔2014〕102号）执行</w:t>
      </w:r>
      <w:r>
        <w:rPr>
          <w:rFonts w:ascii="宋体" w:hAnsi="宋体"/>
          <w:color w:val="000000"/>
          <w:szCs w:val="21"/>
        </w:rPr>
        <w:t>。</w:t>
      </w:r>
    </w:p>
    <w:p>
      <w:pPr>
        <w:spacing w:before="156" w:beforeLines="50" w:after="156" w:afterLines="50" w:line="450" w:lineRule="exact"/>
        <w:jc w:val="left"/>
        <w:rPr>
          <w:b/>
          <w:color w:val="000000"/>
          <w:sz w:val="28"/>
          <w:szCs w:val="28"/>
        </w:rPr>
      </w:pPr>
      <w:r>
        <w:rPr>
          <w:rFonts w:hint="eastAsia"/>
          <w:b/>
          <w:color w:val="000000"/>
          <w:sz w:val="28"/>
          <w:szCs w:val="28"/>
        </w:rPr>
        <w:t>三、综合测评办法</w:t>
      </w:r>
    </w:p>
    <w:p>
      <w:pPr>
        <w:jc w:val="left"/>
        <w:rPr>
          <w:rFonts w:ascii="黑体" w:eastAsia="黑体"/>
          <w:sz w:val="30"/>
          <w:szCs w:val="30"/>
        </w:rPr>
      </w:pPr>
      <w:r>
        <w:rPr>
          <w:rFonts w:hint="eastAsia" w:ascii="黑体" w:hAnsi="宋体" w:eastAsia="黑体"/>
          <w:b/>
          <w:bCs/>
          <w:color w:val="000000"/>
          <w:sz w:val="24"/>
        </w:rPr>
        <w:t>（一）内</w:t>
      </w:r>
      <w:r>
        <w:rPr>
          <w:rFonts w:hint="eastAsia" w:ascii="黑体" w:hAnsi="宋体" w:eastAsia="黑体"/>
          <w:b/>
          <w:bCs/>
          <w:sz w:val="24"/>
        </w:rPr>
        <w:t>容及工作程序</w:t>
      </w:r>
    </w:p>
    <w:p>
      <w:pPr>
        <w:numPr>
          <w:ilvl w:val="0"/>
          <w:numId w:val="2"/>
        </w:numPr>
        <w:snapToGrid w:val="0"/>
        <w:spacing w:before="124" w:beforeLines="40" w:line="440" w:lineRule="atLeast"/>
        <w:rPr>
          <w:rFonts w:ascii="宋体" w:hAnsi="宋体"/>
          <w:b/>
          <w:szCs w:val="21"/>
        </w:rPr>
      </w:pPr>
      <w:r>
        <w:rPr>
          <w:rFonts w:hint="eastAsia" w:ascii="宋体" w:hAnsi="宋体"/>
          <w:b/>
          <w:szCs w:val="21"/>
        </w:rPr>
        <w:t>评定内容</w:t>
      </w:r>
    </w:p>
    <w:p>
      <w:pPr>
        <w:snapToGrid w:val="0"/>
        <w:spacing w:line="440" w:lineRule="atLeast"/>
        <w:ind w:firstLine="420" w:firstLineChars="200"/>
        <w:rPr>
          <w:rFonts w:ascii="宋体" w:hAnsi="宋体"/>
          <w:szCs w:val="21"/>
        </w:rPr>
      </w:pPr>
      <w:r>
        <w:rPr>
          <w:rFonts w:hint="eastAsia" w:ascii="宋体" w:hAnsi="宋体"/>
          <w:szCs w:val="21"/>
        </w:rPr>
        <w:t>奖学金评定采用多项指标评估研究生各方面素质，从而较为真实地反映研究生在校期间的总体状况，达到检测教育效果，促进创新人才培养的目的。</w:t>
      </w:r>
    </w:p>
    <w:p>
      <w:pPr>
        <w:snapToGrid w:val="0"/>
        <w:spacing w:line="440" w:lineRule="atLeast"/>
        <w:ind w:firstLine="420" w:firstLineChars="200"/>
        <w:rPr>
          <w:rFonts w:ascii="宋体" w:hAnsi="宋体"/>
          <w:color w:val="000000"/>
          <w:szCs w:val="21"/>
        </w:rPr>
      </w:pPr>
      <w:r>
        <w:rPr>
          <w:rFonts w:hint="eastAsia" w:ascii="宋体" w:hAnsi="宋体"/>
          <w:szCs w:val="21"/>
        </w:rPr>
        <w:t>研究生学业奖学金</w:t>
      </w:r>
      <w:r>
        <w:rPr>
          <w:rFonts w:hint="eastAsia" w:ascii="宋体" w:hAnsi="宋体"/>
          <w:color w:val="000000"/>
          <w:szCs w:val="21"/>
        </w:rPr>
        <w:t>主要从“思想品德”、“学业成绩”、“学术成果和科研情况”、“社会实践”四个方面加权确定获奖等级。其中：A指研究生思想品德方面的指标体系；B主要包括研究生所学课程学习成绩、中期考核等方面的指标体系；C主要包括研究生的科研工作、论文著作等方面的指标体系；D主要包括研究生的科技创新、社会实践、文体活动、公益活动、社会工作等方面的指标体系。</w:t>
      </w:r>
    </w:p>
    <w:p>
      <w:pPr>
        <w:numPr>
          <w:ilvl w:val="0"/>
          <w:numId w:val="2"/>
        </w:numPr>
        <w:snapToGrid w:val="0"/>
        <w:spacing w:before="124" w:beforeLines="40" w:line="440" w:lineRule="atLeast"/>
        <w:rPr>
          <w:rFonts w:ascii="宋体" w:hAnsi="宋体"/>
          <w:b/>
          <w:szCs w:val="21"/>
        </w:rPr>
      </w:pPr>
      <w:r>
        <w:rPr>
          <w:rFonts w:hint="eastAsia" w:ascii="宋体" w:hAnsi="宋体"/>
          <w:b/>
          <w:szCs w:val="21"/>
        </w:rPr>
        <w:t>评定工作程序</w:t>
      </w:r>
    </w:p>
    <w:p>
      <w:pPr>
        <w:snapToGrid w:val="0"/>
        <w:spacing w:line="440" w:lineRule="atLeast"/>
        <w:ind w:firstLine="420" w:firstLineChars="200"/>
        <w:rPr>
          <w:rFonts w:ascii="宋体" w:hAnsi="宋体"/>
          <w:color w:val="000000"/>
          <w:szCs w:val="21"/>
        </w:rPr>
      </w:pPr>
      <w:r>
        <w:rPr>
          <w:rFonts w:hint="eastAsia" w:ascii="宋体" w:hAnsi="宋体"/>
          <w:szCs w:val="21"/>
        </w:rPr>
        <w:t>评定工作程序：（1）</w:t>
      </w:r>
      <w:r>
        <w:rPr>
          <w:rFonts w:hint="eastAsia" w:ascii="宋体" w:hAnsi="宋体"/>
          <w:color w:val="000000"/>
          <w:szCs w:val="21"/>
        </w:rPr>
        <w:t>学院成立由学院党委书记、分管研究生副院长担任正副组长，成员包括院学术委员会主任、研究生院长助理、研究生教务员、研究生辅导员组成的“学院研究生学业奖学金评审领导小组”，其职责为政策制定解释、工作组织和检查监督。（2）</w:t>
      </w:r>
      <w:r>
        <w:rPr>
          <w:rFonts w:ascii="宋体" w:hAnsi="宋体"/>
          <w:color w:val="000000"/>
          <w:szCs w:val="21"/>
        </w:rPr>
        <w:t>在学院网站上公布</w:t>
      </w:r>
      <w:r>
        <w:rPr>
          <w:rFonts w:hint="eastAsia" w:ascii="宋体" w:hAnsi="宋体"/>
          <w:color w:val="000000"/>
          <w:szCs w:val="21"/>
        </w:rPr>
        <w:t>奖学金评审领导小</w:t>
      </w:r>
      <w:r>
        <w:rPr>
          <w:rFonts w:ascii="宋体" w:hAnsi="宋体"/>
          <w:color w:val="000000"/>
          <w:szCs w:val="21"/>
        </w:rPr>
        <w:t>组组成，奖学金</w:t>
      </w:r>
      <w:r>
        <w:rPr>
          <w:rFonts w:ascii="宋体" w:hAnsi="宋体"/>
          <w:szCs w:val="21"/>
        </w:rPr>
        <w:t>名额，奖学金评定</w:t>
      </w:r>
      <w:r>
        <w:rPr>
          <w:rFonts w:hint="eastAsia" w:ascii="宋体" w:hAnsi="宋体"/>
          <w:szCs w:val="21"/>
        </w:rPr>
        <w:t>实施细则</w:t>
      </w:r>
      <w:r>
        <w:rPr>
          <w:rFonts w:ascii="宋体" w:hAnsi="宋体"/>
          <w:szCs w:val="21"/>
        </w:rPr>
        <w:t>，奖学金评定程序，并设立投诉邮箱。</w:t>
      </w:r>
      <w:r>
        <w:rPr>
          <w:rFonts w:hint="eastAsia" w:ascii="宋体" w:hAnsi="宋体"/>
          <w:szCs w:val="21"/>
        </w:rPr>
        <w:t>（3）学生本人申请并提交自评表和相关附件。（4）学生班级成立由党支部书记、班长等同学组成的3-5人班级初评小组，按照“学业奖学金评定实施细则”对本班学生提交的自评表和附件进行初审，并将结果汇总造表和材料一起上报学院研究生辅导员。（5）由研究生辅导员、教务员召集各班级党支部书记和研究生会主席、副主席共同组成复审组，2-3人为一小组，对各班上报的初审材料和结果依照“学业奖学金评定实施细则”进行交叉复审，复审结果由复审人签名确认后报学院研究生奖学金评审领导小组。（6）学院研究生奖学金评审领导小组对复审结果审核确定奖学金初评结果。</w:t>
      </w:r>
      <w:r>
        <w:rPr>
          <w:rFonts w:hint="eastAsia" w:ascii="宋体" w:hAnsi="宋体"/>
          <w:color w:val="000000"/>
          <w:szCs w:val="21"/>
        </w:rPr>
        <w:t>（7）学院初评结果公示3个工作日后上报学校。</w:t>
      </w:r>
    </w:p>
    <w:p>
      <w:pPr>
        <w:spacing w:line="500" w:lineRule="exact"/>
        <w:rPr>
          <w:rFonts w:ascii="黑体" w:hAnsi="宋体" w:eastAsia="黑体"/>
          <w:b/>
          <w:bCs/>
          <w:sz w:val="24"/>
        </w:rPr>
      </w:pPr>
      <w:r>
        <w:rPr>
          <w:rFonts w:hint="eastAsia" w:ascii="黑体" w:hAnsi="宋体" w:eastAsia="黑体"/>
          <w:b/>
          <w:bCs/>
          <w:color w:val="000000"/>
          <w:sz w:val="24"/>
        </w:rPr>
        <w:t>（二）</w:t>
      </w:r>
      <w:r>
        <w:rPr>
          <w:rFonts w:hint="eastAsia" w:ascii="黑体" w:hAnsi="宋体" w:eastAsia="黑体"/>
          <w:b/>
          <w:bCs/>
          <w:sz w:val="24"/>
        </w:rPr>
        <w:t>评定计分方法</w:t>
      </w:r>
    </w:p>
    <w:p>
      <w:pPr>
        <w:snapToGrid w:val="0"/>
        <w:spacing w:line="440" w:lineRule="atLeast"/>
        <w:ind w:firstLine="420" w:firstLineChars="200"/>
        <w:rPr>
          <w:rFonts w:ascii="宋体" w:hAnsi="宋体"/>
          <w:szCs w:val="21"/>
        </w:rPr>
      </w:pPr>
      <w:r>
        <w:rPr>
          <w:rFonts w:hint="eastAsia" w:ascii="宋体" w:hAnsi="宋体"/>
          <w:szCs w:val="21"/>
        </w:rPr>
        <w:t>评定计分方法为：</w:t>
      </w:r>
    </w:p>
    <w:p>
      <w:pPr>
        <w:snapToGrid w:val="0"/>
        <w:spacing w:line="440" w:lineRule="atLeast"/>
        <w:ind w:firstLine="422" w:firstLineChars="200"/>
        <w:rPr>
          <w:rFonts w:ascii="宋体" w:hAnsi="宋体"/>
          <w:b/>
          <w:szCs w:val="21"/>
        </w:rPr>
      </w:pPr>
      <w:r>
        <w:rPr>
          <w:rFonts w:hint="eastAsia" w:ascii="宋体" w:hAnsi="宋体"/>
          <w:b/>
          <w:szCs w:val="21"/>
        </w:rPr>
        <w:t xml:space="preserve">综合评分 </w:t>
      </w:r>
      <w:r>
        <w:rPr>
          <w:rFonts w:ascii="宋体" w:hAnsi="宋体"/>
          <w:b/>
          <w:szCs w:val="21"/>
        </w:rPr>
        <w:t>=</w:t>
      </w:r>
      <w:r>
        <w:rPr>
          <w:rFonts w:hint="eastAsia" w:ascii="宋体" w:hAnsi="宋体"/>
          <w:b/>
          <w:szCs w:val="21"/>
        </w:rPr>
        <w:t xml:space="preserve"> </w:t>
      </w:r>
    </w:p>
    <w:p>
      <w:pPr>
        <w:snapToGrid w:val="0"/>
        <w:spacing w:line="440" w:lineRule="atLeast"/>
        <w:rPr>
          <w:rFonts w:ascii="宋体" w:hAnsi="宋体"/>
          <w:b/>
          <w:color w:val="000000"/>
          <w:szCs w:val="21"/>
        </w:rPr>
      </w:pPr>
      <w:r>
        <w:rPr>
          <w:rFonts w:hint="eastAsia" w:ascii="宋体" w:hAnsi="宋体"/>
          <w:color w:val="000000"/>
          <w:szCs w:val="21"/>
        </w:rPr>
        <w:t>【</w:t>
      </w:r>
      <w:r>
        <w:rPr>
          <w:rFonts w:hint="eastAsia" w:ascii="宋体" w:hAnsi="宋体"/>
          <w:b/>
          <w:color w:val="000000"/>
          <w:szCs w:val="21"/>
        </w:rPr>
        <w:t>思想品德（A）+课程成绩（B）</w:t>
      </w:r>
      <w:r>
        <w:rPr>
          <w:rFonts w:ascii="宋体" w:hAnsi="宋体"/>
          <w:b/>
          <w:color w:val="000000"/>
          <w:szCs w:val="21"/>
        </w:rPr>
        <w:t>+</w:t>
      </w:r>
      <w:r>
        <w:rPr>
          <w:rFonts w:hint="eastAsia" w:ascii="宋体" w:hAnsi="宋体"/>
          <w:b/>
          <w:color w:val="000000"/>
          <w:szCs w:val="21"/>
        </w:rPr>
        <w:t xml:space="preserve"> 科研工作及学术成果（C</w:t>
      </w:r>
      <w:r>
        <w:rPr>
          <w:rFonts w:ascii="宋体" w:hAnsi="宋体"/>
          <w:b/>
          <w:color w:val="000000"/>
          <w:szCs w:val="21"/>
        </w:rPr>
        <w:t>）</w:t>
      </w:r>
      <w:r>
        <w:rPr>
          <w:rFonts w:hint="eastAsia" w:ascii="宋体" w:hAnsi="宋体"/>
          <w:b/>
          <w:color w:val="000000"/>
          <w:szCs w:val="21"/>
        </w:rPr>
        <w:t>+社会实践（D）</w:t>
      </w:r>
      <w:r>
        <w:rPr>
          <w:rFonts w:hint="eastAsia" w:ascii="宋体" w:hAnsi="宋体"/>
          <w:color w:val="000000"/>
          <w:szCs w:val="21"/>
        </w:rPr>
        <w:t>】</w:t>
      </w:r>
      <w:r>
        <w:rPr>
          <w:b/>
          <w:color w:val="000000"/>
          <w:szCs w:val="21"/>
        </w:rPr>
        <w:t>×</w:t>
      </w:r>
      <w:r>
        <w:rPr>
          <w:rFonts w:hint="eastAsia"/>
          <w:b/>
          <w:color w:val="000000"/>
          <w:szCs w:val="21"/>
        </w:rPr>
        <w:t xml:space="preserve"> </w:t>
      </w:r>
      <w:r>
        <w:rPr>
          <w:rFonts w:hint="eastAsia" w:ascii="宋体" w:hAnsi="宋体"/>
          <w:b/>
          <w:color w:val="000000"/>
          <w:szCs w:val="21"/>
        </w:rPr>
        <w:t>80%</w:t>
      </w:r>
      <w:r>
        <w:rPr>
          <w:rFonts w:hint="eastAsia" w:ascii="宋体" w:hAnsi="宋体"/>
          <w:color w:val="000000"/>
          <w:szCs w:val="21"/>
        </w:rPr>
        <w:t xml:space="preserve"> </w:t>
      </w:r>
      <w:r>
        <w:rPr>
          <w:rFonts w:ascii="宋体" w:hAnsi="宋体"/>
          <w:color w:val="000000"/>
          <w:szCs w:val="21"/>
        </w:rPr>
        <w:t>+</w:t>
      </w:r>
      <w:r>
        <w:rPr>
          <w:rFonts w:hint="eastAsia" w:ascii="宋体" w:hAnsi="宋体"/>
          <w:color w:val="000000"/>
          <w:szCs w:val="21"/>
        </w:rPr>
        <w:t xml:space="preserve"> </w:t>
      </w:r>
      <w:r>
        <w:rPr>
          <w:rFonts w:hint="eastAsia" w:ascii="宋体" w:hAnsi="宋体"/>
          <w:b/>
          <w:color w:val="000000"/>
          <w:szCs w:val="21"/>
        </w:rPr>
        <w:t>导师评价</w:t>
      </w:r>
      <w:r>
        <w:rPr>
          <w:b/>
          <w:color w:val="000000"/>
          <w:szCs w:val="21"/>
        </w:rPr>
        <w:t>×</w:t>
      </w:r>
      <w:r>
        <w:rPr>
          <w:rFonts w:hint="eastAsia"/>
          <w:b/>
          <w:color w:val="000000"/>
          <w:szCs w:val="21"/>
        </w:rPr>
        <w:t xml:space="preserve"> </w:t>
      </w:r>
      <w:r>
        <w:rPr>
          <w:rFonts w:hint="eastAsia" w:ascii="宋体" w:hAnsi="宋体"/>
          <w:b/>
          <w:color w:val="000000"/>
          <w:szCs w:val="21"/>
        </w:rPr>
        <w:t>20%</w:t>
      </w:r>
    </w:p>
    <w:p>
      <w:pPr>
        <w:snapToGrid w:val="0"/>
        <w:spacing w:after="312" w:afterLines="100" w:line="440" w:lineRule="atLeast"/>
        <w:ind w:left="360"/>
        <w:rPr>
          <w:rFonts w:ascii="宋体" w:hAnsi="宋体"/>
          <w:b/>
          <w:szCs w:val="21"/>
        </w:rPr>
      </w:pPr>
      <w:r>
        <w:rPr>
          <w:rFonts w:hint="eastAsia" w:ascii="宋体" w:hAnsi="宋体"/>
          <w:b/>
          <w:szCs w:val="21"/>
        </w:rPr>
        <w:t>1、评定A、B、C、D四类权重比例如下：</w:t>
      </w:r>
    </w:p>
    <w:tbl>
      <w:tblPr>
        <w:tblStyle w:val="5"/>
        <w:tblW w:w="73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1529"/>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7" w:type="dxa"/>
            <w:vAlign w:val="center"/>
          </w:tcPr>
          <w:p>
            <w:pPr>
              <w:spacing w:line="500" w:lineRule="exact"/>
              <w:jc w:val="center"/>
              <w:rPr>
                <w:rFonts w:ascii="宋体" w:hAnsi="宋体" w:cs="宋体"/>
                <w:kern w:val="0"/>
                <w:szCs w:val="21"/>
              </w:rPr>
            </w:pPr>
          </w:p>
        </w:tc>
        <w:tc>
          <w:tcPr>
            <w:tcW w:w="1529" w:type="dxa"/>
            <w:vAlign w:val="center"/>
          </w:tcPr>
          <w:p>
            <w:pPr>
              <w:spacing w:line="500" w:lineRule="exact"/>
              <w:jc w:val="center"/>
              <w:rPr>
                <w:rFonts w:ascii="宋体" w:hAnsi="宋体" w:cs="宋体"/>
                <w:b/>
                <w:color w:val="000000"/>
                <w:kern w:val="0"/>
                <w:szCs w:val="21"/>
              </w:rPr>
            </w:pPr>
            <w:r>
              <w:rPr>
                <w:rFonts w:ascii="宋体" w:hAnsi="宋体" w:cs="宋体"/>
                <w:b/>
                <w:color w:val="000000"/>
                <w:kern w:val="0"/>
                <w:szCs w:val="21"/>
              </w:rPr>
              <w:t>A</w:t>
            </w:r>
          </w:p>
        </w:tc>
        <w:tc>
          <w:tcPr>
            <w:tcW w:w="1620" w:type="dxa"/>
            <w:vAlign w:val="center"/>
          </w:tcPr>
          <w:p>
            <w:pPr>
              <w:spacing w:line="500" w:lineRule="exact"/>
              <w:jc w:val="center"/>
              <w:rPr>
                <w:rFonts w:ascii="宋体" w:hAnsi="宋体" w:cs="宋体"/>
                <w:b/>
                <w:color w:val="000000"/>
                <w:kern w:val="0"/>
                <w:szCs w:val="21"/>
              </w:rPr>
            </w:pPr>
            <w:r>
              <w:rPr>
                <w:rFonts w:ascii="宋体" w:hAnsi="宋体" w:cs="宋体"/>
                <w:b/>
                <w:color w:val="000000"/>
                <w:kern w:val="0"/>
                <w:szCs w:val="21"/>
              </w:rPr>
              <w:t>B</w:t>
            </w:r>
          </w:p>
        </w:tc>
        <w:tc>
          <w:tcPr>
            <w:tcW w:w="1440" w:type="dxa"/>
            <w:vAlign w:val="center"/>
          </w:tcPr>
          <w:p>
            <w:pPr>
              <w:spacing w:line="500" w:lineRule="exact"/>
              <w:jc w:val="center"/>
              <w:rPr>
                <w:rFonts w:ascii="宋体" w:hAnsi="宋体" w:cs="宋体"/>
                <w:b/>
                <w:color w:val="000000"/>
                <w:kern w:val="0"/>
                <w:szCs w:val="21"/>
              </w:rPr>
            </w:pPr>
            <w:r>
              <w:rPr>
                <w:rFonts w:ascii="宋体" w:hAnsi="宋体" w:cs="宋体"/>
                <w:b/>
                <w:color w:val="000000"/>
                <w:kern w:val="0"/>
                <w:szCs w:val="21"/>
              </w:rPr>
              <w:t>C</w:t>
            </w:r>
          </w:p>
        </w:tc>
        <w:tc>
          <w:tcPr>
            <w:tcW w:w="1440" w:type="dxa"/>
            <w:vAlign w:val="center"/>
          </w:tcPr>
          <w:p>
            <w:pPr>
              <w:spacing w:line="500" w:lineRule="exact"/>
              <w:jc w:val="center"/>
              <w:rPr>
                <w:rFonts w:ascii="宋体" w:hAnsi="宋体" w:cs="宋体"/>
                <w:b/>
                <w:color w:val="000000"/>
                <w:kern w:val="0"/>
                <w:szCs w:val="21"/>
              </w:rPr>
            </w:pPr>
            <w:r>
              <w:rPr>
                <w:rFonts w:hint="eastAsia" w:ascii="宋体" w:hAnsi="宋体" w:cs="宋体"/>
                <w:b/>
                <w:color w:val="000000"/>
                <w:kern w:val="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7" w:type="dxa"/>
            <w:vAlign w:val="center"/>
          </w:tcPr>
          <w:p>
            <w:pPr>
              <w:spacing w:line="500" w:lineRule="exact"/>
              <w:jc w:val="center"/>
              <w:rPr>
                <w:rFonts w:ascii="宋体" w:hAnsi="宋体" w:cs="宋体"/>
                <w:kern w:val="0"/>
                <w:szCs w:val="21"/>
              </w:rPr>
            </w:pPr>
            <w:r>
              <w:rPr>
                <w:rFonts w:hint="eastAsia" w:ascii="宋体" w:hAnsi="宋体" w:cs="宋体"/>
                <w:kern w:val="0"/>
                <w:szCs w:val="21"/>
              </w:rPr>
              <w:t>第一学年</w:t>
            </w:r>
          </w:p>
        </w:tc>
        <w:tc>
          <w:tcPr>
            <w:tcW w:w="1529"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10</w:t>
            </w:r>
            <w:r>
              <w:rPr>
                <w:rFonts w:ascii="宋体" w:hAnsi="宋体" w:cs="宋体"/>
                <w:color w:val="000000"/>
                <w:kern w:val="0"/>
                <w:szCs w:val="21"/>
              </w:rPr>
              <w:t>%</w:t>
            </w:r>
          </w:p>
        </w:tc>
        <w:tc>
          <w:tcPr>
            <w:tcW w:w="1620"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50</w:t>
            </w:r>
            <w:r>
              <w:rPr>
                <w:rFonts w:ascii="宋体" w:hAnsi="宋体" w:cs="宋体"/>
                <w:color w:val="000000"/>
                <w:kern w:val="0"/>
                <w:szCs w:val="21"/>
              </w:rPr>
              <w:t>%</w:t>
            </w:r>
          </w:p>
        </w:tc>
        <w:tc>
          <w:tcPr>
            <w:tcW w:w="1440"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20</w:t>
            </w:r>
            <w:r>
              <w:rPr>
                <w:rFonts w:ascii="宋体" w:hAnsi="宋体" w:cs="宋体"/>
                <w:color w:val="000000"/>
                <w:kern w:val="0"/>
                <w:szCs w:val="21"/>
              </w:rPr>
              <w:t>%</w:t>
            </w:r>
          </w:p>
        </w:tc>
        <w:tc>
          <w:tcPr>
            <w:tcW w:w="1440"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7" w:type="dxa"/>
            <w:vAlign w:val="center"/>
          </w:tcPr>
          <w:p>
            <w:pPr>
              <w:spacing w:line="500" w:lineRule="exact"/>
              <w:jc w:val="center"/>
              <w:rPr>
                <w:rFonts w:ascii="宋体" w:hAnsi="宋体" w:cs="宋体"/>
                <w:kern w:val="0"/>
                <w:szCs w:val="21"/>
              </w:rPr>
            </w:pPr>
            <w:r>
              <w:rPr>
                <w:rFonts w:hint="eastAsia" w:ascii="宋体" w:hAnsi="宋体" w:cs="宋体"/>
                <w:kern w:val="0"/>
                <w:szCs w:val="21"/>
              </w:rPr>
              <w:t>第二学年</w:t>
            </w:r>
          </w:p>
        </w:tc>
        <w:tc>
          <w:tcPr>
            <w:tcW w:w="1529"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10</w:t>
            </w:r>
            <w:r>
              <w:rPr>
                <w:rFonts w:ascii="宋体" w:hAnsi="宋体" w:cs="宋体"/>
                <w:color w:val="000000"/>
                <w:kern w:val="0"/>
                <w:szCs w:val="21"/>
              </w:rPr>
              <w:t>%</w:t>
            </w:r>
          </w:p>
        </w:tc>
        <w:tc>
          <w:tcPr>
            <w:tcW w:w="1620"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10</w:t>
            </w:r>
            <w:r>
              <w:rPr>
                <w:rFonts w:ascii="宋体" w:hAnsi="宋体" w:cs="宋体"/>
                <w:color w:val="000000"/>
                <w:kern w:val="0"/>
                <w:szCs w:val="21"/>
              </w:rPr>
              <w:t>%</w:t>
            </w:r>
          </w:p>
        </w:tc>
        <w:tc>
          <w:tcPr>
            <w:tcW w:w="1440"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60</w:t>
            </w:r>
            <w:r>
              <w:rPr>
                <w:rFonts w:ascii="宋体" w:hAnsi="宋体" w:cs="宋体"/>
                <w:color w:val="000000"/>
                <w:kern w:val="0"/>
                <w:szCs w:val="21"/>
              </w:rPr>
              <w:t>%</w:t>
            </w:r>
          </w:p>
        </w:tc>
        <w:tc>
          <w:tcPr>
            <w:tcW w:w="1440" w:type="dxa"/>
            <w:vAlign w:val="center"/>
          </w:tcPr>
          <w:p>
            <w:pPr>
              <w:spacing w:line="500" w:lineRule="exact"/>
              <w:jc w:val="center"/>
              <w:rPr>
                <w:rFonts w:ascii="宋体" w:hAnsi="宋体" w:cs="宋体"/>
                <w:color w:val="000000"/>
                <w:kern w:val="0"/>
                <w:szCs w:val="21"/>
              </w:rPr>
            </w:pPr>
            <w:r>
              <w:rPr>
                <w:rFonts w:hint="eastAsia" w:ascii="宋体" w:hAnsi="宋体" w:cs="宋体"/>
                <w:color w:val="000000"/>
                <w:kern w:val="0"/>
                <w:szCs w:val="21"/>
              </w:rPr>
              <w:t>20%</w:t>
            </w:r>
          </w:p>
        </w:tc>
      </w:tr>
    </w:tbl>
    <w:p>
      <w:pPr>
        <w:snapToGrid w:val="0"/>
        <w:spacing w:before="124" w:beforeLines="40" w:after="124" w:afterLines="40" w:line="440" w:lineRule="atLeast"/>
        <w:rPr>
          <w:rFonts w:ascii="宋体" w:hAnsi="宋体"/>
          <w:b/>
          <w:szCs w:val="21"/>
          <w:highlight w:val="lightGray"/>
        </w:rPr>
      </w:pPr>
      <w:r>
        <w:rPr>
          <w:rFonts w:hint="eastAsia" w:ascii="宋体" w:hAnsi="宋体"/>
          <w:szCs w:val="21"/>
        </w:rPr>
        <w:t xml:space="preserve">    </w:t>
      </w:r>
      <w:r>
        <w:rPr>
          <w:rFonts w:hint="eastAsia" w:ascii="宋体" w:hAnsi="宋体"/>
          <w:b/>
          <w:szCs w:val="21"/>
        </w:rPr>
        <w:t>2、导师评价部分</w:t>
      </w:r>
      <w:r>
        <w:rPr>
          <w:rFonts w:hint="eastAsia" w:ascii="宋体" w:hAnsi="宋体"/>
          <w:szCs w:val="21"/>
        </w:rPr>
        <w:t>由导师根据学生的思想品德</w:t>
      </w:r>
      <w:r>
        <w:rPr>
          <w:rFonts w:hint="eastAsia" w:ascii="宋体" w:hAnsi="宋体"/>
          <w:color w:val="FF0000"/>
          <w:szCs w:val="21"/>
        </w:rPr>
        <w:t>、</w:t>
      </w:r>
      <w:r>
        <w:rPr>
          <w:rFonts w:hint="eastAsia" w:ascii="宋体" w:hAnsi="宋体"/>
          <w:szCs w:val="21"/>
        </w:rPr>
        <w:t>科研能力、学术水平、工作态度等情况，对自己的研究生进行评价。测评小组将采取背靠背、点对点方式获取导师评分，以排除干扰，真正反映出导师的意见和评价结果。</w:t>
      </w:r>
    </w:p>
    <w:p>
      <w:pPr>
        <w:snapToGrid w:val="0"/>
        <w:spacing w:before="124" w:beforeLines="40" w:after="124" w:afterLines="40" w:line="440" w:lineRule="atLeast"/>
        <w:rPr>
          <w:rFonts w:ascii="黑体" w:hAnsi="宋体" w:eastAsia="黑体"/>
          <w:b/>
          <w:bCs/>
          <w:color w:val="FF0000"/>
          <w:sz w:val="24"/>
        </w:rPr>
      </w:pPr>
      <w:r>
        <w:rPr>
          <w:rFonts w:hint="eastAsia" w:ascii="黑体" w:hAnsi="宋体" w:eastAsia="黑体"/>
          <w:b/>
          <w:bCs/>
          <w:color w:val="000000"/>
          <w:sz w:val="24"/>
        </w:rPr>
        <w:t>（三）A思想品德计分标准</w:t>
      </w:r>
    </w:p>
    <w:p>
      <w:pPr>
        <w:snapToGrid w:val="0"/>
        <w:spacing w:before="124" w:beforeLines="40" w:after="124" w:afterLines="40" w:line="440" w:lineRule="exact"/>
        <w:rPr>
          <w:rFonts w:ascii="宋体" w:hAnsi="宋体"/>
          <w:color w:val="000000"/>
          <w:szCs w:val="21"/>
        </w:rPr>
      </w:pPr>
      <w:r>
        <w:rPr>
          <w:rFonts w:hint="eastAsia"/>
          <w:color w:val="000000"/>
          <w:sz w:val="24"/>
        </w:rPr>
        <w:t xml:space="preserve">    </w:t>
      </w:r>
      <w:r>
        <w:rPr>
          <w:rFonts w:hint="eastAsia" w:ascii="宋体" w:hAnsi="宋体"/>
          <w:color w:val="000000"/>
          <w:szCs w:val="21"/>
        </w:rPr>
        <w:t>满分</w:t>
      </w:r>
      <w:r>
        <w:rPr>
          <w:rFonts w:hint="eastAsia" w:ascii="宋体" w:hAnsi="宋体"/>
          <w:b/>
          <w:szCs w:val="21"/>
        </w:rPr>
        <w:t>100分</w:t>
      </w:r>
      <w:r>
        <w:rPr>
          <w:rFonts w:hint="eastAsia" w:ascii="宋体" w:hAnsi="宋体"/>
          <w:color w:val="000000"/>
          <w:szCs w:val="21"/>
        </w:rPr>
        <w:t>，思想品德的考评主要考察研究生在校期间思想政治素质综合表现，由学生自评、班级互评、辅导员等三个方面加权确定。</w:t>
      </w:r>
    </w:p>
    <w:p>
      <w:pPr>
        <w:spacing w:line="440" w:lineRule="exact"/>
        <w:ind w:firstLine="420" w:firstLineChars="200"/>
        <w:rPr>
          <w:rFonts w:ascii="宋体" w:hAnsi="宋体"/>
          <w:color w:val="000000"/>
          <w:szCs w:val="21"/>
        </w:rPr>
      </w:pPr>
      <w:r>
        <w:rPr>
          <w:rFonts w:hint="eastAsia" w:ascii="宋体" w:hAnsi="宋体"/>
          <w:color w:val="000000"/>
          <w:szCs w:val="21"/>
        </w:rPr>
        <w:t>（1）</w:t>
      </w:r>
      <w:r>
        <w:rPr>
          <w:rFonts w:hint="eastAsia" w:ascii="宋体" w:hAnsi="宋体"/>
          <w:b/>
          <w:color w:val="000000"/>
          <w:szCs w:val="21"/>
        </w:rPr>
        <w:t>本人自评，最高</w:t>
      </w:r>
      <w:r>
        <w:rPr>
          <w:rFonts w:hint="eastAsia" w:ascii="宋体" w:hAnsi="宋体"/>
          <w:b/>
          <w:szCs w:val="21"/>
        </w:rPr>
        <w:t>40分</w:t>
      </w:r>
      <w:r>
        <w:rPr>
          <w:rFonts w:hint="eastAsia" w:ascii="宋体" w:hAnsi="宋体"/>
          <w:color w:val="000000"/>
          <w:szCs w:val="21"/>
        </w:rPr>
        <w:t>。由研究生本人根据《高等学校学生行为准则》（教育部教学〔2005〕5号）的基本要求，进行自评。</w:t>
      </w:r>
    </w:p>
    <w:p>
      <w:pPr>
        <w:spacing w:line="440" w:lineRule="exact"/>
        <w:ind w:firstLine="420" w:firstLineChars="200"/>
        <w:rPr>
          <w:rFonts w:ascii="宋体" w:hAnsi="宋体"/>
          <w:color w:val="000000"/>
          <w:szCs w:val="21"/>
        </w:rPr>
      </w:pPr>
      <w:r>
        <w:rPr>
          <w:rFonts w:hint="eastAsia" w:ascii="宋体" w:hAnsi="宋体"/>
          <w:color w:val="000000"/>
          <w:szCs w:val="21"/>
        </w:rPr>
        <w:t>（2</w:t>
      </w:r>
      <w:r>
        <w:rPr>
          <w:rFonts w:hint="eastAsia" w:ascii="宋体" w:hAnsi="宋体"/>
          <w:b/>
          <w:szCs w:val="21"/>
        </w:rPr>
        <w:t>）</w:t>
      </w:r>
      <w:r>
        <w:rPr>
          <w:rFonts w:hint="eastAsia" w:ascii="宋体" w:hAnsi="宋体" w:cs="仿宋_GB2312"/>
          <w:b/>
          <w:szCs w:val="21"/>
        </w:rPr>
        <w:t>班级测评</w:t>
      </w:r>
      <w:r>
        <w:rPr>
          <w:rFonts w:hint="eastAsia" w:ascii="宋体" w:hAnsi="宋体"/>
          <w:b/>
          <w:szCs w:val="21"/>
        </w:rPr>
        <w:t>，</w:t>
      </w:r>
      <w:r>
        <w:rPr>
          <w:rFonts w:hint="eastAsia" w:ascii="宋体" w:hAnsi="宋体"/>
          <w:b/>
          <w:color w:val="000000"/>
          <w:szCs w:val="21"/>
        </w:rPr>
        <w:t>最高</w:t>
      </w:r>
      <w:r>
        <w:rPr>
          <w:rFonts w:hint="eastAsia" w:ascii="宋体" w:hAnsi="宋体"/>
          <w:b/>
          <w:szCs w:val="21"/>
        </w:rPr>
        <w:t>40分</w:t>
      </w:r>
      <w:r>
        <w:rPr>
          <w:rFonts w:hint="eastAsia" w:ascii="宋体" w:hAnsi="宋体"/>
          <w:color w:val="000000"/>
          <w:szCs w:val="21"/>
        </w:rPr>
        <w:t>。由班级初评小组依据申请人</w:t>
      </w:r>
      <w:r>
        <w:rPr>
          <w:rFonts w:hint="eastAsia" w:ascii="宋体" w:hAnsi="宋体" w:cs="仿宋_GB2312"/>
          <w:color w:val="000000"/>
          <w:szCs w:val="21"/>
        </w:rPr>
        <w:t>日常思想品德表现、支持参与班级集体活动、支持参与学校及学院公益工作等情况</w:t>
      </w:r>
      <w:r>
        <w:rPr>
          <w:rFonts w:hint="eastAsia" w:ascii="宋体" w:hAnsi="宋体"/>
          <w:color w:val="000000"/>
          <w:szCs w:val="21"/>
        </w:rPr>
        <w:t>，对申报人进行综合评价。</w:t>
      </w:r>
    </w:p>
    <w:p>
      <w:pPr>
        <w:spacing w:line="440" w:lineRule="exact"/>
        <w:ind w:firstLine="420" w:firstLineChars="200"/>
        <w:rPr>
          <w:rFonts w:ascii="宋体" w:hAnsi="宋体"/>
          <w:color w:val="000000"/>
          <w:szCs w:val="21"/>
        </w:rPr>
      </w:pPr>
      <w:r>
        <w:rPr>
          <w:rFonts w:hint="eastAsia" w:ascii="宋体" w:hAnsi="宋体"/>
          <w:color w:val="000000"/>
          <w:szCs w:val="21"/>
        </w:rPr>
        <w:t>（3）</w:t>
      </w:r>
      <w:r>
        <w:rPr>
          <w:rFonts w:hint="eastAsia" w:ascii="宋体" w:hAnsi="宋体" w:cs="仿宋_GB2312"/>
          <w:b/>
          <w:szCs w:val="21"/>
        </w:rPr>
        <w:t>辅导员评价，</w:t>
      </w:r>
      <w:r>
        <w:rPr>
          <w:rFonts w:hint="eastAsia" w:ascii="宋体" w:hAnsi="宋体"/>
          <w:b/>
          <w:color w:val="000000"/>
          <w:szCs w:val="21"/>
        </w:rPr>
        <w:t>最高</w:t>
      </w:r>
      <w:r>
        <w:rPr>
          <w:rFonts w:hint="eastAsia" w:ascii="宋体" w:hAnsi="宋体"/>
          <w:b/>
          <w:szCs w:val="21"/>
        </w:rPr>
        <w:t>20分</w:t>
      </w:r>
      <w:r>
        <w:rPr>
          <w:rFonts w:hint="eastAsia" w:ascii="宋体" w:hAnsi="宋体" w:cs="仿宋_GB2312"/>
          <w:color w:val="000000"/>
          <w:szCs w:val="21"/>
        </w:rPr>
        <w:t>。主要反映研究生在校期间的政治思想素质等综合表现。</w:t>
      </w:r>
    </w:p>
    <w:p>
      <w:pPr>
        <w:spacing w:line="440" w:lineRule="exact"/>
        <w:rPr>
          <w:rFonts w:ascii="宋体" w:hAnsi="宋体"/>
          <w:color w:val="000000"/>
          <w:szCs w:val="21"/>
        </w:rPr>
      </w:pPr>
      <w:r>
        <w:rPr>
          <w:rFonts w:hint="eastAsia" w:ascii="宋体" w:hAnsi="宋体"/>
          <w:color w:val="000000"/>
          <w:szCs w:val="21"/>
        </w:rPr>
        <w:t xml:space="preserve">    （4）个人获得省级表彰的助人为乐、见义勇为、道德标兵等荣誉称号，可加</w:t>
      </w:r>
      <w:r>
        <w:rPr>
          <w:rFonts w:hint="eastAsia" w:ascii="宋体" w:hAnsi="宋体"/>
          <w:b/>
          <w:szCs w:val="21"/>
        </w:rPr>
        <w:t>20分</w:t>
      </w:r>
      <w:r>
        <w:rPr>
          <w:rFonts w:hint="eastAsia" w:ascii="宋体" w:hAnsi="宋体"/>
          <w:color w:val="000000"/>
          <w:szCs w:val="21"/>
        </w:rPr>
        <w:t>；获得校级、市级表彰的助人为乐、见义勇为、道德标兵等荣誉称号，可加</w:t>
      </w:r>
      <w:r>
        <w:rPr>
          <w:rFonts w:hint="eastAsia" w:ascii="宋体" w:hAnsi="宋体"/>
          <w:b/>
          <w:szCs w:val="21"/>
        </w:rPr>
        <w:t>10分</w:t>
      </w:r>
      <w:r>
        <w:rPr>
          <w:rFonts w:hint="eastAsia" w:ascii="宋体" w:hAnsi="宋体"/>
          <w:color w:val="000000"/>
          <w:szCs w:val="21"/>
        </w:rPr>
        <w:t>。学生加分取最高分，不累加。</w:t>
      </w:r>
    </w:p>
    <w:p>
      <w:pPr>
        <w:snapToGrid w:val="0"/>
        <w:spacing w:line="440" w:lineRule="exact"/>
        <w:ind w:firstLine="420" w:firstLineChars="200"/>
        <w:rPr>
          <w:rFonts w:ascii="宋体" w:hAnsi="宋体" w:cs="仿宋_GB2312"/>
          <w:color w:val="000000"/>
          <w:szCs w:val="21"/>
        </w:rPr>
      </w:pPr>
      <w:r>
        <w:rPr>
          <w:rFonts w:hint="eastAsia" w:ascii="宋体" w:hAnsi="宋体"/>
          <w:color w:val="000000"/>
          <w:szCs w:val="21"/>
        </w:rPr>
        <w:t>（5）</w:t>
      </w:r>
      <w:r>
        <w:rPr>
          <w:rFonts w:hint="eastAsia" w:ascii="宋体" w:hAnsi="宋体" w:cs="仿宋_GB2312"/>
          <w:color w:val="000000"/>
          <w:szCs w:val="21"/>
        </w:rPr>
        <w:t>有任何违纪违规行为、不良行为发生，如违反纪律、道德败坏、受到通报批评等，此项得分均为0分。</w:t>
      </w:r>
    </w:p>
    <w:p>
      <w:pPr>
        <w:snapToGrid w:val="0"/>
        <w:spacing w:line="440" w:lineRule="atLeast"/>
        <w:rPr>
          <w:rFonts w:ascii="宋体" w:hAnsi="宋体"/>
          <w:color w:val="000000"/>
          <w:szCs w:val="21"/>
        </w:rPr>
      </w:pPr>
      <w:r>
        <w:rPr>
          <w:rFonts w:hint="eastAsia" w:ascii="黑体" w:hAnsi="黑体" w:eastAsia="黑体"/>
          <w:b/>
          <w:color w:val="000000"/>
          <w:szCs w:val="21"/>
        </w:rPr>
        <w:t xml:space="preserve"> （四）</w:t>
      </w:r>
      <w:r>
        <w:rPr>
          <w:rFonts w:hint="eastAsia" w:ascii="黑体" w:hAnsi="宋体" w:eastAsia="黑体"/>
          <w:b/>
          <w:bCs/>
          <w:color w:val="000000"/>
          <w:sz w:val="24"/>
        </w:rPr>
        <w:t>B课程成绩计分标准</w:t>
      </w:r>
    </w:p>
    <w:p>
      <w:pPr>
        <w:snapToGrid w:val="0"/>
        <w:spacing w:line="440" w:lineRule="atLeast"/>
        <w:ind w:firstLine="420" w:firstLineChars="200"/>
        <w:rPr>
          <w:rFonts w:ascii="宋体" w:hAnsi="宋体"/>
          <w:szCs w:val="21"/>
        </w:rPr>
      </w:pPr>
      <w:r>
        <w:rPr>
          <w:rFonts w:hint="eastAsia" w:ascii="宋体" w:hAnsi="宋体"/>
          <w:szCs w:val="21"/>
        </w:rPr>
        <w:t>1、课程成绩的计算：各门课成绩达到75者，则该门课成绩记为100分；若部分课程成绩未达到75者，则该部分课程成绩记为实际成绩。各科课程成绩均按第一次考试成绩统计。课程成绩的计算方法为：课程成绩=各门课成绩之和/各门课数。</w:t>
      </w:r>
    </w:p>
    <w:p>
      <w:pPr>
        <w:snapToGrid w:val="0"/>
        <w:spacing w:line="440" w:lineRule="atLeast"/>
        <w:ind w:firstLine="420" w:firstLineChars="200"/>
        <w:rPr>
          <w:rFonts w:ascii="宋体" w:hAnsi="宋体"/>
          <w:szCs w:val="21"/>
        </w:rPr>
      </w:pPr>
      <w:r>
        <w:rPr>
          <w:rFonts w:hint="eastAsia" w:ascii="宋体" w:hAnsi="宋体"/>
          <w:szCs w:val="21"/>
        </w:rPr>
        <w:t>2、课程成绩若按优、良、中、及格的等级计分分别相当于90、80、70、60分。</w:t>
      </w:r>
    </w:p>
    <w:p>
      <w:pPr>
        <w:snapToGrid w:val="0"/>
        <w:spacing w:after="312" w:afterLines="100" w:line="440" w:lineRule="atLeast"/>
        <w:ind w:firstLine="420" w:firstLineChars="200"/>
        <w:rPr>
          <w:rFonts w:ascii="黑体" w:hAnsi="宋体" w:eastAsia="黑体"/>
          <w:b/>
          <w:bCs/>
          <w:szCs w:val="21"/>
        </w:rPr>
      </w:pPr>
      <w:r>
        <w:rPr>
          <w:rFonts w:hint="eastAsia" w:ascii="宋体" w:hAnsi="宋体"/>
          <w:szCs w:val="21"/>
        </w:rPr>
        <w:t>3、硕士研究生的中期考核、开题报告成绩纳入课程成绩计算。</w:t>
      </w:r>
    </w:p>
    <w:p>
      <w:pPr>
        <w:snapToGrid w:val="0"/>
        <w:spacing w:line="440" w:lineRule="atLeast"/>
        <w:rPr>
          <w:rFonts w:ascii="黑体" w:hAnsi="宋体" w:eastAsia="黑体"/>
          <w:b/>
          <w:bCs/>
          <w:color w:val="000000"/>
          <w:szCs w:val="21"/>
        </w:rPr>
      </w:pPr>
      <w:r>
        <w:rPr>
          <w:rFonts w:hint="eastAsia" w:ascii="黑体" w:hAnsi="宋体" w:eastAsia="黑体"/>
          <w:b/>
          <w:bCs/>
          <w:color w:val="000000"/>
          <w:szCs w:val="21"/>
        </w:rPr>
        <w:t xml:space="preserve"> （五）</w:t>
      </w:r>
      <w:r>
        <w:rPr>
          <w:rFonts w:hint="eastAsia" w:ascii="黑体" w:hAnsi="宋体" w:eastAsia="黑体"/>
          <w:b/>
          <w:bCs/>
          <w:color w:val="000000"/>
          <w:sz w:val="24"/>
        </w:rPr>
        <w:t>C学术成果与科研工作计分标准</w:t>
      </w:r>
    </w:p>
    <w:p>
      <w:pPr>
        <w:numPr>
          <w:ilvl w:val="0"/>
          <w:numId w:val="3"/>
        </w:numPr>
        <w:snapToGrid w:val="0"/>
        <w:spacing w:before="124" w:beforeLines="40" w:after="280" w:afterLines="90" w:line="440" w:lineRule="atLeast"/>
        <w:rPr>
          <w:rFonts w:ascii="宋体" w:hAnsi="宋体"/>
          <w:b/>
          <w:szCs w:val="21"/>
        </w:rPr>
      </w:pPr>
      <w:r>
        <w:rPr>
          <w:rFonts w:hint="eastAsia" w:ascii="宋体" w:hAnsi="宋体"/>
          <w:b/>
          <w:szCs w:val="21"/>
        </w:rPr>
        <w:t>科研工作成果计分标准</w:t>
      </w:r>
    </w:p>
    <w:tbl>
      <w:tblPr>
        <w:tblStyle w:val="5"/>
        <w:tblW w:w="8326"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218"/>
        <w:gridCol w:w="1217"/>
        <w:gridCol w:w="1217"/>
        <w:gridCol w:w="1217"/>
        <w:gridCol w:w="345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01" w:hRule="atLeast"/>
        </w:trPr>
        <w:tc>
          <w:tcPr>
            <w:tcW w:w="1218" w:type="dxa"/>
            <w:vAlign w:val="center"/>
          </w:tcPr>
          <w:p>
            <w:pPr>
              <w:autoSpaceDE w:val="0"/>
              <w:autoSpaceDN w:val="0"/>
              <w:jc w:val="center"/>
              <w:rPr>
                <w:rFonts w:ascii="宋体" w:hAnsi="宋体"/>
                <w:kern w:val="0"/>
                <w:szCs w:val="21"/>
              </w:rPr>
            </w:pPr>
            <w:r>
              <w:rPr>
                <w:rFonts w:hint="eastAsia" w:ascii="宋体" w:hAnsi="宋体" w:cs="宋体"/>
                <w:kern w:val="0"/>
                <w:szCs w:val="21"/>
              </w:rPr>
              <w:t>获奖级别</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获奖等级</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作者排序</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作者得分</w:t>
            </w:r>
          </w:p>
        </w:tc>
        <w:tc>
          <w:tcPr>
            <w:tcW w:w="3457" w:type="dxa"/>
            <w:vAlign w:val="center"/>
          </w:tcPr>
          <w:p>
            <w:pPr>
              <w:autoSpaceDE w:val="0"/>
              <w:autoSpaceDN w:val="0"/>
              <w:jc w:val="center"/>
              <w:rPr>
                <w:rFonts w:ascii="宋体" w:hAnsi="宋体" w:cs="宋体"/>
                <w:kern w:val="0"/>
                <w:szCs w:val="21"/>
              </w:rPr>
            </w:pPr>
            <w:r>
              <w:rPr>
                <w:rFonts w:hint="eastAsia" w:ascii="宋体" w:hAnsi="宋体" w:cs="宋体"/>
                <w:kern w:val="0"/>
                <w:szCs w:val="21"/>
              </w:rPr>
              <w:t>备  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restart"/>
            <w:vAlign w:val="center"/>
          </w:tcPr>
          <w:p>
            <w:pPr>
              <w:autoSpaceDE w:val="0"/>
              <w:autoSpaceDN w:val="0"/>
              <w:jc w:val="center"/>
              <w:rPr>
                <w:rFonts w:ascii="宋体" w:hAnsi="宋体" w:cs="宋体"/>
                <w:kern w:val="0"/>
                <w:szCs w:val="21"/>
              </w:rPr>
            </w:pPr>
            <w:r>
              <w:rPr>
                <w:rFonts w:hint="eastAsia" w:ascii="宋体" w:hAnsi="宋体" w:cs="宋体"/>
                <w:kern w:val="0"/>
                <w:szCs w:val="21"/>
              </w:rPr>
              <w:t>省部级</w:t>
            </w:r>
          </w:p>
          <w:p>
            <w:pPr>
              <w:autoSpaceDE w:val="0"/>
              <w:autoSpaceDN w:val="0"/>
              <w:jc w:val="center"/>
              <w:rPr>
                <w:rFonts w:ascii="宋体" w:hAnsi="宋体" w:cs="宋体"/>
                <w:kern w:val="0"/>
                <w:szCs w:val="21"/>
              </w:rPr>
            </w:pPr>
            <w:r>
              <w:rPr>
                <w:rFonts w:hint="eastAsia" w:ascii="宋体" w:hAnsi="宋体" w:cs="宋体"/>
                <w:kern w:val="0"/>
                <w:szCs w:val="21"/>
              </w:rPr>
              <w:t>科研成果</w:t>
            </w:r>
          </w:p>
        </w:tc>
        <w:tc>
          <w:tcPr>
            <w:tcW w:w="1217" w:type="dxa"/>
            <w:vMerge w:val="restart"/>
            <w:vAlign w:val="center"/>
          </w:tcPr>
          <w:p>
            <w:pPr>
              <w:autoSpaceDE w:val="0"/>
              <w:autoSpaceDN w:val="0"/>
              <w:jc w:val="center"/>
              <w:rPr>
                <w:rFonts w:ascii="宋体" w:hAnsi="宋体"/>
                <w:kern w:val="0"/>
                <w:szCs w:val="21"/>
              </w:rPr>
            </w:pPr>
            <w:r>
              <w:rPr>
                <w:rFonts w:hint="eastAsia" w:ascii="宋体" w:hAnsi="宋体"/>
                <w:kern w:val="0"/>
                <w:szCs w:val="21"/>
              </w:rPr>
              <w:t>一</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3457" w:type="dxa"/>
            <w:vMerge w:val="restart"/>
            <w:vAlign w:val="center"/>
          </w:tcPr>
          <w:p>
            <w:pPr>
              <w:autoSpaceDE w:val="0"/>
              <w:autoSpaceDN w:val="0"/>
              <w:rPr>
                <w:rFonts w:ascii="宋体" w:hAnsi="宋体" w:cs="宋体"/>
                <w:kern w:val="0"/>
                <w:szCs w:val="21"/>
              </w:rPr>
            </w:pPr>
            <w:r>
              <w:rPr>
                <w:rFonts w:hint="eastAsia" w:ascii="宋体" w:hAnsi="宋体" w:cs="宋体"/>
                <w:kern w:val="0"/>
                <w:szCs w:val="21"/>
              </w:rPr>
              <w:t xml:space="preserve"> 1.省部级科研成果指由省部评定公</w:t>
            </w:r>
          </w:p>
          <w:p>
            <w:pPr>
              <w:autoSpaceDE w:val="0"/>
              <w:autoSpaceDN w:val="0"/>
              <w:rPr>
                <w:rFonts w:ascii="宋体" w:hAnsi="宋体" w:cs="宋体"/>
                <w:kern w:val="0"/>
                <w:szCs w:val="21"/>
              </w:rPr>
            </w:pPr>
            <w:r>
              <w:rPr>
                <w:rFonts w:hint="eastAsia" w:ascii="宋体" w:hAnsi="宋体" w:cs="宋体"/>
                <w:kern w:val="0"/>
                <w:szCs w:val="21"/>
              </w:rPr>
              <w:t xml:space="preserve"> 布的获奖科研成果；</w:t>
            </w:r>
          </w:p>
          <w:p>
            <w:pPr>
              <w:autoSpaceDE w:val="0"/>
              <w:autoSpaceDN w:val="0"/>
              <w:rPr>
                <w:rFonts w:ascii="宋体" w:hAnsi="宋体" w:cs="宋体"/>
                <w:kern w:val="0"/>
                <w:szCs w:val="21"/>
              </w:rPr>
            </w:pPr>
            <w:r>
              <w:rPr>
                <w:rFonts w:hint="eastAsia" w:ascii="宋体" w:hAnsi="宋体" w:cs="宋体"/>
                <w:kern w:val="0"/>
                <w:szCs w:val="21"/>
              </w:rPr>
              <w:t xml:space="preserve"> 2.校市级科研成果指由校市评定公</w:t>
            </w:r>
          </w:p>
          <w:p>
            <w:pPr>
              <w:autoSpaceDE w:val="0"/>
              <w:autoSpaceDN w:val="0"/>
              <w:rPr>
                <w:rFonts w:ascii="宋体" w:hAnsi="宋体" w:cs="宋体"/>
                <w:kern w:val="0"/>
                <w:szCs w:val="21"/>
              </w:rPr>
            </w:pPr>
            <w:r>
              <w:rPr>
                <w:rFonts w:hint="eastAsia" w:ascii="宋体" w:hAnsi="宋体" w:cs="宋体"/>
                <w:kern w:val="0"/>
                <w:szCs w:val="21"/>
              </w:rPr>
              <w:t xml:space="preserve"> 布的获奖科研成果；</w:t>
            </w:r>
          </w:p>
          <w:p>
            <w:pPr>
              <w:autoSpaceDE w:val="0"/>
              <w:autoSpaceDN w:val="0"/>
              <w:rPr>
                <w:rFonts w:ascii="宋体" w:hAnsi="宋体" w:cs="宋体"/>
                <w:kern w:val="0"/>
                <w:szCs w:val="21"/>
              </w:rPr>
            </w:pPr>
            <w:r>
              <w:rPr>
                <w:rFonts w:hint="eastAsia" w:ascii="宋体" w:hAnsi="宋体" w:cs="宋体"/>
                <w:kern w:val="0"/>
                <w:szCs w:val="21"/>
              </w:rPr>
              <w:t xml:space="preserve"> 3.同一科研成果获不同级别奖励，得</w:t>
            </w:r>
          </w:p>
          <w:p>
            <w:pPr>
              <w:autoSpaceDE w:val="0"/>
              <w:autoSpaceDN w:val="0"/>
              <w:rPr>
                <w:rFonts w:ascii="宋体" w:hAnsi="宋体" w:cs="宋体"/>
                <w:kern w:val="0"/>
                <w:szCs w:val="21"/>
              </w:rPr>
            </w:pPr>
            <w:r>
              <w:rPr>
                <w:rFonts w:hint="eastAsia" w:ascii="宋体" w:hAnsi="宋体" w:cs="宋体"/>
                <w:kern w:val="0"/>
                <w:szCs w:val="21"/>
              </w:rPr>
              <w:t xml:space="preserve"> 分取最高分计，不累加；</w:t>
            </w:r>
          </w:p>
          <w:p>
            <w:pPr>
              <w:autoSpaceDE w:val="0"/>
              <w:autoSpaceDN w:val="0"/>
              <w:rPr>
                <w:rFonts w:ascii="宋体" w:hAnsi="宋体" w:cs="宋体"/>
                <w:kern w:val="0"/>
                <w:szCs w:val="21"/>
              </w:rPr>
            </w:pPr>
            <w:r>
              <w:rPr>
                <w:rFonts w:hint="eastAsia" w:ascii="宋体" w:hAnsi="宋体" w:cs="宋体"/>
                <w:kern w:val="0"/>
                <w:szCs w:val="21"/>
              </w:rPr>
              <w:t xml:space="preserve"> 4.若该科研成果只有一位完成人，则</w:t>
            </w:r>
          </w:p>
          <w:p>
            <w:pPr>
              <w:autoSpaceDE w:val="0"/>
              <w:autoSpaceDN w:val="0"/>
              <w:rPr>
                <w:rFonts w:ascii="宋体" w:hAnsi="宋体" w:cs="宋体"/>
                <w:kern w:val="0"/>
                <w:szCs w:val="21"/>
              </w:rPr>
            </w:pPr>
            <w:r>
              <w:rPr>
                <w:rFonts w:hint="eastAsia" w:ascii="宋体" w:hAnsi="宋体" w:cs="宋体"/>
                <w:kern w:val="0"/>
                <w:szCs w:val="21"/>
              </w:rPr>
              <w:t xml:space="preserve"> 享受该成果第一完成人得分；</w:t>
            </w:r>
          </w:p>
          <w:p>
            <w:pPr>
              <w:autoSpaceDE w:val="0"/>
              <w:autoSpaceDN w:val="0"/>
              <w:rPr>
                <w:rFonts w:ascii="宋体" w:hAnsi="宋体" w:cs="宋体"/>
                <w:kern w:val="0"/>
                <w:szCs w:val="21"/>
              </w:rPr>
            </w:pPr>
            <w:r>
              <w:rPr>
                <w:rFonts w:hint="eastAsia" w:ascii="宋体" w:hAnsi="宋体" w:cs="宋体"/>
                <w:kern w:val="0"/>
                <w:szCs w:val="21"/>
              </w:rPr>
              <w:t xml:space="preserve"> 5.若该科研成果获奖后，又在刊物报</w:t>
            </w:r>
          </w:p>
          <w:p>
            <w:pPr>
              <w:autoSpaceDE w:val="0"/>
              <w:autoSpaceDN w:val="0"/>
              <w:rPr>
                <w:rFonts w:ascii="宋体" w:hAnsi="宋体" w:cs="宋体"/>
                <w:kern w:val="0"/>
                <w:szCs w:val="21"/>
              </w:rPr>
            </w:pPr>
            <w:r>
              <w:rPr>
                <w:rFonts w:hint="eastAsia" w:ascii="宋体" w:hAnsi="宋体" w:cs="宋体"/>
                <w:kern w:val="0"/>
                <w:szCs w:val="21"/>
              </w:rPr>
              <w:t xml:space="preserve"> 纸等发表者，得分取最高分计，不累</w:t>
            </w:r>
          </w:p>
          <w:p>
            <w:pPr>
              <w:autoSpaceDE w:val="0"/>
              <w:autoSpaceDN w:val="0"/>
              <w:rPr>
                <w:rFonts w:ascii="宋体" w:hAnsi="宋体" w:cs="宋体"/>
                <w:kern w:val="0"/>
                <w:szCs w:val="21"/>
              </w:rPr>
            </w:pPr>
            <w:r>
              <w:rPr>
                <w:rFonts w:hint="eastAsia" w:ascii="宋体" w:hAnsi="宋体" w:cs="宋体"/>
                <w:kern w:val="0"/>
                <w:szCs w:val="21"/>
              </w:rPr>
              <w:t xml:space="preserve"> 加；</w:t>
            </w:r>
          </w:p>
          <w:p>
            <w:pPr>
              <w:autoSpaceDE w:val="0"/>
              <w:autoSpaceDN w:val="0"/>
              <w:rPr>
                <w:rFonts w:ascii="宋体" w:hAnsi="宋体" w:cs="宋体"/>
                <w:kern w:val="0"/>
                <w:szCs w:val="21"/>
              </w:rPr>
            </w:pPr>
            <w:r>
              <w:rPr>
                <w:rFonts w:hint="eastAsia" w:ascii="宋体" w:hAnsi="宋体" w:cs="宋体"/>
                <w:kern w:val="0"/>
                <w:szCs w:val="21"/>
              </w:rPr>
              <w:t xml:space="preserve"> 6.完成人排名在5名之后将不计分。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2—3</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35</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restart"/>
            <w:vAlign w:val="center"/>
          </w:tcPr>
          <w:p>
            <w:pPr>
              <w:jc w:val="center"/>
              <w:rPr>
                <w:rFonts w:ascii="宋体" w:hAnsi="宋体"/>
                <w:szCs w:val="21"/>
              </w:rPr>
            </w:pPr>
            <w:r>
              <w:rPr>
                <w:rFonts w:hint="eastAsia" w:ascii="宋体" w:hAnsi="宋体"/>
                <w:szCs w:val="21"/>
              </w:rPr>
              <w:t>二</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2—3</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35</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30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restart"/>
            <w:vAlign w:val="center"/>
          </w:tcPr>
          <w:p>
            <w:pPr>
              <w:autoSpaceDE w:val="0"/>
              <w:autoSpaceDN w:val="0"/>
              <w:jc w:val="center"/>
              <w:rPr>
                <w:rFonts w:ascii="宋体" w:hAnsi="宋体"/>
                <w:kern w:val="0"/>
                <w:szCs w:val="21"/>
              </w:rPr>
            </w:pPr>
            <w:r>
              <w:rPr>
                <w:rFonts w:hint="eastAsia" w:ascii="宋体" w:hAnsi="宋体"/>
                <w:kern w:val="0"/>
                <w:szCs w:val="21"/>
              </w:rPr>
              <w:t>三</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30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2—3</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25</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restart"/>
            <w:vAlign w:val="center"/>
          </w:tcPr>
          <w:p>
            <w:pPr>
              <w:autoSpaceDE w:val="0"/>
              <w:autoSpaceDN w:val="0"/>
              <w:jc w:val="center"/>
              <w:rPr>
                <w:rFonts w:ascii="宋体" w:hAnsi="宋体" w:cs="宋体"/>
                <w:kern w:val="0"/>
                <w:szCs w:val="21"/>
              </w:rPr>
            </w:pPr>
            <w:r>
              <w:rPr>
                <w:rFonts w:hint="eastAsia" w:ascii="宋体" w:hAnsi="宋体" w:cs="宋体"/>
                <w:kern w:val="0"/>
                <w:szCs w:val="21"/>
              </w:rPr>
              <w:t>校市级</w:t>
            </w:r>
          </w:p>
          <w:p>
            <w:pPr>
              <w:autoSpaceDE w:val="0"/>
              <w:autoSpaceDN w:val="0"/>
              <w:jc w:val="center"/>
              <w:rPr>
                <w:rFonts w:ascii="宋体" w:hAnsi="宋体" w:cs="宋体"/>
                <w:kern w:val="0"/>
                <w:szCs w:val="21"/>
              </w:rPr>
            </w:pPr>
            <w:r>
              <w:rPr>
                <w:rFonts w:hint="eastAsia" w:ascii="宋体" w:hAnsi="宋体" w:cs="宋体"/>
                <w:kern w:val="0"/>
                <w:szCs w:val="21"/>
              </w:rPr>
              <w:t>科研成果</w:t>
            </w:r>
          </w:p>
        </w:tc>
        <w:tc>
          <w:tcPr>
            <w:tcW w:w="1217" w:type="dxa"/>
            <w:vMerge w:val="restart"/>
            <w:vAlign w:val="center"/>
          </w:tcPr>
          <w:p>
            <w:pPr>
              <w:autoSpaceDE w:val="0"/>
              <w:autoSpaceDN w:val="0"/>
              <w:jc w:val="center"/>
              <w:rPr>
                <w:rFonts w:ascii="宋体" w:hAnsi="宋体"/>
                <w:kern w:val="0"/>
                <w:szCs w:val="21"/>
              </w:rPr>
            </w:pPr>
            <w:r>
              <w:rPr>
                <w:rFonts w:hint="eastAsia" w:ascii="宋体" w:hAnsi="宋体"/>
                <w:kern w:val="0"/>
                <w:szCs w:val="21"/>
              </w:rPr>
              <w:t>一</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25</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2—3</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15</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restart"/>
            <w:vAlign w:val="center"/>
          </w:tcPr>
          <w:p>
            <w:pPr>
              <w:jc w:val="center"/>
              <w:rPr>
                <w:rFonts w:ascii="宋体" w:hAnsi="宋体"/>
                <w:szCs w:val="21"/>
              </w:rPr>
            </w:pPr>
            <w:r>
              <w:rPr>
                <w:rFonts w:hint="eastAsia" w:ascii="宋体" w:hAnsi="宋体"/>
                <w:szCs w:val="21"/>
              </w:rPr>
              <w:t>二</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2—3</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15</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restart"/>
            <w:vAlign w:val="center"/>
          </w:tcPr>
          <w:p>
            <w:pPr>
              <w:autoSpaceDE w:val="0"/>
              <w:autoSpaceDN w:val="0"/>
              <w:jc w:val="center"/>
              <w:rPr>
                <w:rFonts w:ascii="宋体" w:hAnsi="宋体"/>
                <w:kern w:val="0"/>
                <w:szCs w:val="21"/>
              </w:rPr>
            </w:pPr>
            <w:r>
              <w:rPr>
                <w:rFonts w:hint="eastAsia" w:ascii="宋体" w:hAnsi="宋体"/>
                <w:kern w:val="0"/>
                <w:szCs w:val="21"/>
              </w:rPr>
              <w:t>三</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10</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2—3</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8</w:t>
            </w:r>
          </w:p>
        </w:tc>
        <w:tc>
          <w:tcPr>
            <w:tcW w:w="3457" w:type="dxa"/>
            <w:vMerge w:val="continue"/>
            <w:vAlign w:val="center"/>
          </w:tcPr>
          <w:p>
            <w:pPr>
              <w:widowControl/>
              <w:jc w:val="left"/>
              <w:rPr>
                <w:rFonts w:ascii="宋体" w:hAnsi="宋体"/>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0" w:hRule="atLeast"/>
        </w:trPr>
        <w:tc>
          <w:tcPr>
            <w:tcW w:w="1218" w:type="dxa"/>
            <w:vMerge w:val="continue"/>
            <w:vAlign w:val="center"/>
          </w:tcPr>
          <w:p>
            <w:pPr>
              <w:widowControl/>
              <w:jc w:val="center"/>
              <w:rPr>
                <w:rFonts w:ascii="宋体" w:hAnsi="宋体"/>
                <w:kern w:val="0"/>
                <w:szCs w:val="21"/>
              </w:rPr>
            </w:pPr>
          </w:p>
        </w:tc>
        <w:tc>
          <w:tcPr>
            <w:tcW w:w="1217" w:type="dxa"/>
            <w:vMerge w:val="continue"/>
            <w:vAlign w:val="center"/>
          </w:tcPr>
          <w:p>
            <w:pPr>
              <w:widowControl/>
              <w:jc w:val="center"/>
              <w:rPr>
                <w:rFonts w:ascii="宋体" w:hAnsi="宋体"/>
                <w:kern w:val="0"/>
                <w:szCs w:val="21"/>
              </w:rPr>
            </w:pP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4—5</w:t>
            </w:r>
          </w:p>
        </w:tc>
        <w:tc>
          <w:tcPr>
            <w:tcW w:w="1217" w:type="dxa"/>
            <w:vAlign w:val="center"/>
          </w:tcPr>
          <w:p>
            <w:pPr>
              <w:autoSpaceDE w:val="0"/>
              <w:autoSpaceDN w:val="0"/>
              <w:jc w:val="center"/>
              <w:rPr>
                <w:rFonts w:ascii="宋体" w:hAnsi="宋体" w:cs="宋体"/>
                <w:kern w:val="0"/>
                <w:szCs w:val="21"/>
              </w:rPr>
            </w:pPr>
            <w:r>
              <w:rPr>
                <w:rFonts w:hint="eastAsia" w:ascii="宋体" w:hAnsi="宋体" w:cs="宋体"/>
                <w:kern w:val="0"/>
                <w:szCs w:val="21"/>
              </w:rPr>
              <w:t>5</w:t>
            </w:r>
          </w:p>
        </w:tc>
        <w:tc>
          <w:tcPr>
            <w:tcW w:w="3457" w:type="dxa"/>
            <w:vMerge w:val="continue"/>
            <w:vAlign w:val="center"/>
          </w:tcPr>
          <w:p>
            <w:pPr>
              <w:widowControl/>
              <w:jc w:val="left"/>
              <w:rPr>
                <w:rFonts w:ascii="宋体" w:hAnsi="宋体"/>
                <w:kern w:val="0"/>
                <w:szCs w:val="21"/>
              </w:rPr>
            </w:pPr>
          </w:p>
        </w:tc>
      </w:tr>
    </w:tbl>
    <w:p>
      <w:pPr>
        <w:numPr>
          <w:ilvl w:val="0"/>
          <w:numId w:val="3"/>
        </w:numPr>
        <w:snapToGrid w:val="0"/>
        <w:spacing w:before="124" w:beforeLines="40" w:after="280" w:afterLines="90" w:line="440" w:lineRule="atLeast"/>
        <w:rPr>
          <w:rFonts w:ascii="宋体" w:hAnsi="宋体"/>
          <w:b/>
          <w:szCs w:val="21"/>
        </w:rPr>
      </w:pPr>
      <w:r>
        <w:rPr>
          <w:rFonts w:hint="eastAsia" w:ascii="宋体" w:hAnsi="宋体"/>
          <w:b/>
          <w:szCs w:val="21"/>
        </w:rPr>
        <w:t>科研论文与专利计分标准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481"/>
        <w:gridCol w:w="883"/>
        <w:gridCol w:w="3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277" w:type="dxa"/>
            <w:vAlign w:val="center"/>
          </w:tcPr>
          <w:p>
            <w:pPr>
              <w:autoSpaceDE w:val="0"/>
              <w:autoSpaceDN w:val="0"/>
              <w:adjustRightInd w:val="0"/>
              <w:jc w:val="center"/>
              <w:rPr>
                <w:rFonts w:ascii="宋体" w:hAnsi="宋体"/>
                <w:kern w:val="0"/>
                <w:szCs w:val="21"/>
              </w:rPr>
            </w:pPr>
            <w:r>
              <w:rPr>
                <w:rFonts w:hint="eastAsia" w:ascii="宋体" w:hAnsi="宋体" w:cs="宋体"/>
                <w:kern w:val="0"/>
                <w:szCs w:val="21"/>
              </w:rPr>
              <w:t>类别</w:t>
            </w:r>
          </w:p>
        </w:tc>
        <w:tc>
          <w:tcPr>
            <w:tcW w:w="2481" w:type="dxa"/>
            <w:vAlign w:val="center"/>
          </w:tcPr>
          <w:p>
            <w:pPr>
              <w:autoSpaceDE w:val="0"/>
              <w:autoSpaceDN w:val="0"/>
              <w:adjustRightInd w:val="0"/>
              <w:jc w:val="center"/>
              <w:rPr>
                <w:szCs w:val="21"/>
              </w:rPr>
            </w:pPr>
            <w:r>
              <w:rPr>
                <w:rFonts w:hint="eastAsia" w:ascii="宋体" w:hAnsi="宋体" w:cs="宋体"/>
                <w:kern w:val="0"/>
                <w:szCs w:val="21"/>
              </w:rPr>
              <w:t>项  目</w:t>
            </w:r>
          </w:p>
        </w:tc>
        <w:tc>
          <w:tcPr>
            <w:tcW w:w="883" w:type="dxa"/>
            <w:vAlign w:val="center"/>
          </w:tcPr>
          <w:p>
            <w:pPr>
              <w:autoSpaceDE w:val="0"/>
              <w:autoSpaceDN w:val="0"/>
              <w:adjustRightInd w:val="0"/>
              <w:jc w:val="center"/>
              <w:rPr>
                <w:rFonts w:ascii="宋体" w:hAnsi="宋体"/>
                <w:kern w:val="0"/>
                <w:szCs w:val="21"/>
              </w:rPr>
            </w:pPr>
            <w:r>
              <w:rPr>
                <w:rFonts w:hint="eastAsia" w:ascii="宋体" w:hAnsi="宋体" w:cs="宋体"/>
                <w:kern w:val="0"/>
                <w:szCs w:val="21"/>
              </w:rPr>
              <w:t>得分</w:t>
            </w:r>
          </w:p>
        </w:tc>
        <w:tc>
          <w:tcPr>
            <w:tcW w:w="3881" w:type="dxa"/>
            <w:vAlign w:val="center"/>
          </w:tcPr>
          <w:p>
            <w:pPr>
              <w:autoSpaceDE w:val="0"/>
              <w:autoSpaceDN w:val="0"/>
              <w:adjustRightInd w:val="0"/>
              <w:jc w:val="center"/>
              <w:rPr>
                <w:rFonts w:ascii="宋体" w:hAnsi="宋体"/>
                <w:kern w:val="0"/>
                <w:szCs w:val="21"/>
              </w:rPr>
            </w:pPr>
            <w:r>
              <w:rPr>
                <w:rFonts w:hint="eastAsia" w:ascii="宋体" w:hAnsi="宋体"/>
                <w:kern w:val="0"/>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1277" w:type="dxa"/>
            <w:vMerge w:val="restart"/>
            <w:vAlign w:val="center"/>
          </w:tcPr>
          <w:p>
            <w:pPr>
              <w:autoSpaceDE w:val="0"/>
              <w:autoSpaceDN w:val="0"/>
              <w:adjustRightInd w:val="0"/>
              <w:jc w:val="center"/>
              <w:rPr>
                <w:rFonts w:ascii="宋体" w:hAnsi="宋体" w:cs="宋体"/>
                <w:kern w:val="0"/>
                <w:szCs w:val="21"/>
              </w:rPr>
            </w:pPr>
          </w:p>
          <w:p>
            <w:pPr>
              <w:autoSpaceDE w:val="0"/>
              <w:autoSpaceDN w:val="0"/>
              <w:jc w:val="center"/>
              <w:rPr>
                <w:rFonts w:ascii="宋体" w:hAnsi="宋体" w:cs="宋体"/>
                <w:kern w:val="0"/>
                <w:szCs w:val="21"/>
              </w:rPr>
            </w:pPr>
            <w:r>
              <w:rPr>
                <w:rFonts w:hint="eastAsia" w:ascii="宋体" w:hAnsi="宋体" w:cs="宋体"/>
                <w:kern w:val="0"/>
                <w:szCs w:val="21"/>
              </w:rPr>
              <w:t>论文</w:t>
            </w:r>
          </w:p>
        </w:tc>
        <w:tc>
          <w:tcPr>
            <w:tcW w:w="2481" w:type="dxa"/>
            <w:vAlign w:val="center"/>
          </w:tcPr>
          <w:p>
            <w:pPr>
              <w:autoSpaceDE w:val="0"/>
              <w:autoSpaceDN w:val="0"/>
              <w:adjustRightInd w:val="0"/>
              <w:jc w:val="center"/>
              <w:rPr>
                <w:szCs w:val="21"/>
              </w:rPr>
            </w:pPr>
            <w:r>
              <w:rPr>
                <w:rFonts w:hint="eastAsia" w:ascii="宋体" w:hAnsi="宋体" w:cs="宋体"/>
                <w:kern w:val="0"/>
                <w:szCs w:val="21"/>
              </w:rPr>
              <w:t>A类会议长文，IEEE/ACM汇刊论文，</w:t>
            </w:r>
            <w:r>
              <w:rPr>
                <w:rFonts w:ascii="宋体" w:hAnsi="宋体" w:cs="宋体"/>
                <w:kern w:val="0"/>
                <w:szCs w:val="21"/>
              </w:rPr>
              <w:t>CCF A</w:t>
            </w:r>
            <w:r>
              <w:rPr>
                <w:rFonts w:hint="eastAsia" w:ascii="宋体" w:hAnsi="宋体" w:cs="宋体"/>
                <w:kern w:val="0"/>
                <w:szCs w:val="21"/>
              </w:rPr>
              <w:t>类期刊论文</w:t>
            </w:r>
          </w:p>
        </w:tc>
        <w:tc>
          <w:tcPr>
            <w:tcW w:w="883" w:type="dxa"/>
            <w:vAlign w:val="center"/>
          </w:tcPr>
          <w:p>
            <w:pPr>
              <w:autoSpaceDE w:val="0"/>
              <w:autoSpaceDN w:val="0"/>
              <w:adjustRightInd w:val="0"/>
              <w:jc w:val="center"/>
              <w:rPr>
                <w:rFonts w:ascii="宋体" w:hAnsi="宋体" w:cs="宋体"/>
                <w:kern w:val="0"/>
                <w:szCs w:val="21"/>
              </w:rPr>
            </w:pPr>
            <w:r>
              <w:rPr>
                <w:rFonts w:hint="eastAsia" w:ascii="宋体" w:hAnsi="宋体" w:cs="宋体"/>
                <w:kern w:val="0"/>
                <w:szCs w:val="21"/>
              </w:rPr>
              <w:t>50分</w:t>
            </w:r>
          </w:p>
        </w:tc>
        <w:tc>
          <w:tcPr>
            <w:tcW w:w="3881" w:type="dxa"/>
            <w:vMerge w:val="restart"/>
          </w:tcPr>
          <w:p>
            <w:pPr>
              <w:autoSpaceDE w:val="0"/>
              <w:autoSpaceDN w:val="0"/>
              <w:rPr>
                <w:rFonts w:ascii="宋体" w:hAnsi="宋体" w:cs="宋体"/>
                <w:kern w:val="0"/>
                <w:szCs w:val="21"/>
              </w:rPr>
            </w:pPr>
            <w:r>
              <w:rPr>
                <w:rFonts w:hint="eastAsia" w:ascii="宋体" w:hAnsi="宋体" w:cs="宋体"/>
                <w:kern w:val="0"/>
                <w:szCs w:val="21"/>
              </w:rPr>
              <w:t>1.同一项工作发表的论文被会议和期刊同时收录，以最高级别刊物加分，不累加；</w:t>
            </w:r>
            <w:r>
              <w:rPr>
                <w:rFonts w:ascii="宋体" w:hAnsi="宋体" w:cs="宋体"/>
                <w:kern w:val="0"/>
                <w:szCs w:val="21"/>
              </w:rPr>
              <w:t xml:space="preserve"> </w:t>
            </w:r>
          </w:p>
          <w:p>
            <w:pPr>
              <w:autoSpaceDE w:val="0"/>
              <w:autoSpaceDN w:val="0"/>
              <w:rPr>
                <w:rFonts w:ascii="宋体" w:hAnsi="宋体" w:cs="宋体"/>
                <w:kern w:val="0"/>
                <w:szCs w:val="21"/>
              </w:rPr>
            </w:pPr>
            <w:r>
              <w:rPr>
                <w:rFonts w:hint="eastAsia" w:ascii="宋体" w:hAnsi="宋体" w:cs="宋体"/>
                <w:kern w:val="0"/>
                <w:szCs w:val="21"/>
              </w:rPr>
              <w:t>2.不同级别的不同论文按篇数累计加分；</w:t>
            </w:r>
          </w:p>
          <w:p>
            <w:pPr>
              <w:autoSpaceDE w:val="0"/>
              <w:autoSpaceDN w:val="0"/>
              <w:rPr>
                <w:rFonts w:ascii="宋体" w:hAnsi="宋体" w:cs="宋体"/>
                <w:kern w:val="0"/>
                <w:szCs w:val="21"/>
              </w:rPr>
            </w:pPr>
            <w:r>
              <w:rPr>
                <w:rFonts w:hint="eastAsia" w:ascii="宋体" w:hAnsi="宋体" w:cs="宋体"/>
                <w:kern w:val="0"/>
                <w:szCs w:val="21"/>
              </w:rPr>
              <w:t>3.刊物级别以校学术委员会确定的刊物级别为准；</w:t>
            </w:r>
          </w:p>
          <w:p>
            <w:pPr>
              <w:autoSpaceDE w:val="0"/>
              <w:autoSpaceDN w:val="0"/>
              <w:rPr>
                <w:rFonts w:ascii="宋体" w:hAnsi="宋体" w:cs="宋体"/>
                <w:kern w:val="0"/>
                <w:szCs w:val="21"/>
              </w:rPr>
            </w:pPr>
            <w:r>
              <w:rPr>
                <w:rFonts w:hint="eastAsia" w:ascii="宋体" w:hAnsi="宋体" w:cs="宋体"/>
                <w:kern w:val="0"/>
                <w:szCs w:val="21"/>
              </w:rPr>
              <w:t>4.论文、专利作者只认定第一作者，若研究生为第二作者，其导师为第一作者，视研究生为第一作者；其他排名作者不能分享该论文、专利得分；</w:t>
            </w:r>
          </w:p>
          <w:p>
            <w:pPr>
              <w:autoSpaceDE w:val="0"/>
              <w:autoSpaceDN w:val="0"/>
              <w:rPr>
                <w:rFonts w:ascii="宋体" w:hAnsi="宋体" w:cs="宋体"/>
                <w:kern w:val="0"/>
                <w:szCs w:val="21"/>
              </w:rPr>
            </w:pPr>
            <w:r>
              <w:rPr>
                <w:rFonts w:hint="eastAsia" w:ascii="宋体" w:hAnsi="宋体" w:cs="宋体"/>
                <w:kern w:val="0"/>
                <w:szCs w:val="21"/>
              </w:rPr>
              <w:t xml:space="preserve">5.所有论文或著作加分均应有收录该论文的纸质版原件证实，或付有版面费收据并经导师签字证明的论文录用函。 </w:t>
            </w:r>
          </w:p>
          <w:p>
            <w:pPr>
              <w:autoSpaceDE w:val="0"/>
              <w:autoSpaceDN w:val="0"/>
              <w:rPr>
                <w:rFonts w:ascii="宋体" w:hAnsi="宋体" w:cs="宋体"/>
                <w:kern w:val="0"/>
                <w:szCs w:val="21"/>
              </w:rPr>
            </w:pPr>
            <w:r>
              <w:rPr>
                <w:rFonts w:hint="eastAsia" w:ascii="宋体" w:hAnsi="宋体" w:cs="宋体"/>
                <w:kern w:val="0"/>
                <w:szCs w:val="21"/>
              </w:rPr>
              <w:t>6.国际会议的分类认定标准参照清华大学、北京邮电大学制定的标准执行。</w:t>
            </w:r>
          </w:p>
          <w:p>
            <w:pPr>
              <w:autoSpaceDE w:val="0"/>
              <w:autoSpaceDN w:val="0"/>
              <w:rPr>
                <w:rFonts w:ascii="宋体" w:hAnsi="宋体" w:cs="宋体"/>
                <w:kern w:val="0"/>
                <w:szCs w:val="21"/>
              </w:rPr>
            </w:pPr>
            <w:r>
              <w:rPr>
                <w:rFonts w:hint="eastAsia" w:ascii="宋体" w:hAnsi="宋体" w:cs="宋体"/>
                <w:kern w:val="0"/>
                <w:szCs w:val="21"/>
              </w:rPr>
              <w:t>7.多项软著只记一项；多项实用新型专利只记一项。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277" w:type="dxa"/>
            <w:vMerge w:val="continue"/>
            <w:vAlign w:val="center"/>
          </w:tcPr>
          <w:p>
            <w:pPr>
              <w:autoSpaceDE w:val="0"/>
              <w:autoSpaceDN w:val="0"/>
              <w:jc w:val="center"/>
              <w:rPr>
                <w:rFonts w:ascii="宋体" w:hAnsi="宋体" w:cs="宋体"/>
                <w:kern w:val="0"/>
                <w:szCs w:val="21"/>
              </w:rPr>
            </w:pPr>
          </w:p>
        </w:tc>
        <w:tc>
          <w:tcPr>
            <w:tcW w:w="2481" w:type="dxa"/>
            <w:vAlign w:val="center"/>
          </w:tcPr>
          <w:p>
            <w:pPr>
              <w:autoSpaceDE w:val="0"/>
              <w:autoSpaceDN w:val="0"/>
              <w:jc w:val="center"/>
              <w:rPr>
                <w:szCs w:val="21"/>
              </w:rPr>
            </w:pPr>
            <w:r>
              <w:rPr>
                <w:rFonts w:hint="eastAsia" w:ascii="宋体" w:hAnsi="宋体" w:cs="宋体"/>
                <w:kern w:val="0"/>
                <w:szCs w:val="21"/>
              </w:rPr>
              <w:t>高水平国际期刊，A类会议短文，B类会议论文</w:t>
            </w:r>
          </w:p>
        </w:tc>
        <w:tc>
          <w:tcPr>
            <w:tcW w:w="883" w:type="dxa"/>
            <w:vAlign w:val="center"/>
          </w:tcPr>
          <w:p>
            <w:pPr>
              <w:autoSpaceDE w:val="0"/>
              <w:autoSpaceDN w:val="0"/>
              <w:jc w:val="center"/>
              <w:rPr>
                <w:rFonts w:ascii="宋体" w:hAnsi="宋体" w:cs="宋体"/>
                <w:kern w:val="0"/>
                <w:szCs w:val="21"/>
              </w:rPr>
            </w:pPr>
            <w:r>
              <w:rPr>
                <w:rFonts w:hint="eastAsia" w:ascii="宋体" w:hAnsi="宋体" w:cs="宋体"/>
                <w:kern w:val="0"/>
                <w:szCs w:val="21"/>
              </w:rPr>
              <w:t>30分</w:t>
            </w:r>
          </w:p>
        </w:tc>
        <w:tc>
          <w:tcPr>
            <w:tcW w:w="3881" w:type="dxa"/>
            <w:vMerge w:val="continue"/>
          </w:tcPr>
          <w:p>
            <w:pPr>
              <w:autoSpaceDE w:val="0"/>
              <w:autoSpaceDN w:val="0"/>
              <w:adjustRightInd w:val="0"/>
              <w:rPr>
                <w:rFonts w:ascii="宋体"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277" w:type="dxa"/>
            <w:vMerge w:val="continue"/>
            <w:vAlign w:val="center"/>
          </w:tcPr>
          <w:p>
            <w:pPr>
              <w:autoSpaceDE w:val="0"/>
              <w:autoSpaceDN w:val="0"/>
              <w:jc w:val="center"/>
              <w:rPr>
                <w:rFonts w:ascii="宋体" w:hAnsi="宋体" w:cs="宋体"/>
                <w:kern w:val="0"/>
                <w:szCs w:val="21"/>
              </w:rPr>
            </w:pPr>
          </w:p>
        </w:tc>
        <w:tc>
          <w:tcPr>
            <w:tcW w:w="2481" w:type="dxa"/>
            <w:vAlign w:val="center"/>
          </w:tcPr>
          <w:p>
            <w:pPr>
              <w:autoSpaceDE w:val="0"/>
              <w:autoSpaceDN w:val="0"/>
              <w:jc w:val="center"/>
              <w:rPr>
                <w:rFonts w:ascii="宋体" w:hAnsi="宋体" w:cs="宋体"/>
                <w:kern w:val="0"/>
                <w:szCs w:val="21"/>
              </w:rPr>
            </w:pPr>
            <w:r>
              <w:rPr>
                <w:rFonts w:hint="eastAsia" w:ascii="宋体" w:hAnsi="宋体" w:cs="宋体"/>
                <w:kern w:val="0"/>
                <w:szCs w:val="21"/>
              </w:rPr>
              <w:t>校定178论文，</w:t>
            </w:r>
          </w:p>
          <w:p>
            <w:pPr>
              <w:autoSpaceDE w:val="0"/>
              <w:autoSpaceDN w:val="0"/>
              <w:jc w:val="center"/>
              <w:rPr>
                <w:rFonts w:ascii="宋体" w:hAnsi="宋体" w:cs="宋体"/>
                <w:kern w:val="0"/>
                <w:szCs w:val="21"/>
              </w:rPr>
            </w:pPr>
            <w:r>
              <w:rPr>
                <w:rFonts w:hint="eastAsia" w:ascii="宋体" w:hAnsi="宋体" w:cs="宋体"/>
                <w:kern w:val="0"/>
                <w:szCs w:val="21"/>
              </w:rPr>
              <w:t>C类会议论文</w:t>
            </w:r>
          </w:p>
        </w:tc>
        <w:tc>
          <w:tcPr>
            <w:tcW w:w="883" w:type="dxa"/>
            <w:vAlign w:val="center"/>
          </w:tcPr>
          <w:p>
            <w:pPr>
              <w:autoSpaceDE w:val="0"/>
              <w:autoSpaceDN w:val="0"/>
              <w:jc w:val="center"/>
              <w:rPr>
                <w:rFonts w:ascii="宋体" w:hAnsi="宋体" w:cs="宋体"/>
                <w:kern w:val="0"/>
                <w:szCs w:val="21"/>
              </w:rPr>
            </w:pPr>
            <w:r>
              <w:rPr>
                <w:rFonts w:hint="eastAsia" w:ascii="宋体" w:hAnsi="宋体" w:cs="宋体"/>
                <w:kern w:val="0"/>
                <w:szCs w:val="21"/>
              </w:rPr>
              <w:t>20分</w:t>
            </w:r>
          </w:p>
        </w:tc>
        <w:tc>
          <w:tcPr>
            <w:tcW w:w="3881" w:type="dxa"/>
            <w:vMerge w:val="continue"/>
          </w:tcPr>
          <w:p>
            <w:pPr>
              <w:autoSpaceDE w:val="0"/>
              <w:autoSpaceDN w:val="0"/>
              <w:adjustRightInd w:val="0"/>
              <w:rPr>
                <w:rFonts w:ascii="宋体"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277" w:type="dxa"/>
            <w:vMerge w:val="restart"/>
            <w:vAlign w:val="center"/>
          </w:tcPr>
          <w:p>
            <w:pPr>
              <w:autoSpaceDE w:val="0"/>
              <w:autoSpaceDN w:val="0"/>
              <w:jc w:val="center"/>
              <w:rPr>
                <w:rFonts w:ascii="宋体" w:hAnsi="宋体"/>
                <w:szCs w:val="21"/>
              </w:rPr>
            </w:pPr>
            <w:r>
              <w:rPr>
                <w:rFonts w:hint="eastAsia" w:ascii="宋体" w:hAnsi="宋体"/>
                <w:szCs w:val="21"/>
              </w:rPr>
              <w:t>专利</w:t>
            </w:r>
          </w:p>
        </w:tc>
        <w:tc>
          <w:tcPr>
            <w:tcW w:w="2481" w:type="dxa"/>
            <w:vAlign w:val="center"/>
          </w:tcPr>
          <w:p>
            <w:pPr>
              <w:autoSpaceDE w:val="0"/>
              <w:autoSpaceDN w:val="0"/>
              <w:jc w:val="center"/>
              <w:rPr>
                <w:szCs w:val="21"/>
              </w:rPr>
            </w:pPr>
            <w:r>
              <w:rPr>
                <w:rFonts w:hint="eastAsia" w:ascii="宋体" w:hAnsi="宋体"/>
                <w:szCs w:val="21"/>
              </w:rPr>
              <w:t>授权国家发明专利</w:t>
            </w:r>
          </w:p>
        </w:tc>
        <w:tc>
          <w:tcPr>
            <w:tcW w:w="883" w:type="dxa"/>
            <w:vAlign w:val="center"/>
          </w:tcPr>
          <w:p>
            <w:pPr>
              <w:autoSpaceDE w:val="0"/>
              <w:autoSpaceDN w:val="0"/>
              <w:jc w:val="center"/>
              <w:rPr>
                <w:rFonts w:ascii="宋体" w:hAnsi="宋体" w:cs="宋体"/>
                <w:kern w:val="0"/>
                <w:szCs w:val="21"/>
              </w:rPr>
            </w:pPr>
            <w:r>
              <w:rPr>
                <w:rFonts w:hint="eastAsia" w:ascii="宋体" w:hAnsi="宋体" w:cs="宋体"/>
                <w:szCs w:val="21"/>
              </w:rPr>
              <w:t>20分</w:t>
            </w:r>
          </w:p>
        </w:tc>
        <w:tc>
          <w:tcPr>
            <w:tcW w:w="3881" w:type="dxa"/>
            <w:vMerge w:val="continue"/>
          </w:tcPr>
          <w:p>
            <w:pPr>
              <w:autoSpaceDE w:val="0"/>
              <w:autoSpaceDN w:val="0"/>
              <w:adjustRightInd w:val="0"/>
              <w:rPr>
                <w:rFonts w:ascii="宋体"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277" w:type="dxa"/>
            <w:vMerge w:val="continue"/>
          </w:tcPr>
          <w:p>
            <w:pPr>
              <w:autoSpaceDE w:val="0"/>
              <w:autoSpaceDN w:val="0"/>
              <w:jc w:val="center"/>
              <w:rPr>
                <w:rFonts w:ascii="宋体" w:hAnsi="宋体"/>
                <w:szCs w:val="21"/>
              </w:rPr>
            </w:pPr>
          </w:p>
        </w:tc>
        <w:tc>
          <w:tcPr>
            <w:tcW w:w="2481" w:type="dxa"/>
            <w:vAlign w:val="center"/>
          </w:tcPr>
          <w:p>
            <w:pPr>
              <w:autoSpaceDE w:val="0"/>
              <w:autoSpaceDN w:val="0"/>
              <w:jc w:val="center"/>
              <w:rPr>
                <w:szCs w:val="21"/>
              </w:rPr>
            </w:pPr>
            <w:r>
              <w:rPr>
                <w:rFonts w:hint="eastAsia" w:ascii="宋体" w:hAnsi="宋体"/>
                <w:szCs w:val="21"/>
              </w:rPr>
              <w:t>国家发明专利实审</w:t>
            </w:r>
          </w:p>
        </w:tc>
        <w:tc>
          <w:tcPr>
            <w:tcW w:w="883" w:type="dxa"/>
            <w:vAlign w:val="center"/>
          </w:tcPr>
          <w:p>
            <w:pPr>
              <w:autoSpaceDE w:val="0"/>
              <w:autoSpaceDN w:val="0"/>
              <w:jc w:val="center"/>
              <w:rPr>
                <w:rFonts w:ascii="宋体" w:hAnsi="宋体" w:cs="宋体"/>
                <w:szCs w:val="21"/>
              </w:rPr>
            </w:pPr>
            <w:r>
              <w:rPr>
                <w:rFonts w:hint="eastAsia" w:ascii="宋体" w:hAnsi="宋体" w:cs="宋体"/>
                <w:kern w:val="0"/>
                <w:szCs w:val="21"/>
                <w:lang w:bidi="ar"/>
              </w:rPr>
              <w:t>10分</w:t>
            </w:r>
          </w:p>
        </w:tc>
        <w:tc>
          <w:tcPr>
            <w:tcW w:w="3881" w:type="dxa"/>
            <w:vMerge w:val="continue"/>
          </w:tcPr>
          <w:p>
            <w:pPr>
              <w:autoSpaceDE w:val="0"/>
              <w:autoSpaceDN w:val="0"/>
              <w:adjustRightInd w:val="0"/>
              <w:rPr>
                <w:rFonts w:ascii="宋体"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277" w:type="dxa"/>
            <w:vMerge w:val="continue"/>
          </w:tcPr>
          <w:p>
            <w:pPr>
              <w:autoSpaceDE w:val="0"/>
              <w:autoSpaceDN w:val="0"/>
              <w:jc w:val="center"/>
              <w:rPr>
                <w:rFonts w:ascii="宋体" w:hAnsi="宋体"/>
                <w:szCs w:val="21"/>
              </w:rPr>
            </w:pPr>
          </w:p>
        </w:tc>
        <w:tc>
          <w:tcPr>
            <w:tcW w:w="2481" w:type="dxa"/>
            <w:vAlign w:val="center"/>
          </w:tcPr>
          <w:p>
            <w:pPr>
              <w:autoSpaceDE w:val="0"/>
              <w:autoSpaceDN w:val="0"/>
              <w:jc w:val="center"/>
              <w:rPr>
                <w:szCs w:val="21"/>
              </w:rPr>
            </w:pPr>
            <w:r>
              <w:rPr>
                <w:rFonts w:hint="eastAsia" w:ascii="宋体" w:hAnsi="宋体" w:cs="宋体"/>
                <w:kern w:val="0"/>
                <w:szCs w:val="21"/>
                <w:lang w:bidi="ar"/>
              </w:rPr>
              <w:t>授权实用新型专利</w:t>
            </w:r>
          </w:p>
        </w:tc>
        <w:tc>
          <w:tcPr>
            <w:tcW w:w="883" w:type="dxa"/>
            <w:vAlign w:val="center"/>
          </w:tcPr>
          <w:p>
            <w:pPr>
              <w:autoSpaceDE w:val="0"/>
              <w:autoSpaceDN w:val="0"/>
              <w:jc w:val="center"/>
              <w:rPr>
                <w:rFonts w:ascii="宋体" w:hAnsi="宋体" w:cs="宋体"/>
                <w:kern w:val="0"/>
                <w:szCs w:val="21"/>
                <w:lang w:bidi="ar"/>
              </w:rPr>
            </w:pPr>
            <w:r>
              <w:rPr>
                <w:rFonts w:hint="eastAsia" w:ascii="宋体" w:hAnsi="宋体" w:cs="宋体"/>
                <w:kern w:val="0"/>
                <w:szCs w:val="21"/>
                <w:lang w:bidi="ar"/>
              </w:rPr>
              <w:t>10分</w:t>
            </w:r>
          </w:p>
        </w:tc>
        <w:tc>
          <w:tcPr>
            <w:tcW w:w="3881" w:type="dxa"/>
            <w:vMerge w:val="continue"/>
          </w:tcPr>
          <w:p>
            <w:pPr>
              <w:autoSpaceDE w:val="0"/>
              <w:autoSpaceDN w:val="0"/>
              <w:adjustRightInd w:val="0"/>
              <w:rPr>
                <w:rFonts w:ascii="宋体"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1277" w:type="dxa"/>
            <w:vMerge w:val="continue"/>
          </w:tcPr>
          <w:p>
            <w:pPr>
              <w:autoSpaceDE w:val="0"/>
              <w:autoSpaceDN w:val="0"/>
              <w:jc w:val="center"/>
              <w:rPr>
                <w:rFonts w:ascii="宋体" w:hAnsi="宋体"/>
                <w:szCs w:val="21"/>
              </w:rPr>
            </w:pPr>
          </w:p>
        </w:tc>
        <w:tc>
          <w:tcPr>
            <w:tcW w:w="2481" w:type="dxa"/>
            <w:vAlign w:val="center"/>
          </w:tcPr>
          <w:p>
            <w:pPr>
              <w:autoSpaceDE w:val="0"/>
              <w:autoSpaceDN w:val="0"/>
              <w:jc w:val="center"/>
              <w:rPr>
                <w:szCs w:val="21"/>
              </w:rPr>
            </w:pPr>
            <w:r>
              <w:rPr>
                <w:rFonts w:hint="eastAsia" w:ascii="宋体" w:hAnsi="宋体" w:cs="宋体"/>
                <w:kern w:val="0"/>
                <w:szCs w:val="21"/>
                <w:lang w:bidi="ar"/>
              </w:rPr>
              <w:t>授权软件著作权</w:t>
            </w:r>
          </w:p>
        </w:tc>
        <w:tc>
          <w:tcPr>
            <w:tcW w:w="883" w:type="dxa"/>
            <w:vAlign w:val="center"/>
          </w:tcPr>
          <w:p>
            <w:pPr>
              <w:autoSpaceDE w:val="0"/>
              <w:autoSpaceDN w:val="0"/>
              <w:jc w:val="center"/>
              <w:rPr>
                <w:rFonts w:ascii="宋体" w:hAnsi="宋体" w:cs="宋体"/>
                <w:kern w:val="0"/>
                <w:szCs w:val="21"/>
                <w:lang w:bidi="ar"/>
              </w:rPr>
            </w:pPr>
            <w:r>
              <w:rPr>
                <w:rFonts w:hint="eastAsia" w:ascii="宋体" w:hAnsi="宋体" w:cs="宋体"/>
                <w:kern w:val="0"/>
                <w:szCs w:val="21"/>
                <w:lang w:bidi="ar"/>
              </w:rPr>
              <w:t>2分</w:t>
            </w:r>
          </w:p>
        </w:tc>
        <w:tc>
          <w:tcPr>
            <w:tcW w:w="3881" w:type="dxa"/>
            <w:vMerge w:val="continue"/>
          </w:tcPr>
          <w:p>
            <w:pPr>
              <w:autoSpaceDE w:val="0"/>
              <w:autoSpaceDN w:val="0"/>
              <w:adjustRightInd w:val="0"/>
              <w:rPr>
                <w:rFonts w:ascii="宋体" w:hAnsi="宋体"/>
                <w:b/>
                <w:kern w:val="0"/>
                <w:szCs w:val="21"/>
              </w:rPr>
            </w:pPr>
          </w:p>
        </w:tc>
      </w:tr>
    </w:tbl>
    <w:p>
      <w:pPr>
        <w:spacing w:before="124" w:beforeLines="40" w:after="124" w:afterLines="40" w:line="500" w:lineRule="exact"/>
        <w:rPr>
          <w:rFonts w:ascii="黑体" w:hAnsi="宋体" w:eastAsia="黑体"/>
          <w:b/>
          <w:bCs/>
          <w:color w:val="000000"/>
          <w:sz w:val="24"/>
        </w:rPr>
      </w:pPr>
      <w:r>
        <w:rPr>
          <w:rFonts w:hint="eastAsia" w:ascii="黑体" w:hAnsi="宋体" w:eastAsia="黑体"/>
          <w:b/>
          <w:bCs/>
          <w:color w:val="000000"/>
          <w:sz w:val="24"/>
        </w:rPr>
        <w:t>（六）D类社会实践计分标准</w:t>
      </w:r>
    </w:p>
    <w:p>
      <w:pPr>
        <w:spacing w:before="124" w:beforeLines="40" w:after="124" w:afterLines="40" w:line="500" w:lineRule="exact"/>
        <w:rPr>
          <w:rFonts w:ascii="黑体" w:hAnsi="宋体" w:eastAsia="黑体"/>
          <w:b/>
          <w:bCs/>
          <w:sz w:val="24"/>
        </w:rPr>
      </w:pPr>
      <w:r>
        <w:rPr>
          <w:rFonts w:hint="eastAsia" w:ascii="黑体" w:hAnsi="宋体" w:eastAsia="黑体"/>
          <w:b/>
          <w:sz w:val="24"/>
        </w:rPr>
        <w:t>1、</w:t>
      </w:r>
      <w:r>
        <w:rPr>
          <w:rFonts w:hint="eastAsia" w:ascii="宋体" w:hAnsi="宋体"/>
          <w:b/>
          <w:szCs w:val="21"/>
        </w:rPr>
        <w:t>科技创新、社会实践、文体比赛、先进团队的计分标准</w:t>
      </w:r>
    </w:p>
    <w:tbl>
      <w:tblPr>
        <w:tblStyle w:val="5"/>
        <w:tblW w:w="829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549"/>
        <w:gridCol w:w="549"/>
        <w:gridCol w:w="549"/>
        <w:gridCol w:w="549"/>
        <w:gridCol w:w="549"/>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获奖级别</w:t>
            </w:r>
          </w:p>
        </w:tc>
        <w:tc>
          <w:tcPr>
            <w:tcW w:w="549" w:type="dxa"/>
          </w:tcPr>
          <w:p>
            <w:pPr>
              <w:autoSpaceDE w:val="0"/>
              <w:autoSpaceDN w:val="0"/>
              <w:adjustRightInd w:val="0"/>
              <w:jc w:val="center"/>
              <w:rPr>
                <w:rFonts w:ascii="宋体" w:hAnsi="宋体"/>
                <w:kern w:val="0"/>
                <w:szCs w:val="21"/>
              </w:rPr>
            </w:pPr>
            <w:r>
              <w:rPr>
                <w:rFonts w:hint="eastAsia" w:ascii="宋体" w:hAnsi="宋体" w:cs="宋体"/>
                <w:kern w:val="0"/>
                <w:szCs w:val="21"/>
              </w:rPr>
              <w:t>获奖等级</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科技创新</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社会实践</w:t>
            </w:r>
          </w:p>
        </w:tc>
        <w:tc>
          <w:tcPr>
            <w:tcW w:w="549" w:type="dxa"/>
          </w:tcPr>
          <w:p>
            <w:pPr>
              <w:autoSpaceDE w:val="0"/>
              <w:autoSpaceDN w:val="0"/>
              <w:adjustRightInd w:val="0"/>
              <w:jc w:val="center"/>
              <w:rPr>
                <w:rFonts w:ascii="宋体" w:hAnsi="宋体"/>
                <w:color w:val="000000"/>
                <w:kern w:val="0"/>
                <w:szCs w:val="21"/>
              </w:rPr>
            </w:pPr>
            <w:r>
              <w:rPr>
                <w:rFonts w:hint="eastAsia" w:ascii="宋体" w:hAnsi="宋体"/>
                <w:color w:val="000000"/>
                <w:kern w:val="0"/>
                <w:szCs w:val="21"/>
              </w:rPr>
              <w:t>文体比赛</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先进团队</w:t>
            </w:r>
          </w:p>
        </w:tc>
        <w:tc>
          <w:tcPr>
            <w:tcW w:w="4997" w:type="dxa"/>
            <w:vAlign w:val="center"/>
          </w:tcPr>
          <w:p>
            <w:pPr>
              <w:autoSpaceDE w:val="0"/>
              <w:autoSpaceDN w:val="0"/>
              <w:adjustRightInd w:val="0"/>
              <w:jc w:val="center"/>
              <w:rPr>
                <w:rFonts w:ascii="宋体" w:hAnsi="宋体"/>
                <w:kern w:val="0"/>
                <w:szCs w:val="21"/>
              </w:rPr>
            </w:pPr>
            <w:r>
              <w:rPr>
                <w:rFonts w:hint="eastAsia" w:ascii="宋体" w:hAnsi="宋体"/>
                <w:kern w:val="0"/>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restart"/>
          </w:tcPr>
          <w:p>
            <w:pPr>
              <w:autoSpaceDE w:val="0"/>
              <w:autoSpaceDN w:val="0"/>
              <w:adjustRightInd w:val="0"/>
              <w:jc w:val="center"/>
              <w:rPr>
                <w:rFonts w:ascii="宋体" w:hAnsi="宋体"/>
                <w:kern w:val="0"/>
                <w:szCs w:val="21"/>
              </w:rPr>
            </w:pPr>
          </w:p>
          <w:p>
            <w:pPr>
              <w:autoSpaceDE w:val="0"/>
              <w:autoSpaceDN w:val="0"/>
              <w:adjustRightInd w:val="0"/>
              <w:jc w:val="center"/>
              <w:rPr>
                <w:rFonts w:ascii="宋体" w:hAnsi="宋体"/>
                <w:kern w:val="0"/>
                <w:szCs w:val="21"/>
              </w:rPr>
            </w:pPr>
            <w:r>
              <w:rPr>
                <w:rFonts w:hint="eastAsia" w:ascii="宋体" w:hAnsi="宋体"/>
                <w:kern w:val="0"/>
                <w:szCs w:val="21"/>
              </w:rPr>
              <w:t>国家级</w:t>
            </w:r>
          </w:p>
        </w:tc>
        <w:tc>
          <w:tcPr>
            <w:tcW w:w="549" w:type="dxa"/>
          </w:tcPr>
          <w:p>
            <w:pPr>
              <w:autoSpaceDE w:val="0"/>
              <w:autoSpaceDN w:val="0"/>
              <w:jc w:val="center"/>
              <w:rPr>
                <w:rFonts w:ascii="宋体" w:hAnsi="宋体"/>
                <w:kern w:val="0"/>
                <w:szCs w:val="21"/>
              </w:rPr>
            </w:pPr>
            <w:r>
              <w:rPr>
                <w:rFonts w:hint="eastAsia" w:ascii="宋体" w:hAnsi="宋体"/>
                <w:kern w:val="0"/>
                <w:szCs w:val="21"/>
              </w:rPr>
              <w:t>一</w:t>
            </w:r>
          </w:p>
        </w:tc>
        <w:tc>
          <w:tcPr>
            <w:tcW w:w="549" w:type="dxa"/>
          </w:tcPr>
          <w:p>
            <w:pPr>
              <w:autoSpaceDE w:val="0"/>
              <w:autoSpaceDN w:val="0"/>
              <w:adjustRightInd w:val="0"/>
              <w:rPr>
                <w:rFonts w:ascii="宋体" w:hAnsi="宋体"/>
                <w:kern w:val="0"/>
                <w:szCs w:val="21"/>
              </w:rPr>
            </w:pPr>
            <w:r>
              <w:rPr>
                <w:rFonts w:hint="eastAsia" w:ascii="宋体" w:hAnsi="宋体"/>
                <w:kern w:val="0"/>
                <w:szCs w:val="21"/>
              </w:rPr>
              <w:t>35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30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30</w:t>
            </w:r>
          </w:p>
        </w:tc>
        <w:tc>
          <w:tcPr>
            <w:tcW w:w="4997" w:type="dxa"/>
            <w:vMerge w:val="restart"/>
            <w:vAlign w:val="center"/>
          </w:tcPr>
          <w:p>
            <w:pPr>
              <w:autoSpaceDE w:val="0"/>
              <w:autoSpaceDN w:val="0"/>
              <w:rPr>
                <w:rFonts w:ascii="宋体" w:hAnsi="宋体" w:cs="宋体"/>
                <w:kern w:val="0"/>
                <w:szCs w:val="21"/>
              </w:rPr>
            </w:pPr>
            <w:r>
              <w:rPr>
                <w:rFonts w:hint="eastAsia" w:ascii="宋体" w:hAnsi="宋体" w:cs="宋体"/>
                <w:kern w:val="0"/>
                <w:szCs w:val="21"/>
              </w:rPr>
              <w:t>1.各类奖项均应在研究生相应阶段获得；</w:t>
            </w:r>
          </w:p>
          <w:p>
            <w:pPr>
              <w:autoSpaceDE w:val="0"/>
              <w:autoSpaceDN w:val="0"/>
              <w:rPr>
                <w:rFonts w:ascii="宋体" w:hAnsi="宋体" w:cs="宋体"/>
                <w:kern w:val="0"/>
                <w:szCs w:val="21"/>
              </w:rPr>
            </w:pPr>
            <w:r>
              <w:rPr>
                <w:rFonts w:hint="eastAsia" w:ascii="宋体" w:hAnsi="宋体" w:cs="宋体"/>
                <w:kern w:val="0"/>
                <w:szCs w:val="21"/>
              </w:rPr>
              <w:t xml:space="preserve">2.科技创新指教育部、教育厅、学校组织备案的各类学科竞赛；  </w:t>
            </w:r>
          </w:p>
          <w:p>
            <w:pPr>
              <w:autoSpaceDE w:val="0"/>
              <w:autoSpaceDN w:val="0"/>
              <w:rPr>
                <w:rFonts w:ascii="宋体" w:hAnsi="宋体" w:cs="宋体"/>
                <w:kern w:val="0"/>
                <w:szCs w:val="21"/>
              </w:rPr>
            </w:pPr>
            <w:r>
              <w:rPr>
                <w:rFonts w:hint="eastAsia" w:ascii="宋体" w:hAnsi="宋体" w:cs="宋体"/>
                <w:kern w:val="0"/>
                <w:szCs w:val="21"/>
              </w:rPr>
              <w:t>3.同一学科竞赛项目多次参赛或同一文体活动获不同等级奖项，只计最高分，不累加；</w:t>
            </w:r>
          </w:p>
          <w:p>
            <w:pPr>
              <w:autoSpaceDE w:val="0"/>
              <w:autoSpaceDN w:val="0"/>
              <w:rPr>
                <w:rFonts w:ascii="宋体" w:hAnsi="宋体" w:cs="宋体"/>
                <w:kern w:val="0"/>
                <w:szCs w:val="21"/>
              </w:rPr>
            </w:pPr>
            <w:r>
              <w:rPr>
                <w:rFonts w:hint="eastAsia" w:ascii="宋体" w:hAnsi="宋体" w:cs="宋体"/>
                <w:kern w:val="0"/>
                <w:szCs w:val="21"/>
              </w:rPr>
              <w:t>4.学科竞赛若为团体参赛，排名1-3得该项相应名次得分，排名4-5降一档，排名6-8降二档获得该项名次得分；文体活动若为团体，所有成员均获得该项相应名次得分；</w:t>
            </w:r>
          </w:p>
          <w:p>
            <w:pPr>
              <w:autoSpaceDE w:val="0"/>
              <w:autoSpaceDN w:val="0"/>
              <w:rPr>
                <w:rFonts w:ascii="宋体" w:hAnsi="宋体" w:cs="宋体"/>
                <w:kern w:val="0"/>
                <w:szCs w:val="21"/>
              </w:rPr>
            </w:pPr>
            <w:r>
              <w:rPr>
                <w:rFonts w:hint="eastAsia" w:ascii="宋体" w:hAnsi="宋体" w:cs="宋体"/>
                <w:kern w:val="0"/>
                <w:szCs w:val="21"/>
              </w:rPr>
              <w:t>5.对于企业、行业性或专业委员会举办的竞赛按获奖等级降一或二级计分；</w:t>
            </w:r>
          </w:p>
          <w:p>
            <w:pPr>
              <w:autoSpaceDE w:val="0"/>
              <w:autoSpaceDN w:val="0"/>
              <w:rPr>
                <w:rFonts w:ascii="宋体" w:hAnsi="宋体" w:cs="宋体"/>
                <w:kern w:val="0"/>
                <w:szCs w:val="21"/>
              </w:rPr>
            </w:pPr>
            <w:r>
              <w:rPr>
                <w:rFonts w:hint="eastAsia" w:ascii="宋体" w:hAnsi="宋体" w:cs="宋体"/>
                <w:kern w:val="0"/>
                <w:szCs w:val="21"/>
              </w:rPr>
              <w:t>6.先进团队指先进党支部、团支部、研究生会，并应有文件证实。同一团队因同一原因获不同先进团队称号，学生计分取最高分，不累加；先进团队中包括主要干部、其他干部和普通学生，其中主要干部为党支书、班长、团支书、研会主席、研会部长，其他干部为党支委、班委、团支委、研会干事，其他学生为该团队中的其他学生，表中所列为主要干部计分分值，其他干部与其他学生在此基础上分别降1-2档计分。</w:t>
            </w:r>
          </w:p>
          <w:p>
            <w:pPr>
              <w:autoSpaceDE w:val="0"/>
              <w:autoSpaceDN w:val="0"/>
              <w:rPr>
                <w:rFonts w:ascii="宋体" w:hAnsi="宋体" w:cs="宋体"/>
                <w:kern w:val="0"/>
                <w:szCs w:val="21"/>
              </w:rPr>
            </w:pPr>
            <w:r>
              <w:rPr>
                <w:rFonts w:hint="eastAsia" w:ascii="宋体" w:hAnsi="宋体" w:cs="宋体"/>
                <w:kern w:val="0"/>
                <w:szCs w:val="21"/>
              </w:rPr>
              <w:t>7.先进个人参照同级别先进团队档计分。</w:t>
            </w:r>
          </w:p>
          <w:p>
            <w:pPr>
              <w:autoSpaceDE w:val="0"/>
              <w:autoSpaceDN w:val="0"/>
              <w:rPr>
                <w:rFonts w:ascii="宋体" w:hAnsi="宋体" w:cs="宋体"/>
                <w:kern w:val="0"/>
                <w:szCs w:val="21"/>
              </w:rPr>
            </w:pPr>
            <w:r>
              <w:rPr>
                <w:rFonts w:hint="eastAsia" w:ascii="宋体" w:hAnsi="宋体" w:cs="宋体"/>
                <w:kern w:val="0"/>
                <w:szCs w:val="21"/>
              </w:rPr>
              <w:t>8.不属于科技创新、文体活动、先进团体的其他奖项均归为社会实践类（如：暑期社会实践获奖、志愿服务证书等）。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continue"/>
          </w:tcPr>
          <w:p>
            <w:pPr>
              <w:autoSpaceDE w:val="0"/>
              <w:autoSpaceDN w:val="0"/>
              <w:adjustRightInd w:val="0"/>
              <w:jc w:val="center"/>
              <w:rPr>
                <w:rFonts w:ascii="宋体" w:hAnsi="宋体"/>
                <w:kern w:val="0"/>
                <w:szCs w:val="21"/>
              </w:rPr>
            </w:pPr>
          </w:p>
        </w:tc>
        <w:tc>
          <w:tcPr>
            <w:tcW w:w="549" w:type="dxa"/>
          </w:tcPr>
          <w:p>
            <w:pPr>
              <w:autoSpaceDE w:val="0"/>
              <w:autoSpaceDN w:val="0"/>
              <w:jc w:val="center"/>
              <w:rPr>
                <w:rFonts w:ascii="宋体" w:hAnsi="宋体"/>
                <w:kern w:val="0"/>
                <w:szCs w:val="21"/>
              </w:rPr>
            </w:pPr>
            <w:r>
              <w:rPr>
                <w:rFonts w:hint="eastAsia" w:ascii="宋体" w:hAnsi="宋体"/>
                <w:kern w:val="0"/>
                <w:szCs w:val="21"/>
              </w:rPr>
              <w:t>二</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30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25</w:t>
            </w:r>
          </w:p>
        </w:tc>
        <w:tc>
          <w:tcPr>
            <w:tcW w:w="4997" w:type="dxa"/>
            <w:vMerge w:val="continue"/>
            <w:vAlign w:val="center"/>
          </w:tcPr>
          <w:p>
            <w:pPr>
              <w:autoSpaceDE w:val="0"/>
              <w:autoSpaceDN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continue"/>
          </w:tcPr>
          <w:p>
            <w:pPr>
              <w:autoSpaceDE w:val="0"/>
              <w:autoSpaceDN w:val="0"/>
              <w:adjustRightInd w:val="0"/>
              <w:jc w:val="center"/>
              <w:rPr>
                <w:rFonts w:ascii="宋体" w:hAnsi="宋体"/>
                <w:kern w:val="0"/>
                <w:szCs w:val="21"/>
              </w:rPr>
            </w:pPr>
          </w:p>
        </w:tc>
        <w:tc>
          <w:tcPr>
            <w:tcW w:w="549" w:type="dxa"/>
          </w:tcPr>
          <w:p>
            <w:pPr>
              <w:autoSpaceDE w:val="0"/>
              <w:autoSpaceDN w:val="0"/>
              <w:jc w:val="center"/>
              <w:rPr>
                <w:rFonts w:ascii="宋体" w:hAnsi="宋体"/>
                <w:kern w:val="0"/>
                <w:szCs w:val="21"/>
              </w:rPr>
            </w:pPr>
            <w:r>
              <w:rPr>
                <w:rFonts w:hint="eastAsia" w:ascii="宋体" w:hAnsi="宋体"/>
                <w:kern w:val="0"/>
                <w:szCs w:val="21"/>
              </w:rPr>
              <w:t>三</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20</w:t>
            </w:r>
          </w:p>
        </w:tc>
        <w:tc>
          <w:tcPr>
            <w:tcW w:w="4997" w:type="dxa"/>
            <w:vMerge w:val="continue"/>
            <w:vAlign w:val="center"/>
          </w:tcPr>
          <w:p>
            <w:pPr>
              <w:autoSpaceDE w:val="0"/>
              <w:autoSpaceDN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restart"/>
          </w:tcPr>
          <w:p>
            <w:pPr>
              <w:autoSpaceDE w:val="0"/>
              <w:autoSpaceDN w:val="0"/>
              <w:adjustRightInd w:val="0"/>
              <w:jc w:val="center"/>
              <w:rPr>
                <w:rFonts w:ascii="宋体" w:hAnsi="宋体" w:cs="宋体"/>
                <w:kern w:val="0"/>
                <w:szCs w:val="21"/>
              </w:rPr>
            </w:pPr>
          </w:p>
          <w:p>
            <w:pPr>
              <w:autoSpaceDE w:val="0"/>
              <w:autoSpaceDN w:val="0"/>
              <w:adjustRightInd w:val="0"/>
              <w:jc w:val="center"/>
              <w:rPr>
                <w:rFonts w:ascii="宋体" w:hAnsi="宋体"/>
                <w:kern w:val="0"/>
                <w:szCs w:val="21"/>
              </w:rPr>
            </w:pPr>
            <w:r>
              <w:rPr>
                <w:rFonts w:hint="eastAsia" w:ascii="宋体" w:hAnsi="宋体" w:cs="宋体"/>
                <w:kern w:val="0"/>
                <w:szCs w:val="21"/>
              </w:rPr>
              <w:t>省部级</w:t>
            </w:r>
          </w:p>
        </w:tc>
        <w:tc>
          <w:tcPr>
            <w:tcW w:w="549" w:type="dxa"/>
          </w:tcPr>
          <w:p>
            <w:pPr>
              <w:autoSpaceDE w:val="0"/>
              <w:autoSpaceDN w:val="0"/>
              <w:jc w:val="center"/>
              <w:rPr>
                <w:rFonts w:ascii="宋体" w:hAnsi="宋体"/>
                <w:kern w:val="0"/>
                <w:szCs w:val="21"/>
              </w:rPr>
            </w:pPr>
            <w:r>
              <w:rPr>
                <w:rFonts w:hint="eastAsia" w:ascii="宋体" w:hAnsi="宋体"/>
                <w:kern w:val="0"/>
                <w:szCs w:val="21"/>
              </w:rPr>
              <w:t>一</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20</w:t>
            </w:r>
          </w:p>
        </w:tc>
        <w:tc>
          <w:tcPr>
            <w:tcW w:w="4997" w:type="dxa"/>
            <w:vMerge w:val="continue"/>
          </w:tcPr>
          <w:p>
            <w:pPr>
              <w:autoSpaceDE w:val="0"/>
              <w:autoSpaceDN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549" w:type="dxa"/>
            <w:vMerge w:val="continue"/>
          </w:tcPr>
          <w:p>
            <w:pPr>
              <w:autoSpaceDE w:val="0"/>
              <w:autoSpaceDN w:val="0"/>
              <w:adjustRightInd w:val="0"/>
              <w:jc w:val="center"/>
              <w:rPr>
                <w:rFonts w:ascii="宋体" w:hAnsi="宋体"/>
                <w:kern w:val="0"/>
                <w:szCs w:val="21"/>
              </w:rPr>
            </w:pPr>
          </w:p>
        </w:tc>
        <w:tc>
          <w:tcPr>
            <w:tcW w:w="549" w:type="dxa"/>
          </w:tcPr>
          <w:p>
            <w:pPr>
              <w:autoSpaceDE w:val="0"/>
              <w:autoSpaceDN w:val="0"/>
              <w:jc w:val="center"/>
              <w:rPr>
                <w:rFonts w:ascii="宋体" w:hAnsi="宋体"/>
                <w:kern w:val="0"/>
                <w:szCs w:val="21"/>
              </w:rPr>
            </w:pPr>
            <w:r>
              <w:rPr>
                <w:rFonts w:hint="eastAsia" w:ascii="宋体" w:hAnsi="宋体"/>
                <w:kern w:val="0"/>
                <w:szCs w:val="21"/>
              </w:rPr>
              <w:t>二</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20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12</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15</w:t>
            </w:r>
          </w:p>
        </w:tc>
        <w:tc>
          <w:tcPr>
            <w:tcW w:w="4997" w:type="dxa"/>
            <w:vMerge w:val="continue"/>
          </w:tcPr>
          <w:p>
            <w:pPr>
              <w:autoSpaceDE w:val="0"/>
              <w:autoSpaceDN w:val="0"/>
              <w:adjustRightInd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continue"/>
          </w:tcPr>
          <w:p>
            <w:pPr>
              <w:autoSpaceDE w:val="0"/>
              <w:autoSpaceDN w:val="0"/>
              <w:adjustRightInd w:val="0"/>
              <w:jc w:val="center"/>
              <w:rPr>
                <w:rFonts w:ascii="宋体" w:hAnsi="宋体"/>
                <w:kern w:val="0"/>
                <w:szCs w:val="21"/>
              </w:rPr>
            </w:pPr>
          </w:p>
        </w:tc>
        <w:tc>
          <w:tcPr>
            <w:tcW w:w="549" w:type="dxa"/>
          </w:tcPr>
          <w:p>
            <w:pPr>
              <w:autoSpaceDE w:val="0"/>
              <w:autoSpaceDN w:val="0"/>
              <w:jc w:val="center"/>
              <w:rPr>
                <w:rFonts w:ascii="宋体" w:hAnsi="宋体"/>
                <w:kern w:val="0"/>
                <w:szCs w:val="21"/>
              </w:rPr>
            </w:pPr>
            <w:r>
              <w:rPr>
                <w:rFonts w:hint="eastAsia" w:ascii="宋体" w:hAnsi="宋体"/>
                <w:kern w:val="0"/>
                <w:szCs w:val="21"/>
              </w:rPr>
              <w:t>三</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10</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10</w:t>
            </w:r>
          </w:p>
        </w:tc>
        <w:tc>
          <w:tcPr>
            <w:tcW w:w="4997" w:type="dxa"/>
            <w:vMerge w:val="continue"/>
          </w:tcPr>
          <w:p>
            <w:pPr>
              <w:autoSpaceDE w:val="0"/>
              <w:autoSpaceDN w:val="0"/>
              <w:adjustRightInd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restart"/>
          </w:tcPr>
          <w:p>
            <w:pPr>
              <w:autoSpaceDE w:val="0"/>
              <w:autoSpaceDN w:val="0"/>
              <w:adjustRightInd w:val="0"/>
              <w:jc w:val="center"/>
              <w:rPr>
                <w:rFonts w:ascii="宋体" w:hAnsi="宋体" w:cs="宋体"/>
                <w:kern w:val="0"/>
                <w:szCs w:val="21"/>
              </w:rPr>
            </w:pPr>
          </w:p>
          <w:p>
            <w:pPr>
              <w:autoSpaceDE w:val="0"/>
              <w:autoSpaceDN w:val="0"/>
              <w:adjustRightInd w:val="0"/>
              <w:jc w:val="center"/>
              <w:rPr>
                <w:rFonts w:ascii="宋体" w:hAnsi="宋体"/>
                <w:kern w:val="0"/>
                <w:szCs w:val="21"/>
              </w:rPr>
            </w:pPr>
            <w:r>
              <w:rPr>
                <w:rFonts w:hint="eastAsia" w:ascii="宋体" w:hAnsi="宋体" w:cs="宋体"/>
                <w:kern w:val="0"/>
                <w:szCs w:val="21"/>
              </w:rPr>
              <w:t>校市级</w:t>
            </w:r>
          </w:p>
        </w:tc>
        <w:tc>
          <w:tcPr>
            <w:tcW w:w="549" w:type="dxa"/>
          </w:tcPr>
          <w:p>
            <w:pPr>
              <w:autoSpaceDE w:val="0"/>
              <w:autoSpaceDN w:val="0"/>
              <w:jc w:val="center"/>
              <w:rPr>
                <w:rFonts w:ascii="宋体" w:hAnsi="宋体"/>
                <w:kern w:val="0"/>
                <w:szCs w:val="21"/>
              </w:rPr>
            </w:pPr>
            <w:r>
              <w:rPr>
                <w:rFonts w:hint="eastAsia" w:ascii="宋体" w:hAnsi="宋体"/>
                <w:kern w:val="0"/>
                <w:szCs w:val="21"/>
              </w:rPr>
              <w:t>一</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12</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8</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8</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8</w:t>
            </w:r>
          </w:p>
        </w:tc>
        <w:tc>
          <w:tcPr>
            <w:tcW w:w="4997" w:type="dxa"/>
            <w:vMerge w:val="continue"/>
          </w:tcPr>
          <w:p>
            <w:pPr>
              <w:autoSpaceDE w:val="0"/>
              <w:autoSpaceDN w:val="0"/>
              <w:adjustRightInd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continue"/>
          </w:tcPr>
          <w:p>
            <w:pPr>
              <w:autoSpaceDE w:val="0"/>
              <w:autoSpaceDN w:val="0"/>
              <w:adjustRightInd w:val="0"/>
              <w:jc w:val="center"/>
              <w:rPr>
                <w:rFonts w:ascii="宋体" w:hAnsi="宋体"/>
                <w:kern w:val="0"/>
                <w:szCs w:val="21"/>
              </w:rPr>
            </w:pPr>
          </w:p>
        </w:tc>
        <w:tc>
          <w:tcPr>
            <w:tcW w:w="549" w:type="dxa"/>
          </w:tcPr>
          <w:p>
            <w:pPr>
              <w:autoSpaceDE w:val="0"/>
              <w:autoSpaceDN w:val="0"/>
              <w:jc w:val="center"/>
              <w:rPr>
                <w:rFonts w:ascii="宋体" w:hAnsi="宋体"/>
                <w:kern w:val="0"/>
                <w:szCs w:val="21"/>
              </w:rPr>
            </w:pPr>
            <w:r>
              <w:rPr>
                <w:rFonts w:hint="eastAsia" w:ascii="宋体" w:hAnsi="宋体"/>
                <w:kern w:val="0"/>
                <w:szCs w:val="21"/>
              </w:rPr>
              <w:t>二</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8</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5</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5</w:t>
            </w:r>
          </w:p>
        </w:tc>
        <w:tc>
          <w:tcPr>
            <w:tcW w:w="4997" w:type="dxa"/>
            <w:vMerge w:val="continue"/>
          </w:tcPr>
          <w:p>
            <w:pPr>
              <w:autoSpaceDE w:val="0"/>
              <w:autoSpaceDN w:val="0"/>
              <w:adjustRightInd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549" w:type="dxa"/>
            <w:vMerge w:val="continue"/>
          </w:tcPr>
          <w:p>
            <w:pPr>
              <w:autoSpaceDE w:val="0"/>
              <w:autoSpaceDN w:val="0"/>
              <w:adjustRightInd w:val="0"/>
              <w:jc w:val="center"/>
              <w:rPr>
                <w:rFonts w:ascii="宋体" w:hAnsi="宋体"/>
                <w:kern w:val="0"/>
                <w:szCs w:val="21"/>
              </w:rPr>
            </w:pPr>
          </w:p>
        </w:tc>
        <w:tc>
          <w:tcPr>
            <w:tcW w:w="549" w:type="dxa"/>
          </w:tcPr>
          <w:p>
            <w:pPr>
              <w:autoSpaceDE w:val="0"/>
              <w:autoSpaceDN w:val="0"/>
              <w:jc w:val="center"/>
              <w:rPr>
                <w:rFonts w:ascii="宋体" w:hAnsi="宋体"/>
                <w:kern w:val="0"/>
                <w:szCs w:val="21"/>
              </w:rPr>
            </w:pPr>
            <w:r>
              <w:rPr>
                <w:rFonts w:hint="eastAsia" w:ascii="宋体" w:hAnsi="宋体"/>
                <w:kern w:val="0"/>
                <w:szCs w:val="21"/>
              </w:rPr>
              <w:t>三</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4</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3</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3</w:t>
            </w:r>
          </w:p>
        </w:tc>
        <w:tc>
          <w:tcPr>
            <w:tcW w:w="549" w:type="dxa"/>
          </w:tcPr>
          <w:p>
            <w:pPr>
              <w:autoSpaceDE w:val="0"/>
              <w:autoSpaceDN w:val="0"/>
              <w:adjustRightInd w:val="0"/>
              <w:jc w:val="center"/>
              <w:rPr>
                <w:rFonts w:ascii="宋体" w:hAnsi="宋体"/>
                <w:kern w:val="0"/>
                <w:szCs w:val="21"/>
              </w:rPr>
            </w:pPr>
            <w:r>
              <w:rPr>
                <w:rFonts w:hint="eastAsia" w:ascii="宋体" w:hAnsi="宋体"/>
                <w:kern w:val="0"/>
                <w:szCs w:val="21"/>
              </w:rPr>
              <w:t>3</w:t>
            </w:r>
          </w:p>
        </w:tc>
        <w:tc>
          <w:tcPr>
            <w:tcW w:w="4997" w:type="dxa"/>
            <w:vMerge w:val="continue"/>
          </w:tcPr>
          <w:p>
            <w:pPr>
              <w:autoSpaceDE w:val="0"/>
              <w:autoSpaceDN w:val="0"/>
              <w:adjustRightInd w:val="0"/>
              <w:rPr>
                <w:rFonts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3294" w:type="dxa"/>
            <w:gridSpan w:val="6"/>
          </w:tcPr>
          <w:p>
            <w:pPr>
              <w:autoSpaceDE w:val="0"/>
              <w:autoSpaceDN w:val="0"/>
              <w:adjustRightInd w:val="0"/>
              <w:jc w:val="left"/>
              <w:rPr>
                <w:rFonts w:ascii="宋体" w:hAnsi="宋体"/>
                <w:kern w:val="0"/>
                <w:szCs w:val="21"/>
              </w:rPr>
            </w:pPr>
          </w:p>
        </w:tc>
        <w:tc>
          <w:tcPr>
            <w:tcW w:w="4997" w:type="dxa"/>
            <w:vMerge w:val="continue"/>
          </w:tcPr>
          <w:p>
            <w:pPr>
              <w:autoSpaceDE w:val="0"/>
              <w:autoSpaceDN w:val="0"/>
              <w:adjustRightInd w:val="0"/>
              <w:rPr>
                <w:rFonts w:ascii="宋体" w:hAnsi="宋体"/>
                <w:kern w:val="0"/>
                <w:szCs w:val="21"/>
              </w:rPr>
            </w:pPr>
          </w:p>
        </w:tc>
      </w:tr>
    </w:tbl>
    <w:p>
      <w:pPr>
        <w:snapToGrid w:val="0"/>
        <w:spacing w:before="124" w:beforeLines="40" w:after="312" w:afterLines="100" w:line="440" w:lineRule="atLeast"/>
        <w:rPr>
          <w:rFonts w:ascii="宋体" w:hAnsi="宋体"/>
          <w:color w:val="FF0000"/>
          <w:szCs w:val="21"/>
        </w:rPr>
      </w:pPr>
      <w:r>
        <w:rPr>
          <w:rFonts w:hint="eastAsia" w:ascii="宋体" w:hAnsi="宋体"/>
          <w:b/>
          <w:szCs w:val="21"/>
        </w:rPr>
        <w:t>注：为鼓励普通研究生积极参与社会实践，针对参与校团委、院团委及更高级别举办的活动（如：</w:t>
      </w:r>
      <w:r>
        <w:rPr>
          <w:rFonts w:hint="eastAsia" w:ascii="宋体" w:hAnsi="宋体"/>
          <w:szCs w:val="21"/>
        </w:rPr>
        <w:t>学院主办的研究生大型活动和重要学术报告、校阳光体育节、知识竞赛、志愿服务活动、校研究生学术交流年会论文征集等）但未能获奖的同学，按参加活动次数计分，每次活动0.3分/人.次，一学年累计最高不超过3分，予以鼓励。（每次活动由研究生辅导员或团委、研究生会负责人进行统计、审核、保管）。</w:t>
      </w:r>
    </w:p>
    <w:p>
      <w:pPr>
        <w:tabs>
          <w:tab w:val="left" w:pos="260"/>
        </w:tabs>
        <w:rPr>
          <w:b/>
        </w:rPr>
      </w:pPr>
      <w:r>
        <w:rPr>
          <w:rFonts w:hint="eastAsia"/>
          <w:b/>
        </w:rPr>
        <w:t>2、</w:t>
      </w:r>
      <w:r>
        <w:rPr>
          <w:rFonts w:hint="eastAsia" w:ascii="宋体" w:hAnsi="宋体"/>
          <w:b/>
          <w:szCs w:val="21"/>
        </w:rPr>
        <w:t>公益</w:t>
      </w:r>
      <w:r>
        <w:rPr>
          <w:rFonts w:hint="eastAsia"/>
          <w:b/>
        </w:rPr>
        <w:t>工作计分标准</w:t>
      </w:r>
    </w:p>
    <w:tbl>
      <w:tblPr>
        <w:tblStyle w:val="5"/>
        <w:tblpPr w:leftFromText="180" w:rightFromText="180" w:vertAnchor="text" w:horzAnchor="page" w:tblpX="1308" w:tblpY="230"/>
        <w:tblOverlap w:val="never"/>
        <w:tblW w:w="89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2693"/>
        <w:gridCol w:w="850"/>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vAlign w:val="center"/>
          </w:tcPr>
          <w:p>
            <w:pPr>
              <w:spacing w:before="156" w:beforeLines="50" w:line="450" w:lineRule="exact"/>
              <w:jc w:val="center"/>
              <w:rPr>
                <w:rFonts w:ascii="宋体" w:hAnsi="宋体"/>
                <w:b/>
                <w:bCs/>
                <w:szCs w:val="21"/>
              </w:rPr>
            </w:pPr>
            <w:r>
              <w:rPr>
                <w:rFonts w:hint="eastAsia" w:ascii="宋体" w:hAnsi="宋体"/>
                <w:b/>
                <w:kern w:val="0"/>
                <w:szCs w:val="21"/>
              </w:rPr>
              <w:t>公益工作</w:t>
            </w:r>
          </w:p>
        </w:tc>
        <w:tc>
          <w:tcPr>
            <w:tcW w:w="2693" w:type="dxa"/>
            <w:vAlign w:val="center"/>
          </w:tcPr>
          <w:p>
            <w:pPr>
              <w:widowControl/>
              <w:jc w:val="center"/>
              <w:rPr>
                <w:rFonts w:ascii="宋体" w:hAnsi="宋体"/>
                <w:kern w:val="0"/>
                <w:szCs w:val="21"/>
              </w:rPr>
            </w:pPr>
            <w:r>
              <w:rPr>
                <w:rFonts w:hint="eastAsia" w:ascii="宋体" w:hAnsi="宋体"/>
                <w:kern w:val="0"/>
                <w:szCs w:val="21"/>
              </w:rPr>
              <w:t>省级及以上学生干部</w:t>
            </w:r>
          </w:p>
        </w:tc>
        <w:tc>
          <w:tcPr>
            <w:tcW w:w="850" w:type="dxa"/>
            <w:vAlign w:val="center"/>
          </w:tcPr>
          <w:p>
            <w:pPr>
              <w:widowControl/>
              <w:jc w:val="center"/>
              <w:rPr>
                <w:rFonts w:ascii="宋体" w:hAnsi="宋体"/>
                <w:kern w:val="0"/>
                <w:szCs w:val="21"/>
              </w:rPr>
            </w:pPr>
            <w:r>
              <w:rPr>
                <w:rFonts w:hint="eastAsia" w:ascii="宋体" w:hAnsi="宋体"/>
                <w:kern w:val="0"/>
                <w:szCs w:val="21"/>
              </w:rPr>
              <w:t>15分</w:t>
            </w:r>
          </w:p>
        </w:tc>
        <w:tc>
          <w:tcPr>
            <w:tcW w:w="4840" w:type="dxa"/>
            <w:vAlign w:val="center"/>
          </w:tcPr>
          <w:p>
            <w:pPr>
              <w:widowControl/>
              <w:jc w:val="center"/>
              <w:rPr>
                <w:rFonts w:ascii="宋体" w:hAnsi="宋体"/>
                <w:kern w:val="0"/>
                <w:szCs w:val="21"/>
              </w:rPr>
            </w:pPr>
            <w:r>
              <w:rPr>
                <w:rFonts w:hint="eastAsia" w:ascii="宋体" w:hAnsi="宋体"/>
                <w:kern w:val="0"/>
                <w:szCs w:val="21"/>
              </w:rPr>
              <w:t>省学联（副）主席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534" w:type="dxa"/>
            <w:vMerge w:val="continue"/>
            <w:vAlign w:val="center"/>
          </w:tcPr>
          <w:p>
            <w:pPr>
              <w:spacing w:before="156" w:beforeLines="50" w:line="450" w:lineRule="exact"/>
              <w:jc w:val="center"/>
              <w:rPr>
                <w:rFonts w:ascii="宋体" w:hAnsi="宋体"/>
                <w:b/>
                <w:bCs/>
                <w:szCs w:val="21"/>
              </w:rPr>
            </w:pPr>
          </w:p>
        </w:tc>
        <w:tc>
          <w:tcPr>
            <w:tcW w:w="2693" w:type="dxa"/>
            <w:vAlign w:val="center"/>
          </w:tcPr>
          <w:p>
            <w:pPr>
              <w:widowControl/>
              <w:jc w:val="center"/>
              <w:rPr>
                <w:rFonts w:ascii="宋体" w:hAnsi="宋体"/>
                <w:kern w:val="0"/>
                <w:szCs w:val="21"/>
              </w:rPr>
            </w:pPr>
            <w:r>
              <w:rPr>
                <w:rFonts w:hint="eastAsia" w:ascii="宋体" w:hAnsi="宋体"/>
                <w:kern w:val="0"/>
                <w:szCs w:val="21"/>
              </w:rPr>
              <w:t>校、院重要岗位学生干部</w:t>
            </w:r>
          </w:p>
        </w:tc>
        <w:tc>
          <w:tcPr>
            <w:tcW w:w="850" w:type="dxa"/>
            <w:vAlign w:val="center"/>
          </w:tcPr>
          <w:p>
            <w:pPr>
              <w:widowControl/>
              <w:jc w:val="center"/>
              <w:rPr>
                <w:rFonts w:ascii="宋体" w:hAnsi="宋体"/>
                <w:kern w:val="0"/>
                <w:szCs w:val="21"/>
              </w:rPr>
            </w:pPr>
            <w:r>
              <w:rPr>
                <w:rFonts w:hint="eastAsia" w:ascii="宋体" w:hAnsi="宋体"/>
                <w:kern w:val="0"/>
                <w:szCs w:val="21"/>
              </w:rPr>
              <w:t>10分</w:t>
            </w:r>
          </w:p>
        </w:tc>
        <w:tc>
          <w:tcPr>
            <w:tcW w:w="4840" w:type="dxa"/>
            <w:vAlign w:val="center"/>
          </w:tcPr>
          <w:p>
            <w:pPr>
              <w:widowControl/>
              <w:jc w:val="center"/>
              <w:rPr>
                <w:rFonts w:ascii="宋体" w:hAnsi="宋体"/>
                <w:kern w:val="0"/>
                <w:szCs w:val="21"/>
              </w:rPr>
            </w:pPr>
            <w:r>
              <w:rPr>
                <w:rFonts w:hint="eastAsia" w:ascii="宋体" w:hAnsi="宋体"/>
                <w:kern w:val="0"/>
                <w:szCs w:val="21"/>
              </w:rPr>
              <w:t>校研会（正副）主席、院研会（正副）主席、</w:t>
            </w:r>
          </w:p>
          <w:p>
            <w:pPr>
              <w:widowControl/>
              <w:jc w:val="center"/>
              <w:rPr>
                <w:rFonts w:ascii="宋体" w:hAnsi="宋体"/>
                <w:kern w:val="0"/>
                <w:szCs w:val="21"/>
              </w:rPr>
            </w:pPr>
            <w:r>
              <w:rPr>
                <w:rFonts w:hint="eastAsia" w:ascii="宋体" w:hAnsi="宋体"/>
                <w:kern w:val="0"/>
                <w:szCs w:val="21"/>
              </w:rPr>
              <w:t>辅导员助理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534" w:type="dxa"/>
            <w:vMerge w:val="continue"/>
            <w:vAlign w:val="center"/>
          </w:tcPr>
          <w:p>
            <w:pPr>
              <w:spacing w:before="156" w:beforeLines="50" w:line="450" w:lineRule="exact"/>
              <w:jc w:val="center"/>
              <w:rPr>
                <w:rFonts w:ascii="宋体" w:hAnsi="宋体"/>
                <w:b/>
                <w:bCs/>
                <w:szCs w:val="21"/>
              </w:rPr>
            </w:pPr>
          </w:p>
        </w:tc>
        <w:tc>
          <w:tcPr>
            <w:tcW w:w="2693" w:type="dxa"/>
            <w:vAlign w:val="center"/>
          </w:tcPr>
          <w:p>
            <w:pPr>
              <w:widowControl/>
              <w:jc w:val="center"/>
              <w:rPr>
                <w:rFonts w:ascii="宋体" w:hAnsi="宋体"/>
                <w:kern w:val="0"/>
                <w:szCs w:val="21"/>
              </w:rPr>
            </w:pPr>
            <w:r>
              <w:rPr>
                <w:rFonts w:hint="eastAsia" w:ascii="宋体" w:hAnsi="宋体"/>
                <w:kern w:val="0"/>
                <w:szCs w:val="21"/>
              </w:rPr>
              <w:t>院学生干部</w:t>
            </w:r>
          </w:p>
        </w:tc>
        <w:tc>
          <w:tcPr>
            <w:tcW w:w="850" w:type="dxa"/>
            <w:vAlign w:val="center"/>
          </w:tcPr>
          <w:p>
            <w:pPr>
              <w:widowControl/>
              <w:jc w:val="center"/>
              <w:rPr>
                <w:rFonts w:ascii="宋体" w:hAnsi="宋体"/>
                <w:kern w:val="0"/>
                <w:szCs w:val="21"/>
              </w:rPr>
            </w:pPr>
            <w:r>
              <w:rPr>
                <w:rFonts w:hint="eastAsia" w:ascii="宋体" w:hAnsi="宋体"/>
                <w:kern w:val="0"/>
                <w:szCs w:val="21"/>
              </w:rPr>
              <w:t>5分</w:t>
            </w:r>
          </w:p>
        </w:tc>
        <w:tc>
          <w:tcPr>
            <w:tcW w:w="4840" w:type="dxa"/>
            <w:vAlign w:val="center"/>
          </w:tcPr>
          <w:p>
            <w:pPr>
              <w:widowControl/>
              <w:jc w:val="center"/>
              <w:rPr>
                <w:rFonts w:ascii="宋体" w:hAnsi="宋体"/>
                <w:kern w:val="0"/>
                <w:szCs w:val="21"/>
              </w:rPr>
            </w:pPr>
            <w:r>
              <w:rPr>
                <w:rFonts w:hint="eastAsia" w:ascii="宋体" w:hAnsi="宋体"/>
                <w:kern w:val="0"/>
                <w:szCs w:val="21"/>
              </w:rPr>
              <w:t>党支部书记、院研会部长、班长</w:t>
            </w:r>
          </w:p>
        </w:tc>
      </w:tr>
    </w:tbl>
    <w:p>
      <w:pPr>
        <w:snapToGrid w:val="0"/>
        <w:spacing w:before="124" w:beforeLines="40" w:line="440" w:lineRule="atLeast"/>
        <w:rPr>
          <w:rFonts w:ascii="宋体" w:hAnsi="宋体"/>
          <w:szCs w:val="21"/>
        </w:rPr>
      </w:pPr>
      <w:r>
        <w:rPr>
          <w:rFonts w:hint="eastAsia" w:ascii="宋体" w:hAnsi="宋体"/>
          <w:b/>
          <w:szCs w:val="21"/>
        </w:rPr>
        <w:t>注：</w:t>
      </w:r>
      <w:r>
        <w:rPr>
          <w:rFonts w:hint="eastAsia" w:ascii="宋体" w:hAnsi="宋体"/>
          <w:szCs w:val="21"/>
        </w:rPr>
        <w:t>1)公益工作加分需提交相关证明；</w:t>
      </w:r>
    </w:p>
    <w:p>
      <w:pPr>
        <w:snapToGrid w:val="0"/>
        <w:spacing w:line="440" w:lineRule="atLeast"/>
        <w:rPr>
          <w:rFonts w:ascii="宋体" w:hAnsi="宋体"/>
          <w:szCs w:val="21"/>
        </w:rPr>
      </w:pPr>
      <w:r>
        <w:rPr>
          <w:rFonts w:hint="eastAsia" w:ascii="宋体" w:hAnsi="宋体"/>
          <w:szCs w:val="21"/>
        </w:rPr>
        <w:t xml:space="preserve">    2）其余校级、院级和班级学生干部根据工作表现酌情给分，得分不得超过同等类别计分；</w:t>
      </w:r>
    </w:p>
    <w:p>
      <w:pPr>
        <w:snapToGrid w:val="0"/>
        <w:spacing w:after="312" w:afterLines="100" w:line="440" w:lineRule="atLeast"/>
        <w:rPr>
          <w:rFonts w:ascii="宋体" w:hAnsi="宋体"/>
          <w:szCs w:val="21"/>
        </w:rPr>
      </w:pPr>
      <w:r>
        <w:rPr>
          <w:rFonts w:hint="eastAsia" w:ascii="宋体" w:hAnsi="宋体"/>
          <w:szCs w:val="21"/>
        </w:rPr>
        <w:t xml:space="preserve">    3）社会工作只计最高分一次，学生干部工作不满一学期或考核不合格的不加分。社会活动计分由学院根据申请者提供的材料进行认定计算得出。</w:t>
      </w:r>
    </w:p>
    <w:p>
      <w:pPr>
        <w:snapToGrid w:val="0"/>
        <w:spacing w:after="312" w:afterLines="100" w:line="440" w:lineRule="atLeast"/>
        <w:rPr>
          <w:rFonts w:ascii="宋体" w:hAnsi="宋体"/>
          <w:szCs w:val="21"/>
        </w:rPr>
      </w:pPr>
      <w:r>
        <w:rPr>
          <w:rFonts w:hint="eastAsia" w:ascii="黑体" w:hAnsi="宋体" w:eastAsia="黑体"/>
          <w:b/>
          <w:bCs/>
          <w:color w:val="000000"/>
          <w:sz w:val="24"/>
        </w:rPr>
        <w:t>（七）</w:t>
      </w:r>
      <w:r>
        <w:rPr>
          <w:rFonts w:hint="eastAsia" w:ascii="黑体" w:hAnsi="宋体" w:eastAsia="黑体"/>
          <w:b/>
          <w:bCs/>
          <w:sz w:val="24"/>
        </w:rPr>
        <w:t>导师评价计分</w:t>
      </w:r>
    </w:p>
    <w:p>
      <w:pPr>
        <w:snapToGrid w:val="0"/>
        <w:spacing w:after="124" w:afterLines="40" w:line="440" w:lineRule="atLeast"/>
        <w:ind w:left="716" w:leftChars="200" w:hanging="296" w:hangingChars="141"/>
        <w:rPr>
          <w:rFonts w:ascii="宋体" w:hAnsi="宋体"/>
          <w:szCs w:val="21"/>
          <w:u w:val="thick" w:color="FF0000"/>
        </w:rPr>
      </w:pPr>
      <w:r>
        <w:rPr>
          <w:rFonts w:hint="eastAsia" w:ascii="宋体" w:hAnsi="宋体"/>
          <w:szCs w:val="21"/>
        </w:rPr>
        <w:t>1、每个硕士研究生可分配满分100分。</w:t>
      </w:r>
    </w:p>
    <w:p>
      <w:pPr>
        <w:snapToGrid w:val="0"/>
        <w:spacing w:after="124" w:afterLines="40" w:line="440" w:lineRule="atLeast"/>
        <w:ind w:left="716" w:leftChars="200" w:hanging="296" w:hangingChars="141"/>
        <w:rPr>
          <w:rFonts w:ascii="宋体" w:hAnsi="宋体"/>
          <w:szCs w:val="21"/>
        </w:rPr>
      </w:pPr>
      <w:r>
        <w:rPr>
          <w:rFonts w:hint="eastAsia" w:ascii="宋体" w:hAnsi="宋体"/>
          <w:szCs w:val="21"/>
        </w:rPr>
        <w:t>2、发表</w:t>
      </w:r>
      <w:r>
        <w:rPr>
          <w:rFonts w:hint="eastAsia" w:ascii="宋体" w:hAnsi="宋体"/>
          <w:szCs w:val="21"/>
          <w:lang w:eastAsia="zh-CN"/>
        </w:rPr>
        <w:t>高水平</w:t>
      </w:r>
      <w:r>
        <w:rPr>
          <w:rFonts w:hint="eastAsia" w:ascii="宋体" w:hAnsi="宋体"/>
          <w:szCs w:val="21"/>
        </w:rPr>
        <w:t>论文、</w:t>
      </w:r>
      <w:r>
        <w:rPr>
          <w:rFonts w:ascii="宋体" w:hAnsi="宋体"/>
          <w:szCs w:val="21"/>
        </w:rPr>
        <w:t>178</w:t>
      </w:r>
      <w:r>
        <w:rPr>
          <w:rFonts w:hint="eastAsia" w:ascii="宋体" w:hAnsi="宋体"/>
          <w:szCs w:val="21"/>
        </w:rPr>
        <w:t>期刊论文以及A类、B类会议的硕士研究生获分配分数不得小于100分。</w:t>
      </w:r>
    </w:p>
    <w:p>
      <w:pPr>
        <w:spacing w:line="360" w:lineRule="auto"/>
        <w:ind w:firstLine="420"/>
        <w:rPr>
          <w:rFonts w:ascii="黑体" w:hAnsi="宋体" w:eastAsia="黑体"/>
          <w:b/>
          <w:bCs/>
          <w:sz w:val="24"/>
        </w:rPr>
      </w:pPr>
    </w:p>
    <w:p>
      <w:pPr>
        <w:spacing w:line="360" w:lineRule="auto"/>
        <w:ind w:firstLine="420"/>
        <w:rPr>
          <w:b/>
          <w:bCs/>
        </w:rPr>
      </w:pPr>
      <w:r>
        <w:rPr>
          <w:rFonts w:hint="eastAsia" w:ascii="黑体" w:hAnsi="宋体" w:eastAsia="黑体"/>
          <w:b/>
          <w:bCs/>
          <w:sz w:val="24"/>
        </w:rPr>
        <w:t>本细则自发文之日起执行，原《计算机与信息学院研究生综合测评实施细则》（ 2012年版）同时废止。本细则由计算机学院研究生奖学金评审领导小组解释。</w:t>
      </w:r>
    </w:p>
    <w:p>
      <w:pPr>
        <w:spacing w:line="360" w:lineRule="auto"/>
        <w:ind w:left="5040" w:firstLine="420"/>
      </w:pPr>
    </w:p>
    <w:p>
      <w:pPr>
        <w:spacing w:line="360" w:lineRule="auto"/>
        <w:ind w:left="5040" w:firstLine="420"/>
        <w:rPr>
          <w:sz w:val="24"/>
        </w:rPr>
      </w:pPr>
      <w:r>
        <w:rPr>
          <w:rFonts w:hint="eastAsia"/>
          <w:sz w:val="24"/>
        </w:rPr>
        <w:t>计算机与信息学院</w:t>
      </w:r>
    </w:p>
    <w:p>
      <w:pPr>
        <w:spacing w:line="360" w:lineRule="auto"/>
        <w:ind w:left="5040" w:firstLine="420"/>
        <w:rPr>
          <w:sz w:val="24"/>
        </w:rPr>
      </w:pPr>
      <w:bookmarkStart w:id="0" w:name="_GoBack"/>
      <w:bookmarkEnd w:id="0"/>
      <w:r>
        <w:rPr>
          <w:rFonts w:hint="eastAsia"/>
          <w:sz w:val="24"/>
        </w:rPr>
        <w:t>20</w:t>
      </w:r>
      <w:r>
        <w:rPr>
          <w:rFonts w:hint="eastAsia"/>
          <w:sz w:val="24"/>
          <w:lang w:val="en-US" w:eastAsia="zh-CN"/>
        </w:rPr>
        <w:t>20</w:t>
      </w:r>
      <w:r>
        <w:rPr>
          <w:rFonts w:hint="eastAsia"/>
          <w:sz w:val="24"/>
        </w:rPr>
        <w:t>年</w:t>
      </w:r>
      <w:r>
        <w:rPr>
          <w:rFonts w:hint="eastAsia"/>
          <w:sz w:val="24"/>
          <w:lang w:val="en-US" w:eastAsia="zh-CN"/>
        </w:rPr>
        <w:t>8</w:t>
      </w:r>
      <w:r>
        <w:rPr>
          <w:rFonts w:hint="eastAsia"/>
          <w:sz w:val="24"/>
        </w:rPr>
        <w:t>月</w:t>
      </w:r>
      <w:r>
        <w:rPr>
          <w:rFonts w:hint="eastAsia"/>
          <w:sz w:val="24"/>
          <w:lang w:val="en-US" w:eastAsia="zh-CN"/>
        </w:rPr>
        <w:t>3</w:t>
      </w:r>
      <w:r>
        <w:rPr>
          <w:rFonts w:hint="eastAsia"/>
          <w:sz w:val="24"/>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B6994"/>
    <w:multiLevelType w:val="singleLevel"/>
    <w:tmpl w:val="586B6994"/>
    <w:lvl w:ilvl="0" w:tentative="0">
      <w:start w:val="3"/>
      <w:numFmt w:val="decimal"/>
      <w:suff w:val="nothing"/>
      <w:lvlText w:val="%1、"/>
      <w:lvlJc w:val="left"/>
    </w:lvl>
  </w:abstractNum>
  <w:abstractNum w:abstractNumId="1">
    <w:nsid w:val="58A41F91"/>
    <w:multiLevelType w:val="singleLevel"/>
    <w:tmpl w:val="58A41F91"/>
    <w:lvl w:ilvl="0" w:tentative="0">
      <w:start w:val="1"/>
      <w:numFmt w:val="decimal"/>
      <w:suff w:val="nothing"/>
      <w:lvlText w:val="%1、"/>
      <w:lvlJc w:val="left"/>
    </w:lvl>
  </w:abstractNum>
  <w:abstractNum w:abstractNumId="2">
    <w:nsid w:val="674F08CF"/>
    <w:multiLevelType w:val="multilevel"/>
    <w:tmpl w:val="674F08CF"/>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524E9"/>
    <w:rsid w:val="00125E9B"/>
    <w:rsid w:val="00364F5A"/>
    <w:rsid w:val="0039298A"/>
    <w:rsid w:val="003A7BAD"/>
    <w:rsid w:val="004C6BCD"/>
    <w:rsid w:val="007B6BBC"/>
    <w:rsid w:val="00DB2F82"/>
    <w:rsid w:val="00EB24B6"/>
    <w:rsid w:val="00EC609B"/>
    <w:rsid w:val="049524E9"/>
    <w:rsid w:val="32DF167F"/>
    <w:rsid w:val="342322AB"/>
    <w:rsid w:val="3B612639"/>
    <w:rsid w:val="4C1E26A8"/>
    <w:rsid w:val="4C4C1D23"/>
    <w:rsid w:val="50B0111E"/>
    <w:rsid w:val="6814192E"/>
    <w:rsid w:val="74B6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cs="Times New Roman"/>
      <w:kern w:val="0"/>
      <w:sz w:val="24"/>
    </w:rPr>
  </w:style>
  <w:style w:type="character" w:customStyle="1" w:styleId="7">
    <w:name w:val="页眉 字符"/>
    <w:basedOn w:val="6"/>
    <w:link w:val="3"/>
    <w:qFormat/>
    <w:uiPriority w:val="0"/>
    <w:rPr>
      <w:rFonts w:asciiTheme="minorHAnsi" w:hAnsiTheme="minorHAnsi" w:eastAsiaTheme="minorEastAsia" w:cstheme="minorBidi"/>
      <w:kern w:val="2"/>
      <w:sz w:val="18"/>
      <w:szCs w:val="18"/>
    </w:rPr>
  </w:style>
  <w:style w:type="character" w:customStyle="1" w:styleId="8">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6</Pages>
  <Words>678</Words>
  <Characters>3866</Characters>
  <Lines>32</Lines>
  <Paragraphs>9</Paragraphs>
  <TotalTime>23</TotalTime>
  <ScaleCrop>false</ScaleCrop>
  <LinksUpToDate>false</LinksUpToDate>
  <CharactersWithSpaces>4535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2019-03-19T01:59:00Z</dcterms:created>
  <dc:creator>Administrator</dc:creator>
  <cp:lastModifiedBy>透明的蓝</cp:lastModifiedBy>
  <dcterms:modified xsi:type="dcterms:W3CDTF">2020-09-08T00:10:47Z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