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투자검토 요약 정답본</w:t>
      </w:r>
    </w:p>
    <w:p>
      <w:pPr>
        <w:jc w:val="center"/>
      </w:pPr>
      <w:r>
        <w:rPr>
          <w:b/>
        </w:rPr>
        <w:t>후판 물류 자동화 설비</w:t>
      </w:r>
    </w:p>
    <w:p>
      <w:pPr>
        <w:jc w:val="center"/>
      </w:pPr>
      <w:r>
        <w:rPr>
          <w:color w:val="646464"/>
          <w:sz w:val="18"/>
        </w:rPr>
        <w:t>가상 교육용 샘플 | Agent 출력 비교 기준</w:t>
      </w:r>
    </w:p>
    <w:p>
      <w:pPr>
        <w:pStyle w:val="Heading1"/>
      </w:pPr>
      <w:r>
        <w:t>1. 투자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t>투자명</w:t>
            </w:r>
          </w:p>
        </w:tc>
        <w:tc>
          <w:tcPr>
            <w:tcW w:type="dxa" w:w="4986"/>
          </w:tcPr>
          <w:p>
            <w:r>
              <w:t>후판 물류 자동화 설비</w:t>
            </w:r>
          </w:p>
        </w:tc>
      </w:tr>
      <w:tr>
        <w:tc>
          <w:tcPr>
            <w:tcW w:type="dxa" w:w="4986"/>
          </w:tcPr>
          <w:p>
            <w:r>
              <w:t>부서</w:t>
            </w:r>
          </w:p>
        </w:tc>
        <w:tc>
          <w:tcPr>
            <w:tcW w:type="dxa" w:w="4986"/>
          </w:tcPr>
          <w:p>
            <w:r>
              <w:t>후판생산팀</w:t>
            </w:r>
          </w:p>
        </w:tc>
      </w:tr>
      <w:tr>
        <w:tc>
          <w:tcPr>
            <w:tcW w:type="dxa" w:w="4986"/>
          </w:tcPr>
          <w:p>
            <w:r>
              <w:t>목적</w:t>
            </w:r>
          </w:p>
        </w:tc>
        <w:tc>
          <w:tcPr>
            <w:tcW w:type="dxa" w:w="4986"/>
          </w:tcPr>
          <w:p>
            <w:r>
              <w:t>제품 이송 자동화로 물류 정체 해소 및 안전 리스크 감소</w:t>
            </w:r>
          </w:p>
        </w:tc>
      </w:tr>
      <w:tr>
        <w:tc>
          <w:tcPr>
            <w:tcW w:type="dxa" w:w="4986"/>
          </w:tcPr>
          <w:p>
            <w:r>
              <w:t>총투자비</w:t>
            </w:r>
          </w:p>
        </w:tc>
        <w:tc>
          <w:tcPr>
            <w:tcW w:type="dxa" w:w="4986"/>
          </w:tcPr>
          <w:p>
            <w:r>
              <w:t>210억원</w:t>
            </w:r>
          </w:p>
        </w:tc>
      </w:tr>
      <w:tr>
        <w:tc>
          <w:tcPr>
            <w:tcW w:type="dxa" w:w="4986"/>
          </w:tcPr>
          <w:p>
            <w:r>
              <w:t>연간효과</w:t>
            </w:r>
          </w:p>
        </w:tc>
        <w:tc>
          <w:tcPr>
            <w:tcW w:type="dxa" w:w="4986"/>
          </w:tcPr>
          <w:p>
            <w:r>
              <w:t>68억원</w:t>
            </w:r>
          </w:p>
        </w:tc>
      </w:tr>
      <w:tr>
        <w:tc>
          <w:tcPr>
            <w:tcW w:type="dxa" w:w="4986"/>
          </w:tcPr>
          <w:p>
            <w:r>
              <w:t>가동예정</w:t>
            </w:r>
          </w:p>
        </w:tc>
        <w:tc>
          <w:tcPr>
            <w:tcW w:type="dxa" w:w="4986"/>
          </w:tcPr>
          <w:p>
            <w:r>
              <w:t>2029년</w:t>
            </w:r>
          </w:p>
        </w:tc>
      </w:tr>
    </w:tbl>
    <w:p>
      <w:pPr>
        <w:pStyle w:val="Heading1"/>
      </w:pPr>
      <w:r>
        <w:t>2. 주요 수치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color w:val="FFFFFF"/>
              </w:rPr>
              <w:t>항목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값(억원)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판정</w:t>
            </w:r>
          </w:p>
        </w:tc>
      </w:tr>
      <w:tr>
        <w:tc>
          <w:tcPr>
            <w:tcW w:type="dxa" w:w="3324"/>
          </w:tcPr>
          <w:p>
            <w:r>
              <w:t>계획서 총투자비</w:t>
            </w:r>
          </w:p>
        </w:tc>
        <w:tc>
          <w:tcPr>
            <w:tcW w:type="dxa" w:w="3324"/>
          </w:tcPr>
          <w:p>
            <w:r>
              <w:t>210.0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상세 투자비 합계</w:t>
            </w:r>
          </w:p>
        </w:tc>
        <w:tc>
          <w:tcPr>
            <w:tcW w:type="dxa" w:w="3324"/>
          </w:tcPr>
          <w:p>
            <w:r>
              <w:t>210.0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경제성 적용 투자비</w:t>
            </w:r>
          </w:p>
        </w:tc>
        <w:tc>
          <w:tcPr>
            <w:tcW w:type="dxa" w:w="3324"/>
          </w:tcPr>
          <w:p>
            <w:r>
              <w:t>210.0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세부효과 합계</w:t>
            </w:r>
          </w:p>
        </w:tc>
        <w:tc>
          <w:tcPr>
            <w:tcW w:type="dxa" w:w="3324"/>
          </w:tcPr>
          <w:p>
            <w:r>
              <w:t>68.0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계획서 연간효과</w:t>
            </w:r>
          </w:p>
        </w:tc>
        <w:tc>
          <w:tcPr>
            <w:tcW w:type="dxa" w:w="3324"/>
          </w:tcPr>
          <w:p>
            <w:r>
              <w:t>68.0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</w:tbl>
    <w:p>
      <w:pPr>
        <w:pStyle w:val="Heading1"/>
      </w:pPr>
      <w:r>
        <w:t>3. 예상 검증 플래그</w:t>
      </w:r>
    </w:p>
    <w:p>
      <w:pPr>
        <w:pStyle w:val="ListBullet"/>
      </w:pPr>
      <w:r>
        <w:rPr>
          <w:b/>
        </w:rPr>
        <w:t>가동 예정은 2029년이나 현금흐름에는 2028년부터 효과 반영</w:t>
      </w:r>
    </w:p>
    <w:p>
      <w:pPr>
        <w:pStyle w:val="ListBullet"/>
      </w:pPr>
      <w:r>
        <w:rPr>
          <w:b/>
        </w:rPr>
        <w:t>생산성 향상과 생산차질 감소 효과의 중복 가능성 확인 필요</w:t>
      </w:r>
    </w:p>
    <w:p>
      <w:pPr>
        <w:pStyle w:val="Heading1"/>
      </w:pPr>
      <w:r>
        <w:t>4. 현업 추가 확인사항</w:t>
      </w:r>
    </w:p>
    <w:p>
      <w:pPr>
        <w:pStyle w:val="ListNumber"/>
      </w:pPr>
      <w:r>
        <w:t>자료별 투자비가 다른 경우 최종 기준 금액은 무엇인가?</w:t>
      </w:r>
    </w:p>
    <w:p>
      <w:pPr>
        <w:pStyle w:val="ListNumber"/>
      </w:pPr>
      <w:r>
        <w:t>기대효과의 물량·단가·적용률 근거가 있는가?</w:t>
      </w:r>
    </w:p>
    <w:p>
      <w:pPr>
        <w:pStyle w:val="ListNumber"/>
      </w:pPr>
      <w:r>
        <w:t>효과 항목 사이에 중복 반영된 범위가 있는가?</w:t>
      </w:r>
    </w:p>
    <w:p>
      <w:pPr>
        <w:pStyle w:val="ListNumber"/>
      </w:pPr>
      <w:r>
        <w:t>가동시점과 효과 반영시점이 일치하는가?</w:t>
      </w:r>
    </w:p>
    <w:p>
      <w:pPr>
        <w:pStyle w:val="ListNumber"/>
      </w:pPr>
      <w:r>
        <w:t>WACC, NPV, IRR, 회수기간의 계산 기준이 명확한가?</w:t>
      </w:r>
    </w:p>
    <w:p>
      <w:pPr>
        <w:pStyle w:val="Heading1"/>
      </w:pPr>
      <w:r>
        <w:t>5. 종합 검토의견</w:t>
      </w:r>
    </w:p>
    <w:p>
      <w:r>
        <w:t>본 건은 제품 이송 자동화로 물류 정체 해소 및 안전 리스크 감소을 위한 투자이다. 현업 제시 총투자비는 210억원이며 연간 기대효과는 68억원이다. 검증 시 확인할 핵심 사항은 가동 예정은 2029년이나 현금흐름에는 2028년부터 효과 반영; 생산성 향상과 생산차질 감소 효과의 중복 가능성 확인 필요이다. AI 결과는 검토 초안으로 활용하고 최종 판단은 담당자가 근거자료를 확인한 후 확정한다.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