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Times New Roman" w:cs="Times New Roman" w:eastAsia="Times New Roman" w:hAnsi="Times New Roman"/>
          <w:b/>
          <w:bCs/>
          <w:sz w:val="32"/>
          <w:szCs w:val="32"/>
        </w:rPr>
        <w:t xml:space="preserve">Paper2 Appendix A — Statistical Kernel Benchmark and Recon-Only Profiling</w:t>
      </w:r>
    </w:p>
    <w:p>
      <w:pPr>
        <w:spacing w:after="120" w:line="260"/>
      </w:pPr>
      <w:r>
        <w:rPr>
          <w:rFonts w:ascii="Times New Roman" w:cs="Times New Roman" w:eastAsia="Times New Roman" w:hAnsi="Times New Roman"/>
          <w:b w:val="false"/>
          <w:bCs w:val="false"/>
          <w:i/>
          <w:iCs/>
          <w:sz w:val="20"/>
          <w:szCs w:val="20"/>
        </w:rPr>
        <w:t xml:space="preserve">gauss_paper_v2 canonical run (2026-07-27/28) + real-solver CHENG3_PROF/E3D_PROF 500-step profile (2026-07-13). Archived for paper2 drafting; not yet inserted into the manuscript.</w:t>
      </w:r>
    </w:p>
    <w:p>
      <w:pPr>
        <w:pStyle w:val="Heading1"/>
        <w:spacing w:after="160" w:before="280"/>
      </w:pPr>
      <w:r>
        <w:rPr>
          <w:rFonts w:ascii="Times New Roman" w:cs="Times New Roman" w:eastAsia="Times New Roman" w:hAnsi="Times New Roman"/>
          <w:b/>
          <w:bCs/>
          <w:sz w:val="28"/>
          <w:szCs w:val="28"/>
        </w:rPr>
        <w:t xml:space="preserve">1. Provenance</w:t>
      </w:r>
    </w:p>
    <w:p>
      <w:pPr>
        <w:spacing w:after="120" w:line="260"/>
      </w:pPr>
      <w:r>
        <w:rPr>
          <w:rFonts w:ascii="Times New Roman" w:cs="Times New Roman" w:eastAsia="Times New Roman" w:hAnsi="Times New Roman"/>
          <w:b w:val="false"/>
          <w:bCs w:val="false"/>
          <w:i w:val="false"/>
          <w:iCs w:val="false"/>
          <w:sz w:val="20"/>
          <w:szCs w:val="20"/>
        </w:rPr>
        <w:t xml:space="preserve">Supersedes three earlier, mutually inconsistent benchmarks (autoresearch-260628-thinc-shapes, cpp/results/gauss_paper/, an unsourced "Table 10"). Fixes their defects: cells are randomised (10,000 per shape, not one representative shape), the cell-D stage and the face stage are measured separately (the face experiment holds D fixed so no cell-D error leaks in), and everything comes from one program per dimension with one seed.</w:t>
      </w:r>
    </w:p>
    <w:p>
      <w:pPr>
        <w:spacing w:after="120" w:line="260"/>
      </w:pPr>
      <w:r>
        <w:rPr>
          <w:rFonts w:ascii="Times New Roman" w:cs="Times New Roman" w:eastAsia="Times New Roman" w:hAnsi="Times New Roman"/>
          <w:b w:val="false"/>
          <w:bCs w:val="false"/>
          <w:i w:val="false"/>
          <w:iCs w:val="false"/>
          <w:sz w:val="20"/>
          <w:szCs w:val="20"/>
        </w:rPr>
        <w:t xml:space="preserve">Two bugs were found and fixed during this work, both verified dormant on every mesh cited in the paper (byte-identical regression on leveque/mach3/double-mach/S1/S2/S3, and on the 3D langseth/deform meshes):</w:t>
      </w:r>
    </w:p>
    <w:p>
      <w:pPr>
        <w:spacing w:after="120" w:line="260"/>
      </w:pPr>
      <w:r>
        <w:rPr>
          <w:rFonts w:ascii="Times New Roman" w:cs="Times New Roman" w:eastAsia="Times New Roman" w:hAnsi="Times New Roman"/>
          <w:b w:val="false"/>
          <w:bCs w:val="false"/>
          <w:i w:val="false"/>
          <w:iCs w:val="false"/>
          <w:sz w:val="19"/>
          <w:szCs w:val="19"/>
        </w:rPr>
        <w:t xml:space="preserve">(a) 2D: quadrilateral cells were integrated over the sub-triangle formed by the first three nodes only (production Newton path and the analytic c3_build_gmom). Fixed by fan-triangulating about the cell centroid with signed (non-convex-safe) sub-triangle areas. reconstruct_bvd.hpp.</w:t>
      </w:r>
    </w:p>
    <w:p>
      <w:pPr>
        <w:spacing w:after="120" w:line="260"/>
      </w:pPr>
      <w:r>
        <w:rPr>
          <w:rFonts w:ascii="Times New Roman" w:cs="Times New Roman" w:eastAsia="Times New Roman" w:hAnsi="Times New Roman"/>
          <w:b w:val="false"/>
          <w:bCs w:val="false"/>
          <w:i w:val="false"/>
          <w:iCs w:val="false"/>
          <w:sz w:val="19"/>
          <w:szCs w:val="19"/>
        </w:rPr>
        <w:t xml:space="preserve">(b) 3D: non-planar quadrilateral faces were normalised by the mesh's v0-fan face_areas while the moment quadrature itself fans from the face centroid, causing a weight-sum error up to 1.7e-1 on warped hex/prism/pyramid faces. Fixed by self-normalising with the same centroid-fan area. reconstruct3d_unstr.hpp.</w:t>
      </w:r>
    </w:p>
    <w:p>
      <w:pPr>
        <w:spacing w:after="120" w:line="260"/>
      </w:pPr>
      <w:r>
        <w:rPr>
          <w:rFonts w:ascii="Times New Roman" w:cs="Times New Roman" w:eastAsia="Times New Roman" w:hAnsi="Times New Roman"/>
          <w:b w:val="false"/>
          <w:bCs w:val="false"/>
          <w:i/>
          <w:iCs/>
          <w:sz w:val="20"/>
          <w:szCs w:val="20"/>
        </w:rPr>
        <w:t xml:space="preserve">Source programs (gauss_paper_v2_2d.cpp, thinc_stats_3d.cpp), build/run scripts, raw CSVs (180k-540k rows) and full stdout are kept in cpp/results/gauss_paper_v2/ for reproducibility.</w:t>
      </w:r>
    </w:p>
    <w:p>
      <w:pPr>
        <w:pStyle w:val="Heading1"/>
        <w:spacing w:after="160" w:before="280"/>
      </w:pPr>
      <w:r>
        <w:rPr>
          <w:rFonts w:ascii="Times New Roman" w:cs="Times New Roman" w:eastAsia="Times New Roman" w:hAnsi="Times New Roman"/>
          <w:b/>
          <w:bCs/>
          <w:sz w:val="28"/>
          <w:szCs w:val="28"/>
        </w:rPr>
        <w:t xml:space="preserve">2. Table A.2 — 2D closed-form GAUSS vs baseline (Xie–Xiao THINC/QQ)</w:t>
      </w:r>
    </w:p>
    <w:p>
      <w:pPr>
        <w:spacing w:after="80" w:before="100"/>
      </w:pPr>
      <w:r>
        <w:rPr>
          <w:rFonts w:ascii="Times New Roman" w:cs="Times New Roman" w:eastAsia="Times New Roman" w:hAnsi="Times New Roman"/>
          <w:i/>
          <w:iCs/>
          <w:sz w:val="19"/>
          <w:szCs w:val="19"/>
        </w:rPr>
        <w:t xml:space="preserve">Randomised cells/edges, 3 random P2 surfaces x 3 beta each, 10,000 samples/shape. Reference = 256-pt Duffy-collapsed Gauss-Legendre. Errors in bounded tanh-space |D|&lt;1. Well-posed samples only (reference residual &lt; 1e-10).</w:t>
      </w:r>
    </w:p>
    <w:p>
      <w:pPr>
        <w:pStyle w:val="Heading2"/>
        <w:spacing w:after="120" w:before="220"/>
      </w:pPr>
      <w:r>
        <w:rPr>
          <w:rFonts w:ascii="Times New Roman" w:cs="Times New Roman" w:eastAsia="Times New Roman" w:hAnsi="Times New Roman"/>
          <w:b/>
          <w:bCs/>
          <w:sz w:val="24"/>
          <w:szCs w:val="24"/>
        </w:rPr>
        <w:t xml:space="preserve">2a. Cell-D (shape x beta, all |Q|)</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300"/>
      </w:tblGrid>
      <w:tr>
        <w:trPr>
          <w:tblHeader/>
        </w:trPr>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shape</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beta</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Newton RMS</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Newton p99</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 RMS</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 p99</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triangle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6.87e-3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2.16e-2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2.48e-2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1.03e-1</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triangle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2.55e-2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8.92e-2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5.43e-2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2.31e-1</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triangle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8.33e-2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3.53e-1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1.02e-1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4.54e-1</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1.28e-4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2.46e-4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6.05e-3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1.86e-2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8.13e-4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2.14e-3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1.86e-2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6.76e-2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3.63e-3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1.32e-2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4.57e-2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1.78e-1</w:t>
            </w:r>
          </w:p>
        </w:tc>
      </w:tr>
    </w:tbl>
    <w:p>
      <w:pPr>
        <w:spacing w:after="120" w:line="260"/>
      </w:pPr>
      <w:r>
        <w:rPr>
          <w:rFonts w:ascii="Times New Roman" w:cs="Times New Roman" w:eastAsia="Times New Roman" w:hAnsi="Times New Roman"/>
          <w:b w:val="false"/>
          <w:bCs w:val="false"/>
          <w:i w:val="false"/>
          <w:iCs w:val="false"/>
          <w:sz w:val="20"/>
          <w:szCs w:val="20"/>
        </w:rPr>
        <w:t xml:space="preserve"/>
      </w:r>
    </w:p>
    <w:p>
      <w:pPr>
        <w:pStyle w:val="Heading2"/>
        <w:spacing w:after="120" w:before="220"/>
      </w:pPr>
      <w:r>
        <w:rPr>
          <w:rFonts w:ascii="Times New Roman" w:cs="Times New Roman" w:eastAsia="Times New Roman" w:hAnsi="Times New Roman"/>
          <w:b/>
          <w:bCs/>
          <w:sz w:val="24"/>
          <w:szCs w:val="24"/>
        </w:rPr>
        <w:t xml:space="preserve">2b. Face value (edge, D held fixed; beta aggregate, all |Q|)</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600"/>
        <w:gridCol w:w="1600"/>
      </w:tblGrid>
      <w:tr>
        <w:trPr>
          <w:tblHeader/>
        </w:trPr>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beta</w:t>
            </w:r>
          </w:p>
        </w:tc>
        <w:tc>
          <w:tcPr>
            <w:tcW w:type="dxa" w:w="16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4pt-GL RMS</w:t>
            </w:r>
          </w:p>
        </w:tc>
        <w:tc>
          <w:tcPr>
            <w:tcW w:type="dxa" w:w="16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4pt-GL p99</w:t>
            </w:r>
          </w:p>
        </w:tc>
        <w:tc>
          <w:tcPr>
            <w:tcW w:type="dxa" w:w="16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 RMS</w:t>
            </w:r>
          </w:p>
        </w:tc>
        <w:tc>
          <w:tcPr>
            <w:tcW w:type="dxa" w:w="16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 p99</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0.8</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4.02e-3</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1.01e-2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1.79e-2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7.97e-2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1.6</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1.02e-2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4.95e-2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3.44e-2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1.45e-1</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2.55e-2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1.17e-1</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5.70e-2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2.09e-1</w:t>
            </w:r>
          </w:p>
        </w:tc>
      </w:tr>
    </w:tbl>
    <w:p>
      <w:pPr>
        <w:spacing w:after="120" w:line="260"/>
      </w:pPr>
      <w:r>
        <w:rPr>
          <w:rFonts w:ascii="Times New Roman" w:cs="Times New Roman" w:eastAsia="Times New Roman" w:hAnsi="Times New Roman"/>
          <w:b w:val="false"/>
          <w:bCs w:val="false"/>
          <w:i w:val="false"/>
          <w:iCs w:val="false"/>
          <w:sz w:val="20"/>
          <w:szCs w:val="20"/>
        </w:rPr>
        <w:t xml:space="preserve"/>
      </w:r>
    </w:p>
    <w:p>
      <w:pPr>
        <w:pStyle w:val="Heading2"/>
        <w:spacing w:after="120" w:before="220"/>
      </w:pPr>
      <w:r>
        <w:rPr>
          <w:rFonts w:ascii="Times New Roman" w:cs="Times New Roman" w:eastAsia="Times New Roman" w:hAnsi="Times New Roman"/>
          <w:b/>
          <w:bCs/>
          <w:sz w:val="24"/>
          <w:szCs w:val="24"/>
        </w:rPr>
        <w:t xml:space="preserve">2c. |Q| -&gt; +-1 saturation check, cell-D (RMS, GAUSS)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200"/>
      </w:tblGrid>
      <w:tr>
        <w:trPr>
          <w:tblHeader/>
        </w:trPr>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shape / beta</w:t>
            </w:r>
          </w:p>
        </w:tc>
        <w:tc>
          <w:tcPr>
            <w:tcW w:type="dxa" w:w="11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[0,0.3)</w:t>
            </w:r>
          </w:p>
        </w:tc>
        <w:tc>
          <w:tcPr>
            <w:tcW w:type="dxa" w:w="11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[0.3,0.6)</w:t>
            </w:r>
          </w:p>
        </w:tc>
        <w:tc>
          <w:tcPr>
            <w:tcW w:type="dxa" w:w="11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[0.6,0.85)</w:t>
            </w:r>
          </w:p>
        </w:tc>
        <w:tc>
          <w:tcPr>
            <w:tcW w:type="dxa" w:w="11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[0.85,0.99)</w:t>
            </w:r>
          </w:p>
        </w:tc>
        <w:tc>
          <w:tcPr>
            <w:tcW w:type="dxa" w:w="11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[0.99,1)</w:t>
            </w:r>
          </w:p>
        </w:tc>
        <w:tc>
          <w:tcPr>
            <w:tcW w:type="dxa" w:w="12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ratio lo/hi</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 0.8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4.87e-2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1.96e-2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1.85e-2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9.03e-3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1.20e-3</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41x</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 1.6</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1.14e-1</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3.93e-2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2.72e-2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1.23e-2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1.34e-3</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85x</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 3.2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2.20e-1</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6.66e-2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3.03e-2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1.11e-2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7.72e-4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285x</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 0.8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1.09e-2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6.60e-3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3.08e-3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3.92e-3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8.44e-4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13x</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 1.6</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3.67e-2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1.87e-2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7.22e-3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7.21e-3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1.25e-3</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29x</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 3.2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9.70e-2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3.89e-2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6.32e-3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8.07e-4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120x</w:t>
            </w:r>
          </w:p>
        </w:tc>
      </w:tr>
    </w:tbl>
    <w:p>
      <w:pPr>
        <w:spacing w:after="120" w:line="260"/>
      </w:pPr>
      <w:r>
        <w:rPr>
          <w:rFonts w:ascii="Times New Roman" w:cs="Times New Roman" w:eastAsia="Times New Roman" w:hAnsi="Times New Roman"/>
          <w:b w:val="false"/>
          <w:bCs w:val="false"/>
          <w:i/>
          <w:iCs/>
          <w:sz w:val="19"/>
          <w:szCs w:val="19"/>
        </w:rPr>
        <w:t xml:space="preserve">Face (D fixed) RMS falls only 1.6x (beta=0.8) to 1.25x (beta=3.2) over the same bins — the saturation argument holds strongly for the cell-D inversion but only weakly for the face integral (driven by the edge variance term, which does not vanish with |Q|).</w:t>
      </w:r>
    </w:p>
    <w:p>
      <w:pPr>
        <w:pStyle w:val="Heading1"/>
        <w:spacing w:after="160" w:before="280"/>
      </w:pPr>
      <w:r>
        <w:rPr>
          <w:rFonts w:ascii="Times New Roman" w:cs="Times New Roman" w:eastAsia="Times New Roman" w:hAnsi="Times New Roman"/>
          <w:b/>
          <w:bCs/>
          <w:sz w:val="28"/>
          <w:szCs w:val="28"/>
        </w:rPr>
        <w:t xml:space="preserve">3. Table A.3 — 3D closed-form GAUSS vs baseline</w:t>
      </w:r>
    </w:p>
    <w:p>
      <w:pPr>
        <w:spacing w:after="80" w:before="100"/>
      </w:pPr>
      <w:r>
        <w:rPr>
          <w:rFonts w:ascii="Times New Roman" w:cs="Times New Roman" w:eastAsia="Times New Roman" w:hAnsi="Times New Roman"/>
          <w:i/>
          <w:iCs/>
          <w:sz w:val="19"/>
          <w:szCs w:val="19"/>
        </w:rPr>
        <w:t xml:space="preserve">4 cell shapes x 10,000 random cells x 3 P2 x 3 beta = 360,000 cell-D samples; 540,000 face samples. Reference = same tanh algorithm at THINCQQ_TANH_NQ=12 (production = NQ=2). Primary metric = cell-average conservation error |&lt;tanh(kk P + D)&gt;_ref - Q| (well-posed for every sample); the raw shift error |D-D_ref| is ill-posed under saturation and is reported only as a control (§3d below).</w:t>
      </w:r>
    </w:p>
    <w:p>
      <w:pPr>
        <w:pStyle w:val="Heading2"/>
        <w:spacing w:after="120" w:before="220"/>
      </w:pPr>
      <w:r>
        <w:rPr>
          <w:rFonts w:ascii="Times New Roman" w:cs="Times New Roman" w:eastAsia="Times New Roman" w:hAnsi="Times New Roman"/>
          <w:b/>
          <w:bCs/>
          <w:sz w:val="24"/>
          <w:szCs w:val="24"/>
        </w:rPr>
        <w:t xml:space="preserve">3a. Cell-D conservation error (shape x beta, all |Q|)</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300"/>
      </w:tblGrid>
      <w:tr>
        <w:trPr>
          <w:tblHeader/>
        </w:trPr>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shape</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beta</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Newton RMS</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Newton p99</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 RMS</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 p99</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hexahedron</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4.43e-4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1.77e-3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2.42e-3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6.06e-3</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hexahedron</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1.12e-3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4.30e-3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7.32e-3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1.78e-2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hexahedron</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3.26e-3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1.28e-2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1.62e-2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3.95e-2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prism</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4.58e-3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5.38e-3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1.83e-2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prism</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3.15e-3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1.29e-2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1.36e-2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4.71e-2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prism</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7.48e-3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2.86e-2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2.47e-2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8.22e-2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pyramid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3.85e-3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4.34e-3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1.39e-2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pyramid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2.95e-3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1.15e-2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1.18e-2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4.01e-2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pyramid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7.45e-3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2.78e-2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2.25e-2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7.10e-2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tetrahedron</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5.94e-3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1.69e-2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1.58e-2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6.69e-2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tetrahedron</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1.37e-2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3.67e-2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2.81e-2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1.19e-1</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tetrahedron</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2.94e-2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7.81e-2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4.03e-2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1.58e-1</w:t>
            </w:r>
          </w:p>
        </w:tc>
      </w:tr>
    </w:tbl>
    <w:p>
      <w:pPr>
        <w:spacing w:after="120" w:line="260"/>
      </w:pPr>
      <w:r>
        <w:rPr>
          <w:rFonts w:ascii="Times New Roman" w:cs="Times New Roman" w:eastAsia="Times New Roman" w:hAnsi="Times New Roman"/>
          <w:b w:val="false"/>
          <w:bCs w:val="false"/>
          <w:i w:val="false"/>
          <w:iCs w:val="false"/>
          <w:sz w:val="20"/>
          <w:szCs w:val="20"/>
        </w:rPr>
        <w:t xml:space="preserve"/>
      </w:r>
    </w:p>
    <w:p>
      <w:pPr>
        <w:pStyle w:val="Heading2"/>
        <w:spacing w:after="120" w:before="220"/>
      </w:pPr>
      <w:r>
        <w:rPr>
          <w:rFonts w:ascii="Times New Roman" w:cs="Times New Roman" w:eastAsia="Times New Roman" w:hAnsi="Times New Roman"/>
          <w:b/>
          <w:bCs/>
          <w:sz w:val="24"/>
          <w:szCs w:val="24"/>
        </w:rPr>
        <w:t xml:space="preserve">3b. Face value (D held fixed; shape x beta, all |Q|)</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300"/>
      </w:tblGrid>
      <w:tr>
        <w:trPr>
          <w:tblHeader/>
        </w:trPr>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face shape</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beta</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prod. quad RMS</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prod. p99</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 RMS</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 p99</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2.80e-3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7.38e-3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2.81e-2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7.87e-3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3.57e-2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1.84e-2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7.39e-2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1.76e-2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7.65e-2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3.34e-2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1.27e-1</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triangle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7.34e-3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3.14e-2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6.35e-2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triangle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1.54e-2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7.05e-2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2.85e-2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1.25e-1</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triangle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2.81e-2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1.19e-1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4.36e-2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1.78e-1</w:t>
            </w:r>
          </w:p>
        </w:tc>
      </w:tr>
    </w:tbl>
    <w:p>
      <w:pPr>
        <w:spacing w:after="120" w:line="260"/>
      </w:pPr>
      <w:r>
        <w:rPr>
          <w:rFonts w:ascii="Times New Roman" w:cs="Times New Roman" w:eastAsia="Times New Roman" w:hAnsi="Times New Roman"/>
          <w:b w:val="false"/>
          <w:bCs w:val="false"/>
          <w:i w:val="false"/>
          <w:iCs w:val="false"/>
          <w:sz w:val="20"/>
          <w:szCs w:val="20"/>
        </w:rPr>
        <w:t xml:space="preserve"/>
      </w:r>
    </w:p>
    <w:p>
      <w:pPr>
        <w:pStyle w:val="Heading2"/>
        <w:spacing w:after="120" w:before="220"/>
      </w:pPr>
      <w:r>
        <w:rPr>
          <w:rFonts w:ascii="Times New Roman" w:cs="Times New Roman" w:eastAsia="Times New Roman" w:hAnsi="Times New Roman"/>
          <w:b/>
          <w:bCs/>
          <w:sz w:val="24"/>
          <w:szCs w:val="24"/>
        </w:rPr>
        <w:t xml:space="preserve">3c. |Q| -&gt; +-1 saturation check, cell-D conservation error (RMS, GAUSS)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200"/>
      </w:tblGrid>
      <w:tr>
        <w:trPr>
          <w:tblHeader/>
        </w:trPr>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shape / beta</w:t>
            </w:r>
          </w:p>
        </w:tc>
        <w:tc>
          <w:tcPr>
            <w:tcW w:type="dxa" w:w="11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[0,0.3)</w:t>
            </w:r>
          </w:p>
        </w:tc>
        <w:tc>
          <w:tcPr>
            <w:tcW w:type="dxa" w:w="11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[0.3,0.6)</w:t>
            </w:r>
          </w:p>
        </w:tc>
        <w:tc>
          <w:tcPr>
            <w:tcW w:type="dxa" w:w="11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[0.6,0.85)</w:t>
            </w:r>
          </w:p>
        </w:tc>
        <w:tc>
          <w:tcPr>
            <w:tcW w:type="dxa" w:w="11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[0.85,1)</w:t>
            </w:r>
          </w:p>
        </w:tc>
        <w:tc>
          <w:tcPr>
            <w:tcW w:type="dxa" w:w="11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ratio lo/hi</w:t>
            </w:r>
          </w:p>
        </w:tc>
        <w:tc>
          <w:tcPr>
            <w:tcW w:type="dxa" w:w="12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monotone?</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hex 0.8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2.65e-3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3.26e-3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1.66e-3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2.37e-3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1.12x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hex 1.6</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8.21e-3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9.45e-3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5.46e-3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7.18e-3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hex 3.2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1.97e-2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2.02e-2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1.35e-2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1.54e-2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prism 0.8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9.47e-3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6.48e-3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4.65e-3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4.52e-3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2.10x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prism 1.6</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2.23e-2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1.65e-2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1.38e-2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1.12e-2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prism 3.2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4.24e-2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3.15e-2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2.63e-2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1.91e-2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2.22x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pyramid 0.8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7.02e-3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5.53e-3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3.51e-3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3.78e-3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1.86x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pyramid 1.6</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1.92e-2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1.43e-2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1.22e-2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9.79e-3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1.96x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pyramid 3.2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3.65e-2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2.85e-2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2.40e-2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1.79e-2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2.04x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tet 0.8</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3.15e-2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2.31e-2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1.81e-2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8.64e-3</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3.65x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tet 1.6</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5.70e-2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3.87e-2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3.40e-2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1.56e-2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3.65x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tet 3.2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7.85e-2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5.72e-2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4.98e-2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2.28e-2</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3.44x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yes</w:t>
            </w:r>
          </w:p>
        </w:tc>
      </w:tr>
    </w:tbl>
    <w:p>
      <w:pPr>
        <w:spacing w:after="120" w:line="260"/>
      </w:pPr>
      <w:r>
        <w:rPr>
          <w:rFonts w:ascii="Times New Roman" w:cs="Times New Roman" w:eastAsia="Times New Roman" w:hAnsi="Times New Roman"/>
          <w:b w:val="false"/>
          <w:bCs w:val="false"/>
          <w:i/>
          <w:iCs/>
          <w:sz w:val="19"/>
          <w:szCs w:val="19"/>
        </w:rPr>
        <w:t xml:space="preserve">Pooled over all shapes/beta: 3.52e-2 -&gt; 2.60e-2 -&gt; 2.21e-2 -&gt; 1.32e-2 (ratio 2.68x). Strongest on tetrahedra, weakest/non-monotone on hexahedra. Face error (D fixed) falls 2.0-2.7x over the same bins, unlike 2D where the face effect was weak — see §3d for why the raw shift |D-D_ref| goes the opposite way (an artefact of D becoming ill-determined under saturation, not a loss of accuracy).</w:t>
      </w:r>
    </w:p>
    <w:p>
      <w:pPr>
        <w:pStyle w:val="Heading1"/>
        <w:spacing w:after="160" w:before="280"/>
      </w:pPr>
      <w:r>
        <w:rPr>
          <w:rFonts w:ascii="Times New Roman" w:cs="Times New Roman" w:eastAsia="Times New Roman" w:hAnsi="Times New Roman"/>
          <w:b/>
          <w:bCs/>
          <w:sz w:val="28"/>
          <w:szCs w:val="28"/>
        </w:rPr>
        <w:t xml:space="preserve">4. Wall time — isolated kernel microbenchmark (CORRECTED 2026-07-28)</w:t>
      </w:r>
    </w:p>
    <w:p>
      <w:pPr>
        <w:spacing w:after="80" w:before="100"/>
      </w:pPr>
      <w:r>
        <w:rPr>
          <w:rFonts w:ascii="Times New Roman" w:cs="Times New Roman" w:eastAsia="Times New Roman" w:hAnsi="Times New Roman"/>
          <w:i/>
          <w:iCs/>
          <w:sz w:val="19"/>
          <w:szCs w:val="19"/>
        </w:rPr>
        <w:t xml:space="preserve">Single-thread. Timing loop wraps the FULL randomised sample population per shape (90,000 calls) with start/end timers once (CHENG3_PROF-style aggregate-and-divide), reusing the exact same seeded cells as the accuracy experiment (verified by replaying the RNG streams and diffing against the CSVs). Isolates the shift (D) and face evaluation kernels only — no LSQ gradient, vertex bounds, or BVD selection.</w:t>
      </w:r>
    </w:p>
    <w:p>
      <w:pPr>
        <w:spacing w:after="120" w:line="260"/>
      </w:pPr>
      <w:r>
        <w:rPr>
          <w:rFonts w:ascii="Times New Roman" w:cs="Times New Roman" w:eastAsia="Times New Roman" w:hAnsi="Times New Roman"/>
          <w:b w:val="false"/>
          <w:bCs w:val="false"/>
          <w:i/>
          <w:iCs/>
          <w:sz w:val="20"/>
          <w:szCs w:val="20"/>
        </w:rPr>
        <w:t xml:space="preserve">This supersedes the first-pass wall-time tables below in two ways: (1) the 2D pass originally measured triangles only (the shared 60,000-sample timing pool happened to be filled entirely by the triangle sweep; quads were never timed) — quad is now included. (2) The first-pass 3D program timed RNG draw + P-polynomial construction + H recomputation INSIDE the timed region; since GAUSS itself takes ~0.03 us, that ~0.165 us/call harness overhead inflated its reported cost by roughly 7x. tanh Newton (~2-4 us) was comparatively unaffected. Both defects are fixed here; fixed source in cpp/results/gauss_paper_v2/wall_time_2d.cpp and wall_time_3d.cpp.</w:t>
      </w:r>
    </w:p>
    <w:p>
      <w:pPr>
        <w:pStyle w:val="Heading2"/>
        <w:spacing w:after="120" w:before="220"/>
      </w:pPr>
      <w:r>
        <w:rPr>
          <w:rFonts w:ascii="Times New Roman" w:cs="Times New Roman" w:eastAsia="Times New Roman" w:hAnsi="Times New Roman"/>
          <w:b/>
          <w:bCs/>
          <w:sz w:val="24"/>
          <w:szCs w:val="24"/>
        </w:rPr>
        <w:t xml:space="preserve">4a. 2D (ns/call, 90,000 calls/shape)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00"/>
        <w:gridCol w:w="1500"/>
      </w:tblGrid>
      <w:tr>
        <w:trPr>
          <w:tblHeader/>
        </w:trPr>
        <w:tc>
          <w:tcPr>
            <w:tcW w:type="dxa" w:w="18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shape</w:t>
            </w:r>
          </w:p>
        </w:tc>
        <w:tc>
          <w:tcPr>
            <w:tcW w:type="dxa" w:w="2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method</w:t>
            </w:r>
          </w:p>
        </w:tc>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ns/call</w:t>
            </w:r>
          </w:p>
        </w:tc>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speedup</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triangle (6-pt)</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tanh Newton 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219.9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triangle</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GAUSS 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14.4x</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 (24-pt)</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tanh Newton 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617.6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quad</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GAUSS 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40.9x</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edge</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baseline face (4-pt GL)</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78.2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edge</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GAUSS face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2.17x</w:t>
            </w:r>
          </w:p>
        </w:tc>
      </w:tr>
    </w:tbl>
    <w:p>
      <w:pPr>
        <w:spacing w:after="120" w:line="260"/>
      </w:pPr>
      <w:r>
        <w:rPr>
          <w:rFonts w:ascii="Times New Roman" w:cs="Times New Roman" w:eastAsia="Times New Roman" w:hAnsi="Times New Roman"/>
          <w:b w:val="false"/>
          <w:bCs w:val="false"/>
          <w:i/>
          <w:iCs/>
          <w:sz w:val="19"/>
          <w:szCs w:val="19"/>
        </w:rPr>
        <w:t xml:space="preserve">GAUSS cell-D is shape-insensitive (15.1 vs 15.2 ns — an algebraic contraction of cached moments, independent of the fan decomposition), while tanh Newton costs 2.8x more on a quad than a triangle (24 vs 6 quadrature points after the quad fix). The GAUSS advantage is therefore larger on quads than on triangles. Triangle numbers are consistent with the pre-correction pass (219.9 vs 226.2, 15.2 vs 15.7, 78.2 vs 77.3, 36.1 vs 34.9 — within ~3%, confirming the methodology change itself did not move the numbers).</w:t>
      </w:r>
    </w:p>
    <w:p>
      <w:pPr>
        <w:spacing w:after="120" w:line="260"/>
      </w:pPr>
      <w:r>
        <w:rPr>
          <w:rFonts w:ascii="Times New Roman" w:cs="Times New Roman" w:eastAsia="Times New Roman" w:hAnsi="Times New Roman"/>
          <w:b w:val="false"/>
          <w:bCs w:val="false"/>
          <w:i w:val="false"/>
          <w:iCs w:val="false"/>
          <w:sz w:val="20"/>
          <w:szCs w:val="20"/>
        </w:rPr>
        <w:t xml:space="preserve"/>
      </w:r>
    </w:p>
    <w:p>
      <w:pPr>
        <w:pStyle w:val="Heading2"/>
        <w:spacing w:after="120" w:before="220"/>
      </w:pPr>
      <w:r>
        <w:rPr>
          <w:rFonts w:ascii="Times New Roman" w:cs="Times New Roman" w:eastAsia="Times New Roman" w:hAnsi="Times New Roman"/>
          <w:b/>
          <w:bCs/>
          <w:sz w:val="24"/>
          <w:szCs w:val="24"/>
        </w:rPr>
        <w:t xml:space="preserve">4b. 3D (us/call, median of 3 passes x 90,000 calls/shape)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300"/>
        <w:gridCol w:w="1000"/>
        <w:gridCol w:w="1300"/>
        <w:gridCol w:w="1500"/>
        <w:gridCol w:w="1300"/>
        <w:gridCol w:w="1400"/>
      </w:tblGrid>
      <w:tr>
        <w:trPr>
          <w:tblHeader/>
        </w:trPr>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shape</w:t>
            </w:r>
          </w:p>
        </w:tc>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cell-D prod (NQ=2)</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cell-D GAUSS</w:t>
            </w:r>
          </w:p>
        </w:tc>
        <w:tc>
          <w:tcPr>
            <w:tcW w:type="dxa" w:w="10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speedup</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face shape</w:t>
            </w:r>
          </w:p>
        </w:tc>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face prod (NQ=2)</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face GAUSS</w:t>
            </w:r>
          </w:p>
        </w:tc>
        <w:tc>
          <w:tcPr>
            <w:tcW w:type="dxa" w:w="1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speedup</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tetrahedron</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2.227</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0.0278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80x</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triangle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0.247</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3.0x</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hexahedron</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3.906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0.0265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147x</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quad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0.309</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4.0x</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prism</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3.272</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0.0301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109x</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tri / quad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0.249 / 0.321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0.081 / 0.082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3.1x / 3.9x</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pyramid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2.799</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0.0273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102x</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tri / quad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0.245 / 0.319</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0.081 / 0.079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3.0x / 4.0x</w:t>
            </w:r>
          </w:p>
        </w:tc>
      </w:tr>
    </w:tbl>
    <w:p>
      <w:pPr>
        <w:spacing w:after="120" w:line="260"/>
      </w:pPr>
      <w:r>
        <w:rPr>
          <w:rFonts w:ascii="Times New Roman" w:cs="Times New Roman" w:eastAsia="Times New Roman" w:hAnsi="Times New Roman"/>
          <w:b w:val="false"/>
          <w:bCs w:val="false"/>
          <w:i/>
          <w:iCs/>
          <w:sz w:val="19"/>
          <w:szCs w:val="19"/>
        </w:rPr>
        <w:t xml:space="preserve">Face cost is a function of the FACE shape, not the cell it belongs to (tanh triangular faces 0.245-0.249 us regardless of parent cell; quad faces 0.309-0.321 us); GAUSS is flat at 0.078-0.082 us either way (a fixed 45-term dot product over the 35-entry moment table). tanh cell-D numbers agree with the pre-correction pass to within run-to-run noise (2.23/3.91/3.27/2.80 vs 2.42/4.33/3.35/2.95, same shape ordering); GAUSS cell-D was previously overstated ~7x by the harness bug above (0.192 vs the corrected 0.027-0.034), so the earlier '12-22x' cell-D speedup and '~2x' face speedup claims are both superseded — the honest numbers are 80-147x (cell-D) and 3.0-4.0x (face). Reference-quadrature cost for context (NQ=12, cell-D only, from the original harness): tet 417.9us, hex 758.1us, prism 598.9us, pyramid 520.7us.</w:t>
      </w:r>
    </w:p>
    <w:p>
      <w:pPr>
        <w:pStyle w:val="Heading1"/>
        <w:spacing w:after="160" w:before="280"/>
      </w:pPr>
      <w:r>
        <w:rPr>
          <w:rFonts w:ascii="Times New Roman" w:cs="Times New Roman" w:eastAsia="Times New Roman" w:hAnsi="Times New Roman"/>
          <w:b/>
          <w:bCs/>
          <w:sz w:val="28"/>
          <w:szCs w:val="28"/>
        </w:rPr>
        <w:t xml:space="preserve">4c. Hardware-level verification of the 3D 80-147x figure</w:t>
      </w:r>
    </w:p>
    <w:p>
      <w:pPr>
        <w:spacing w:after="120" w:line="260"/>
      </w:pPr>
      <w:r>
        <w:rPr>
          <w:rFonts w:ascii="Times New Roman" w:cs="Times New Roman" w:eastAsia="Times New Roman" w:hAnsi="Times New Roman"/>
          <w:b w:val="false"/>
          <w:bCs w:val="false"/>
          <w:i/>
          <w:iCs/>
          <w:sz w:val="20"/>
          <w:szCs w:val="20"/>
        </w:rPr>
        <w:t xml:space="preserve">The 3D cell-D speedup is large enough to warrant independent verification beyond wall-clock chrono. perf was unavailable (not installed, sudo requires a password); verification instead used RDTSC cycle counting (__rdtsc(), serialized with _mm_lfence() on both sides), isolated on physical core 50 (taskset -c 50, OMP_NUM_THREADS=1, system load 1.56-3.12 throughout, TSC 3593.246 MHz invariant). Four independent checks, all in agreement:</w:t>
      </w:r>
    </w:p>
    <w:p>
      <w:pPr>
        <w:spacing w:after="120" w:line="260"/>
      </w:pPr>
      <w:r>
        <w:rPr>
          <w:rFonts w:ascii="Times New Roman" w:cs="Times New Roman" w:eastAsia="Times New Roman" w:hAnsi="Times New Roman"/>
          <w:b w:val="false"/>
          <w:bCs w:val="false"/>
          <w:i w:val="false"/>
          <w:iCs w:val="false"/>
          <w:sz w:val="19"/>
          <w:szCs w:val="19"/>
        </w:rPr>
        <w:t xml:space="preserve">(1) Actual call counts, measured (not assumed) via a --wrap=tanh/--wrap=atanh build: tanh Newton cell-D calls tanh() exactly (quadrature points + 1) times per solve — 193 for hex — REGARDLESS of Newton iteration count, because u3_tanh_cellD precomputes tanh(kk*P_q) once per point via the Xie2017 tanh-addition identity and then iterates a purely rational function of the shift. GAUSS calls atanh() exactly once. The Newton loop itself contains zero transcendental calls and exactly one divide per point-iteration (confirmed in the disassembly: one vdivsd, Zen3 divide throughput ~4.5 cyc, matching the measured 4.58 cyc/point-iteration to within 2%).</w:t>
      </w:r>
    </w:p>
    <w:p>
      <w:pPr>
        <w:spacing w:after="120" w:line="260"/>
      </w:pPr>
      <w:r>
        <w:rPr>
          <w:rFonts w:ascii="Times New Roman" w:cs="Times New Roman" w:eastAsia="Times New Roman" w:hAnsi="Times New Roman"/>
          <w:b w:val="false"/>
          <w:bCs w:val="false"/>
          <w:i w:val="false"/>
          <w:iCs w:val="false"/>
          <w:sz w:val="19"/>
          <w:szCs w:val="19"/>
        </w:rPr>
        <w:t xml:space="preserve">(2) Standalone unit cost, measured with the same RDTSC harness: tanh() 50.1 cyc / 13.94 ns at uniform arguments, 43.67 cyc when replayed at the real in-situ argument distribution (dominated by 59.6% of hex arguments with |x|&lt;0.5, where tanh is cheaper); atanh() 66.1 cyc / 18.41 ns (atanh is more expensive per call than tanh, not cheaper).</w:t>
      </w:r>
    </w:p>
    <w:p>
      <w:pPr>
        <w:spacing w:after="120" w:line="260"/>
      </w:pPr>
      <w:r>
        <w:rPr>
          <w:rFonts w:ascii="Times New Roman" w:cs="Times New Roman" w:eastAsia="Times New Roman" w:hAnsi="Times New Roman"/>
          <w:b w:val="false"/>
          <w:bCs w:val="false"/>
          <w:i w:val="false"/>
          <w:iCs w:val="false"/>
          <w:sz w:val="19"/>
          <w:szCs w:val="19"/>
        </w:rPr>
        <w:t xml:space="preserve">(3) Cost-budget closure: independently-measured primitive costs x measured call counts reproduce the measured total to 1.6-1.9% for the tanh path (tanh table 193 x 43.67 = 8428.9 cyc predicted vs 8588.3 measured, +1.9%; Newton loop 192 x 5.325 x 4.58 = 4600.8 predicted vs 4680.8 measured, +1.7%) and to within the expected direction for GAUSS (atanh 65.8 + sqrt 7.3 + moment dot product 40.8 + ~8 flops serially sums to 117.9 cyc, 17% above the measured 100.5 cyc — attributed to out-of-order overlap between the mutually-independent atanh and sqrt/dot-product terms, and bounded below by the atanh-alone cost of 65.8 cyc, ruling out an elided call).</w:t>
      </w:r>
    </w:p>
    <w:p>
      <w:pPr>
        <w:spacing w:after="120" w:line="260"/>
      </w:pPr>
      <w:r>
        <w:rPr>
          <w:rFonts w:ascii="Times New Roman" w:cs="Times New Roman" w:eastAsia="Times New Roman" w:hAnsi="Times New Roman"/>
          <w:b w:val="false"/>
          <w:bCs w:val="false"/>
          <w:i w:val="false"/>
          <w:iCs w:val="false"/>
          <w:sz w:val="19"/>
          <w:szCs w:val="19"/>
        </w:rPr>
        <w:t xml:space="preserve">(4) Disassembly: the GAUSS kernel contains a genuine call atanh@plt whose result flows to the return value (cannot be dead-code-eliminated) and zero divsd instructions; the tanh Newton loop contains zero transcendental calls and exactly one vdivsd per point-iteration.</w:t>
      </w:r>
    </w:p>
    <w:p>
      <w:pPr>
        <w:spacing w:after="120" w:line="260"/>
      </w:pPr>
      <w:r>
        <w:rPr>
          <w:rFonts w:ascii="Times New Roman" w:cs="Times New Roman" w:eastAsia="Times New Roman" w:hAnsi="Times New Roman"/>
          <w:b w:val="false"/>
          <w:bCs w:val="false"/>
          <w:i/>
          <w:iCs/>
          <w:sz w:val="19"/>
          <w:szCs w:val="19"/>
        </w:rPr>
        <w:t xml:space="preserve">RDTSC and chrono agreed to &lt;1% on every row, and a fresh run of the unmodified original harness reproduced the number (hex 143.6x vs the reported 147.3x). Cold Newton start (D0=0) matches the production default (THINCQQ_TANH_WARM is opt-in, off for a documented fairness reason); even a hypothetical zero-iteration Newton would still leave hex at ~99x, since the 193 tanh calls are 59% of the cost on their own. Caveats: the comparison excludes the once-per-mesh u3_build_gmom precompute GAUSS requires (amortized, but real); the moment table was L3-resident in this benchmark (10k cells x 35 doubles = 2.8 MB) rather than DRAM-streaming at production mesh sizes, which was not tested; everything here is single-threaded. Verdict: the 80-147x figure is real and not a measurement artifact.</w:t>
      </w:r>
    </w:p>
    <w:p>
      <w:pPr>
        <w:pStyle w:val="Heading1"/>
        <w:spacing w:after="160" w:before="280"/>
      </w:pPr>
      <w:r>
        <w:rPr>
          <w:rFonts w:ascii="Times New Roman" w:cs="Times New Roman" w:eastAsia="Times New Roman" w:hAnsi="Times New Roman"/>
          <w:b/>
          <w:bCs/>
          <w:sz w:val="28"/>
          <w:szCs w:val="28"/>
        </w:rPr>
        <w:t xml:space="preserve">5. Real-solver recon-only profile (CHENG3_PROF / E3D_PROF, 500 steps)</w:t>
      </w:r>
    </w:p>
    <w:p>
      <w:pPr>
        <w:spacing w:after="80" w:before="100"/>
      </w:pPr>
      <w:r>
        <w:rPr>
          <w:rFonts w:ascii="Times New Roman" w:cs="Times New Roman" w:eastAsia="Times New Roman" w:hAnsi="Times New Roman"/>
          <w:i/>
          <w:iCs/>
          <w:sz w:val="19"/>
          <w:szCs w:val="19"/>
        </w:rPr>
        <w:t xml:space="preserve">From cpp/results/paper2_recon_profile/ (run 2026-07-13). End-to-end reconstruction cost inside the actual solver on the actual paper meshes, including the shared LSQ-gradient and BVD-selection cost the isolated microbenchmark above excludes. 2D timings are unaffected by the later quad-cell fix (all 2D paper meshes are triangular; the fix is a proven no-op on triangles). 3D wall-times are expected unaffected by the later gmom NQ=3-&gt;4 default change (gmom is a one-time per-mesh cost, confirmed noise-level insensitive on a direct NQ=3-vs-4 timing check on lang_h05); the physics metrics (rho/p/enstrophy) printed in these particular 3D logs are pre-fix (n=3) and are superseded for RESULT purposes -- only the timing breakdown is quoted here.</w:t>
      </w:r>
    </w:p>
    <w:p>
      <w:pPr>
        <w:pStyle w:val="Heading2"/>
        <w:spacing w:after="120" w:before="220"/>
      </w:pPr>
      <w:r>
        <w:rPr>
          <w:rFonts w:ascii="Times New Roman" w:cs="Times New Roman" w:eastAsia="Times New Roman" w:hAnsi="Times New Roman"/>
          <w:b/>
          <w:bCs/>
          <w:sz w:val="24"/>
          <w:szCs w:val="24"/>
        </w:rPr>
        <w:t xml:space="preserve">5a. 2D, CHENG3_PROF (1500 recon calls each)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1500"/>
        <w:gridCol w:w="1200"/>
        <w:gridCol w:w="1200"/>
        <w:gridCol w:w="1400"/>
      </w:tblGrid>
      <w:tr>
        <w:trPr>
          <w:tblHeader/>
        </w:trPr>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case</w:t>
            </w:r>
          </w:p>
        </w:tc>
        <w:tc>
          <w:tcPr>
            <w:tcW w:type="dxa" w:w="9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scheme</w:t>
            </w:r>
          </w:p>
        </w:tc>
        <w:tc>
          <w:tcPr>
            <w:tcW w:type="dxa" w:w="1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MUSCL (s)</w:t>
            </w:r>
          </w:p>
        </w:tc>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THINC total (s)</w:t>
            </w:r>
          </w:p>
        </w:tc>
        <w:tc>
          <w:tcPr>
            <w:tcW w:type="dxa" w:w="12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geom (s)</w:t>
            </w:r>
          </w:p>
        </w:tc>
        <w:tc>
          <w:tcPr>
            <w:tcW w:type="dxa" w:w="12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face (s)</w:t>
            </w:r>
          </w:p>
        </w:tc>
        <w:tc>
          <w:tcPr>
            <w:tcW w:type="dxa" w:w="1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BVD_sel (s)</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leveque</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4.221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11.334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5.298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6.035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1.614</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leveque</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4.123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9.242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3.872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5.369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1.610</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mach3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29.693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16.268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7.019</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9.248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3.292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mach3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30.264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15.968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6.618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9.350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3.342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double_mach</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116.366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60.558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28.323</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32.234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11.529</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double_mach</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120.167</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56.091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24.030</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32.060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11.983</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config3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51.976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37.844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22.231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15.612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3.841</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config3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48.836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20.648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8.416</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12.231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3.650</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shock_mixing</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23.729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21.214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10.516</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10.697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1.941</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shock_mixing</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24.086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12.501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4.912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7.588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1.913</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shock_vortex</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41.702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28.233</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12.301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15.932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3.908</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shock_vortex</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42.241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20.746</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8.002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12.743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3.886</w:t>
            </w:r>
          </w:p>
        </w:tc>
      </w:tr>
    </w:tbl>
    <w:p>
      <w:pPr>
        <w:spacing w:after="120" w:line="260"/>
      </w:pPr>
      <w:r>
        <w:rPr>
          <w:rFonts w:ascii="Times New Roman" w:cs="Times New Roman" w:eastAsia="Times New Roman" w:hAnsi="Times New Roman"/>
          <w:b w:val="false"/>
          <w:bCs w:val="false"/>
          <w:i w:val="false"/>
          <w:iCs w:val="false"/>
          <w:sz w:val="20"/>
          <w:szCs w:val="20"/>
        </w:rPr>
        <w:t xml:space="preserve"/>
      </w:r>
    </w:p>
    <w:p>
      <w:pPr>
        <w:pStyle w:val="Heading2"/>
        <w:spacing w:after="120" w:before="220"/>
      </w:pPr>
      <w:r>
        <w:rPr>
          <w:rFonts w:ascii="Times New Roman" w:cs="Times New Roman" w:eastAsia="Times New Roman" w:hAnsi="Times New Roman"/>
          <w:b/>
          <w:bCs/>
          <w:sz w:val="24"/>
          <w:szCs w:val="24"/>
        </w:rPr>
        <w:t xml:space="preserve">5b. 3D, E3D_PROF</w:t>
      </w:r>
    </w:p>
    <w:p>
      <w:pPr>
        <w:spacing w:after="120" w:line="260"/>
      </w:pPr>
      <w:r>
        <w:rPr>
          <w:rFonts w:ascii="Times New Roman" w:cs="Times New Roman" w:eastAsia="Times New Roman" w:hAnsi="Times New Roman"/>
          <w:b/>
          <w:bCs/>
          <w:i w:val="false"/>
          <w:iCs w:val="false"/>
          <w:sz w:val="19"/>
          <w:szCs w:val="19"/>
        </w:rPr>
        <w:t xml:space="preserve">deform (advect3d, custom RECON-breakdown instrumentation added this session):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1900"/>
        <w:gridCol w:w="1600"/>
      </w:tblGrid>
      <w:tr>
        <w:trPr>
          <w:tblHeader/>
        </w:trPr>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scheme</w:t>
            </w:r>
          </w:p>
        </w:tc>
        <w:tc>
          <w:tcPr>
            <w:tcW w:type="dxa" w:w="18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o2-LSQ (s)</w:t>
            </w:r>
          </w:p>
        </w:tc>
        <w:tc>
          <w:tcPr>
            <w:tcW w:type="dxa" w:w="20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cell-D-Newton (s)</w:t>
            </w:r>
          </w:p>
        </w:tc>
        <w:tc>
          <w:tcPr>
            <w:tcW w:type="dxa" w:w="19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face-quad+BVD (s)</w:t>
            </w:r>
          </w:p>
        </w:tc>
        <w:tc>
          <w:tcPr>
            <w:tcW w:type="dxa" w:w="16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total wall (s)</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S1</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642.5</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336.6</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311.6</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1568.3</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S2</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620.1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72.6</w:t>
            </w:r>
          </w:p>
        </w:tc>
        <w:tc>
          <w:tcPr>
            <w:tcW w:type="dxa" w:w="1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252.8</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1215.8</w:t>
            </w:r>
          </w:p>
        </w:tc>
      </w:tr>
    </w:tbl>
    <w:p>
      <w:pPr>
        <w:spacing w:after="120" w:line="260"/>
      </w:pPr>
      <w:r>
        <w:rPr>
          <w:rFonts w:ascii="Times New Roman" w:cs="Times New Roman" w:eastAsia="Times New Roman" w:hAnsi="Times New Roman"/>
          <w:b w:val="false"/>
          <w:bCs w:val="false"/>
          <w:i/>
          <w:iCs/>
          <w:sz w:val="19"/>
          <w:szCs w:val="19"/>
        </w:rPr>
        <w:t xml:space="preserve">sphere and 2cyl (langseth3d_unstr_bench) — E3D_PROF is not instrumented on this bench path (it reports 0 RHS calls); only total wall time is available.</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800"/>
        <w:gridCol w:w="1800"/>
      </w:tblGrid>
      <w:tr>
        <w:trPr>
          <w:tblHeader/>
        </w:trPr>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case</w:t>
            </w:r>
          </w:p>
        </w:tc>
        <w:tc>
          <w:tcPr>
            <w:tcW w:type="dxa" w:w="10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scheme</w:t>
            </w:r>
          </w:p>
        </w:tc>
        <w:tc>
          <w:tcPr>
            <w:tcW w:type="dxa" w:w="18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cells</w:t>
            </w:r>
          </w:p>
        </w:tc>
        <w:tc>
          <w:tcPr>
            <w:tcW w:type="dxa" w:w="18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total wall (s)</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sphere</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S1</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4,020,000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3457.5</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sphere</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S2</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4,020,000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2610.0</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2cyl</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S1</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1,864,800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1595.2</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2cyl</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S2</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1,864,800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1171.6</w:t>
            </w:r>
          </w:p>
        </w:tc>
      </w:tr>
    </w:tbl>
    <w:p>
      <w:r>
        <w:br w:type="page"/>
      </w:r>
    </w:p>
    <w:p>
      <w:pPr>
        <w:pStyle w:val="Heading1"/>
        <w:spacing w:after="160" w:before="280"/>
      </w:pPr>
      <w:r>
        <w:rPr>
          <w:rFonts w:ascii="Times New Roman" w:cs="Times New Roman" w:eastAsia="Times New Roman" w:hAnsi="Times New Roman"/>
          <w:b/>
          <w:bCs/>
          <w:sz w:val="28"/>
          <w:szCs w:val="28"/>
        </w:rPr>
        <w:t xml:space="preserve">7. Main-text tables and figures (compact, production beta=0.8 only)</w:t>
      </w:r>
    </w:p>
    <w:p>
      <w:pPr>
        <w:spacing w:after="120" w:line="260"/>
      </w:pPr>
      <w:r>
        <w:rPr>
          <w:rFonts w:ascii="Times New Roman" w:cs="Times New Roman" w:eastAsia="Times New Roman" w:hAnsi="Times New Roman"/>
          <w:b w:val="false"/>
          <w:bCs w:val="false"/>
          <w:i/>
          <w:iCs/>
          <w:sz w:val="20"/>
          <w:szCs w:val="20"/>
        </w:rPr>
        <w:t xml:space="preserve">The tables in sections 2-5 are the full statistical record (all beta, all |Q| bins, all stage breakdowns) and belong in Appendix A / the repository, not the main text. This section distills them into three compact tables plus one figure each, sized for the main text -- shape/beta sweeps and |Q|-bin detail are dropped in favor of a single production-beta row per shape, with the full sweep referenced but not reproduced.</w:t>
      </w:r>
    </w:p>
    <w:p>
      <w:pPr>
        <w:pStyle w:val="Heading2"/>
        <w:spacing w:after="120" w:before="220"/>
      </w:pPr>
      <w:r>
        <w:rPr>
          <w:rFonts w:ascii="Times New Roman" w:cs="Times New Roman" w:eastAsia="Times New Roman" w:hAnsi="Times New Roman"/>
          <w:b/>
          <w:bCs/>
          <w:sz w:val="24"/>
          <w:szCs w:val="24"/>
        </w:rPr>
        <w:t xml:space="preserve">Table 1 -- accuracy, baseline vs GAUSS at production beta (9 rows)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00"/>
        <w:gridCol w:w="1400"/>
        <w:gridCol w:w="1400"/>
        <w:gridCol w:w="1400"/>
        <w:gridCol w:w="1400"/>
      </w:tblGrid>
      <w:tr>
        <w:trPr>
          <w:tblHeader/>
        </w:trPr>
        <w:tc>
          <w:tcPr>
            <w:tcW w:type="dxa" w:w="9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Dim</w:t>
            </w:r>
          </w:p>
        </w:tc>
        <w:tc>
          <w:tcPr>
            <w:tcW w:type="dxa" w:w="9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Stage</w:t>
            </w:r>
          </w:p>
        </w:tc>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Shape</w:t>
            </w:r>
          </w:p>
        </w:tc>
        <w:tc>
          <w:tcPr>
            <w:tcW w:type="dxa" w:w="1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baseline RMS</w:t>
            </w:r>
          </w:p>
        </w:tc>
        <w:tc>
          <w:tcPr>
            <w:tcW w:type="dxa" w:w="1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baseline p99</w:t>
            </w:r>
          </w:p>
        </w:tc>
        <w:tc>
          <w:tcPr>
            <w:tcW w:type="dxa" w:w="1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 RMS</w:t>
            </w:r>
          </w:p>
        </w:tc>
        <w:tc>
          <w:tcPr>
            <w:tcW w:type="dxa" w:w="1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 p99</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triangle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6.87e-3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2.16e-2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2.48e-2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1.03e-1</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quad</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1.28e-4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2.46e-4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6.05e-3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1.86e-2</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face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edge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4.02e-3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1.01e-2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1.79e-2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7.97e-2</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tetrahedron</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5.94e-3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1.69e-2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1.58e-2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6.69e-2</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hexahedron</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4.43e-4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1.77e-3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2.42e-3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6.06e-3</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prism</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4.58e-3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5.38e-3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1.83e-2</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pyramid</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3.85e-3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4.34e-3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1.39e-2</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face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triangle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7.34e-3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3.14e-2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6.35e-2</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face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quad</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2.80e-3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7.38e-3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2.81e-2</w:t>
            </w:r>
          </w:p>
        </w:tc>
      </w:tr>
    </w:tbl>
    <w:p>
      <w:pPr>
        <w:spacing w:after="120" w:before="120"/>
        <w:jc w:val="center"/>
      </w:pPr>
      <w:r>
        <w:drawing>
          <wp:inline distT="0" distB="0" distL="0" distR="0">
            <wp:extent cx="64770000" cy="32861250"/>
            <wp:effectExtent t="0" r="0" b="0" l="0"/>
            <wp:docPr id="1" name="Fig1_accuracy.png" descr="Fig1_accuracy.png" title="Fig1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0" cy="32861250"/>
                    </a:xfrm>
                    <a:prstGeom prst="rect">
                      <a:avLst/>
                    </a:prstGeom>
                  </pic:spPr>
                </pic:pic>
              </a:graphicData>
            </a:graphic>
          </wp:inline>
        </w:drawing>
      </w:r>
    </w:p>
    <w:p>
      <w:pPr>
        <w:spacing w:after="120" w:line="260"/>
      </w:pPr>
      <w:r>
        <w:rPr>
          <w:rFonts w:ascii="Times New Roman" w:cs="Times New Roman" w:eastAsia="Times New Roman" w:hAnsi="Times New Roman"/>
          <w:b w:val="false"/>
          <w:bCs w:val="false"/>
          <w:i/>
          <w:iCs/>
          <w:sz w:val="19"/>
          <w:szCs w:val="19"/>
        </w:rPr>
        <w:t xml:space="preserve">Fig. 1. Paired per-sample errors at production beta, pooling all nine conditions (389,412 pairs). (a) Joint density of the closed-form error against the baseline error on identical logarithmic axes; the diagonal is equality. The cloud does not follow the diagonal: it spreads horizontally, because the closed-form error sits near a fixed level (red line and band, the range of the per-condition medians) while the baseline error varies over several decades from sample to sample. (b) Empirical cumulative distributions of the absolute error, one curve per condition per method. The nine closed-form curves collapse onto each other; the nine baseline curves are spread across three decades. Quantitatively, the median closed-form error spans only 1.89e-3 to 3.76e-3 across all nine conditions (a factor of 2.0), whereas the median baseline error spans 3.53e-7 to 6.15e-4 (a factor of 1742). Per-condition Spearman correlation between the two errors is 0.34-0.70, i.e. well short of the proportionality that a constant multiplicative penalty would imply.</w:t>
      </w:r>
    </w:p>
    <w:p>
      <w:pPr>
        <w:spacing w:after="120" w:line="260"/>
      </w:pPr>
      <w:r>
        <w:rPr>
          <w:rFonts w:ascii="Times New Roman" w:cs="Times New Roman" w:eastAsia="Times New Roman" w:hAnsi="Times New Roman"/>
          <w:b w:val="false"/>
          <w:bCs w:val="false"/>
          <w:i/>
          <w:iCs/>
          <w:sz w:val="19"/>
          <w:szCs w:val="19"/>
        </w:rPr>
        <w:t xml:space="preserve">Interpretation. The closed form does not scale the baseline's error; it replaces a highly variable quadrature error with a near-constant approximation floor of roughly 2-4x10^-3, set by the moment-matching step and essentially independent of dimension, cell shape and stage. This is why the aggregate ratios in Table 1 read as a modest 2-6x: RMS is dominated by the tail of the distribution, and in that tail both methods are of comparable magnitude, so the aggregate comparison understates how much larger the closed-form error is on a typical sample and overstates how well the two track each other. Both statements are true and both belong in the paper. Whether the floor is acceptable is an empirical question answered elsewhere in this document: it lies below the discretization error of the surrounding scheme, is confined to interface cells by the BVD selection, and does not disturb the finite-volume conservation (Sec. 2.4), which is consistent with the near-identical S1/S2 flow fields and the few-percent enstrophy differences reported in Sec. 5.</w:t>
      </w:r>
    </w:p>
    <w:p>
      <w:pPr>
        <w:pStyle w:val="Heading2"/>
        <w:spacing w:after="120" w:before="220"/>
      </w:pPr>
      <w:r>
        <w:rPr>
          <w:rFonts w:ascii="Times New Roman" w:cs="Times New Roman" w:eastAsia="Times New Roman" w:hAnsi="Times New Roman"/>
          <w:b/>
          <w:bCs/>
          <w:sz w:val="24"/>
          <w:szCs w:val="24"/>
        </w:rPr>
        <w:t xml:space="preserve">Table 2 -- kernel speedup, GAUSS vs baseline at production beta (9 rows)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00"/>
        <w:gridCol w:w="1400"/>
        <w:gridCol w:w="1400"/>
        <w:gridCol w:w="1400"/>
      </w:tblGrid>
      <w:tr>
        <w:trPr>
          <w:tblHeader/>
        </w:trPr>
        <w:tc>
          <w:tcPr>
            <w:tcW w:type="dxa" w:w="9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Dim</w:t>
            </w:r>
          </w:p>
        </w:tc>
        <w:tc>
          <w:tcPr>
            <w:tcW w:type="dxa" w:w="9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Stage</w:t>
            </w:r>
          </w:p>
        </w:tc>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Shape</w:t>
            </w:r>
          </w:p>
        </w:tc>
        <w:tc>
          <w:tcPr>
            <w:tcW w:type="dxa" w:w="1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baseline</w:t>
            </w:r>
          </w:p>
        </w:tc>
        <w:tc>
          <w:tcPr>
            <w:tcW w:type="dxa" w:w="1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GAUSS</w:t>
            </w:r>
          </w:p>
        </w:tc>
        <w:tc>
          <w:tcPr>
            <w:tcW w:type="dxa" w:w="14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speedup</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triangle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219.9 ns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15.2 ns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14.4x</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quad</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617.6 ns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15.1 ns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40.9x</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face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edge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78.2 ns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36.1 ns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2.17x</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tetrahedron</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2.227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0.0278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80x</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hexahedron</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3.906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0.0265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147x</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prism</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3.272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0.0301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109x</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cell-D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pyramid</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2.799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0.0273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102x</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face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triangle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0.247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0.081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3.0x</w:t>
            </w:r>
          </w:p>
        </w:tc>
      </w:tr>
      <w:tr>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3D</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face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quad</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0.316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0.080 us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4.0x</w:t>
            </w:r>
          </w:p>
        </w:tc>
      </w:tr>
    </w:tbl>
    <w:p>
      <w:pPr>
        <w:pStyle w:val="Heading2"/>
        <w:spacing w:after="120" w:before="220"/>
      </w:pPr>
      <w:r>
        <w:rPr>
          <w:rFonts w:ascii="Times New Roman" w:cs="Times New Roman" w:eastAsia="Times New Roman" w:hAnsi="Times New Roman"/>
          <w:b/>
          <w:bCs/>
          <w:sz w:val="24"/>
          <w:szCs w:val="24"/>
        </w:rPr>
        <w:t xml:space="preserve">Table 3 -- real-solver end-to-end wall time, 500 steps, CHENG3_PROF/E3D_PROF (9 rows)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300"/>
      </w:tblGrid>
      <w:tr>
        <w:trPr>
          <w:tblHeader/>
        </w:trPr>
        <w:tc>
          <w:tcPr>
            <w:tcW w:type="dxa" w:w="22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Case</w:t>
            </w:r>
          </w:p>
        </w:tc>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S1 wall (s)</w:t>
            </w:r>
          </w:p>
        </w:tc>
        <w:tc>
          <w:tcPr>
            <w:tcW w:type="dxa" w:w="15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S2 wall (s)</w:t>
            </w:r>
          </w:p>
        </w:tc>
        <w:tc>
          <w:tcPr>
            <w:tcW w:type="dxa" w:w="1300"/>
            <w:tcBorders>
              <w:top w:val="single" w:color="999999" w:sz="1"/>
              <w:left w:val="single" w:color="999999" w:sz="1"/>
              <w:bottom w:val="single" w:color="999999" w:sz="1"/>
              <w:right w:val="single" w:color="999999" w:sz="1"/>
            </w:tcBorders>
            <w:shd w:fill="DCE6F1"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speedup</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leveque (2D)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17.17</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14.98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1.15x</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mach3 (2D)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49.25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49.57</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0.99x</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double_mach (2D)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188.45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188.24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1.00x</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config3 (2D)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93.66</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73.13</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1.28x</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shock_mixing (2D)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46.88</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38.50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1.22x</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shock_vortex (2D)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73.84</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66.87</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1.10x</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deform (3D)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1568.3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1215.8</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1.29x</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sphere (3D)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3457.5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2610.0</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1.33x</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2cyl (3D)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1595.2</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1171.6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1.36x</w:t>
            </w:r>
          </w:p>
        </w:tc>
      </w:tr>
    </w:tbl>
    <w:p>
      <w:pPr>
        <w:spacing w:after="120" w:before="120"/>
        <w:jc w:val="center"/>
      </w:pPr>
      <w:r>
        <w:drawing>
          <wp:inline distT="0" distB="0" distL="0" distR="0">
            <wp:extent cx="62865000" cy="26098500"/>
            <wp:effectExtent t="0" r="0" b="0" l="0"/>
            <wp:docPr id="1" name="Fig3_breakdown.png" descr="Fig3_breakdown.png" title="Fig3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0" cy="26098500"/>
                    </a:xfrm>
                    <a:prstGeom prst="rect">
                      <a:avLst/>
                    </a:prstGeom>
                  </pic:spPr>
                </pic:pic>
              </a:graphicData>
            </a:graphic>
          </wp:inline>
        </w:drawing>
      </w:r>
    </w:p>
    <w:p>
      <w:pPr>
        <w:spacing w:after="120" w:line="260"/>
      </w:pPr>
      <w:r>
        <w:rPr>
          <w:rFonts w:ascii="Times New Roman" w:cs="Times New Roman" w:eastAsia="Times New Roman" w:hAnsi="Times New Roman"/>
          <w:b w:val="false"/>
          <w:bCs w:val="false"/>
          <w:i/>
          <w:iCs/>
          <w:sz w:val="19"/>
          <w:szCs w:val="19"/>
        </w:rPr>
        <w:t xml:space="preserve">Fig. 2. Stage breakdown explaining Table 3's dilution: MUSCL and BVD_sel are shared, unaccelerated code (near-identical S1/S2 bar segments); only the THINC geom/face segments (2D) or cell-D-Newton/face-quad+BVD segments (3D deform) shrink. mach3 and double_mach show near-zero net speedup because MUSCL alone exceeds THINC's total cost there (mach3 THINC/MUSCL=0.55x). sphere and 2cyl have no stage split available (langseth3d_unstr_bench lacks the RECON-breakdown instrumentation deform received this session).</w:t>
      </w:r>
    </w:p>
    <w:p>
      <w:pPr>
        <w:pStyle w:val="Heading1"/>
        <w:spacing w:after="160" w:before="280"/>
      </w:pPr>
      <w:r>
        <w:rPr>
          <w:rFonts w:ascii="Times New Roman" w:cs="Times New Roman" w:eastAsia="Times New Roman" w:hAnsi="Times New Roman"/>
          <w:b/>
          <w:bCs/>
          <w:sz w:val="28"/>
          <w:szCs w:val="28"/>
        </w:rPr>
        <w:t xml:space="preserve">8. Open items</w:t>
      </w:r>
    </w:p>
    <w:p>
      <w:pPr>
        <w:spacing w:after="120" w:line="260"/>
      </w:pPr>
      <w:r>
        <w:rPr>
          <w:rFonts w:ascii="Times New Roman" w:cs="Times New Roman" w:eastAsia="Times New Roman" w:hAnsi="Times New Roman"/>
          <w:b w:val="false"/>
          <w:bCs w:val="false"/>
          <w:i w:val="false"/>
          <w:iCs w:val="false"/>
          <w:sz w:val="20"/>
          <w:szCs w:val="20"/>
        </w:rPr>
        <w:t xml:space="preserve">- 3D S2/S3 physics results (deform/sphere/2cyl) need recomputation under the n=4 gmom default before citing enstrophy/pressure figures in the paper; the wall-time and recon-only-profile numbers above do not need to wait for that.</w:t>
      </w:r>
    </w:p>
    <w:p>
      <w:pPr>
        <w:spacing w:after="120" w:line="260"/>
      </w:pPr>
      <w:r>
        <w:rPr>
          <w:rFonts w:ascii="Times New Roman" w:cs="Times New Roman" w:eastAsia="Times New Roman" w:hAnsi="Times New Roman"/>
          <w:b w:val="false"/>
          <w:bCs w:val="false"/>
          <w:i w:val="false"/>
          <w:iCs w:val="false"/>
          <w:sz w:val="20"/>
          <w:szCs w:val="20"/>
        </w:rPr>
        <w:t xml:space="preserve">- Figures (identity-line scatter + Bland-Altman, per-shape error bars, error-vs-variance collapse) are not yet generated from the raw CSVs.</w:t>
      </w:r>
    </w:p>
    <w:p>
      <w:pPr>
        <w:spacing w:after="120" w:line="260"/>
      </w:pPr>
      <w:r>
        <w:rPr>
          <w:rFonts w:ascii="Times New Roman" w:cs="Times New Roman" w:eastAsia="Times New Roman" w:hAnsi="Times New Roman"/>
          <w:b w:val="false"/>
          <w:bCs w:val="false"/>
          <w:i w:val="false"/>
          <w:iCs w:val="false"/>
          <w:sz w:val="20"/>
          <w:szCs w:val="20"/>
        </w:rPr>
        <w:t xml:space="preserve">- 3D E3D_PROF has no cell-D/face split for sphere/2cyl (only deform); if that split matters for the Amdahl estimate in section 2.5, langseth3d_unstr_bench needs the same instrumentation deform got.</w:t>
      </w:r>
    </w:p>
    <w:p>
      <w:pPr>
        <w:spacing w:after="120" w:line="260"/>
      </w:pPr>
      <w:r>
        <w:rPr>
          <w:rFonts w:ascii="Times New Roman" w:cs="Times New Roman" w:eastAsia="Times New Roman" w:hAnsi="Times New Roman"/>
          <w:b/>
          <w:bCs/>
          <w:i w:val="false"/>
          <w:iCs w:val="false"/>
          <w:sz w:val="20"/>
          <w:szCs w:val="20"/>
        </w:rPr>
        <w:t xml:space="preserve">- Section 2.5's Amdahl-estimate prose (2-3x overall 3D speedup, expected from a much smaller 12-22x kernel speedup diluted by unaccelerated LSQ/BVD stages) was written against the now-superseded 3D kernel numbers. With the corrected 80-147x cell-D / 3.0-4.0x face kernel speedups, that Amdahl argument should be re-checked against the real-solver profile (section 5b) rather than re-derived from the microbenchmark alone.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paper2 — Appendix A statistics &amp; recon-only profiling (2026-07-28)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f5d133270d8223db0a2948e9e1c997c349c4fe.png"/><Relationship Id="rId10" Type="http://schemas.openxmlformats.org/officeDocument/2006/relationships/image" Target="media/c085ac23a523924bedc779fba4e499b7649d4e2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2026-07-28T07:35:14.257Z</dcterms:created>
  <dcterms:modified xsi:type="dcterms:W3CDTF">2026-07-28T07:35:14.259Z</dcterms:modified>
</cp:coreProperties>
</file>

<file path=docProps/custom.xml><?xml version="1.0" encoding="utf-8"?>
<Properties xmlns="http://schemas.openxmlformats.org/officeDocument/2006/custom-properties" xmlns:vt="http://schemas.openxmlformats.org/officeDocument/2006/docPropsVTypes"/>
</file>