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spanning canonical shear flows, separated and reattaching flows, and complex geometries described by a mask (an indicator field marking each lattice node as fluid or solid) together with branching geometries, each with a closed-form or high-fidelity reference solution: plane Poiseuille and Couette flow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(Ghia centerline benchmark [5]), the backward-facing step and cylinder wake (separation, reattachment, wake), the multi-cylinder configuration (complex mask boundary), and the T-junction (branching geometry with coupled inlet/outlet boundaries). Each test case is solved at three mesh levels (1x/2x/3x), yielding 27 runs in total; Table 1 lists the grid sizes, boundary conditions, validation role, and reference tier. For cases lacking a closed-form or literature solution, the comparison uses a high-fidelity numerical reference (a more strictly converged solution on the same discretization, obtained by running the native iteration to a residual far below the stopping tolerance used for the comparisons; hereafter the reference solution), labeled as the tight reference in Table 1. Where no independent literature or analytic reference exists (the T-junction), a strictly converged native LBE fixed-point solution on the same grid serves the same purpose and is labeled as the native LBE reference.</w:t>
      </w:r>
    </w:p>
    <w:p>
      <w:pPr>
        <w:pStyle w:val="BodyText"/>
      </w:pPr>
      <w:r>
        <w:rPr>
          <w:b/>
          <w:bCs/>
        </w:rPr>
        <w:t xml:space="preserve">Table 1. Benchmark case definitions: grid size, boundary conditions, validation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native LBE reference</w:t>
            </w:r>
          </w:p>
        </w:tc>
      </w:tr>
    </w:tbl>
    <w:p>
      <w:pPr>
        <w:pStyle w:val="BodyText"/>
      </w:pPr>
      <w:r>
        <w:rPr>
          <w:i/>
          <w:iCs/>
        </w:rPr>
        <w:t xml:space="preserve">Reference tier: the tight reference and the native LBE reference are the reference solutions defined in the running text of Section 3.1.</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(the absolute pressure level is arbitrary in a weakly compressible closed or periodic flow) and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(fractional improvement over the last</w:t>
      </w:r>
      <w:r>
        <w:t xml:space="preserve"> </w:t>
      </w:r>
      <m:oMath>
        <m:r>
          <m:t>W</m:t>
        </m:r>
        <m:r>
          <m:rPr>
            <m:sty m:val="p"/>
          </m:rPr>
          <m:t>=</m:t>
        </m:r>
        <m:r>
          <m:t>50</m:t>
        </m:r>
      </m:oMath>
      <w:r>
        <w:t xml:space="preserve"> </w:t>
      </w:r>
      <w:r>
        <w:t xml:space="preserve">checks at most</w:t>
      </w:r>
      <w:r>
        <w:t xml:space="preserve"> </w:t>
      </w:r>
      <m:oMath>
        <m:r>
          <m:t>η</m:t>
        </m:r>
        <m:r>
          <m:rPr>
            <m:sty m:val="p"/>
          </m:rPr>
          <m:t>=</m:t>
        </m:r>
        <m:r>
          <m:t>0.05</m:t>
        </m:r>
      </m:oMath>
      <w:r>
        <w:t xml:space="preserve">); and physical admissibility (density positivity, finite fields,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(moment-Schur accelerated LBM, MSA-LBM) is compared against five baselines that share the native LBM operator of the same code base (Table 2):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(remaining abbreviations expanded in Table 2). Each baseline uses literature-standard hyperparameters and a generous iteration budget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i.e., evaluations of the native collide–stream–boundary operator, for cavity 2x/3x),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w:t>
      </w:r>
      <w:r>
        <w:t xml:space="preserve">(time-to-threshold, the cost to first attain</w:t>
      </w:r>
      <w:r>
        <w:t xml:space="preserve"> </w:t>
      </w:r>
      <m:oMath>
        <m:sSub>
          <m:e>
            <m:r>
              <m:t>r</m:t>
            </m:r>
          </m:e>
          <m:sub>
            <m:r>
              <m:t>m</m:t>
            </m:r>
            <m:r>
              <m:t>a</m:t>
            </m:r>
            <m:r>
              <m:t>c</m:t>
            </m:r>
            <m:r>
              <m:t>r</m:t>
            </m:r>
            <m:r>
              <m:t>o</m:t>
            </m:r>
          </m:sub>
        </m:sSub>
        <m:r>
          <m:rPr>
            <m:sty m:val="p"/>
          </m:rPr>
          <m:t>≤</m:t>
        </m:r>
        <m:r>
          <m:t>ε</m:t>
        </m:r>
      </m:oMath>
      <w:r>
        <w:t xml:space="preserve">), read both as wall time and as the LBE-call count, a hardware-independent, deterministic operator-work metric (the number of native collide–stream–boundary operator evaluations, denoted</w:t>
      </w:r>
      <w:r>
        <w:t xml:space="preserve"> </w:t>
      </w:r>
      <m:oMath>
        <m:r>
          <m:t>G</m:t>
        </m:r>
      </m:oMath>
      <w:r>
        <w:t xml:space="preserve"> </w:t>
      </w:r>
      <w:r>
        <w:t xml:space="preserve">and defined formally in Section 3.3.2). Reference solutions (analytic, Ghia, tight numerical) are never used inside the solve, entering only the post-solve accuracy evaluation (relative</w:t>
      </w:r>
      <w:r>
        <w:t xml:space="preserve"> </w:t>
      </w:r>
      <m:oMath>
        <m:sSub>
          <m:e>
            <m:r>
              <m:t>L</m:t>
            </m:r>
          </m:e>
          <m:sub>
            <m:r>
              <m:t>2</m:t>
            </m:r>
          </m:sub>
        </m:sSub>
      </m:oMath>
      <w:r>
        <w:t xml:space="preserve"> </w:t>
      </w:r>
      <w:r>
        <w:t xml:space="preserve">error). The proposed method solves all 27 problems with a single deterministic routine, only the problem definition (grid,</w:t>
      </w:r>
      <w:r>
        <w:t xml:space="preserve"> </w:t>
      </w:r>
      <m:oMath>
        <m:r>
          <m:t>R</m:t>
        </m:r>
        <m:r>
          <m:t>e</m:t>
        </m:r>
      </m:oMath>
      <w:r>
        <w:t xml:space="preserve">, boundary,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(bold red) reaches the lowest residual first. The 2x and 3x histories are in the appendix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convergence criterion of Section 3.1 (the three conditions simultaneously) on all 27 runs. The column reporting the median relative error is not comparable across levels, because the set of cases with a comparable reference differs by level (some complex geometries lack a tight reference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(block</w:t>
      </w:r>
      <w:r>
        <w:t xml:space="preserve"> </w:t>
      </w:r>
      <m:oMath>
        <m:sSub>
          <m:e>
            <m:r>
              <m:t>J</m:t>
            </m:r>
          </m:e>
          <m:sub>
            <m:r>
              <m:t>k</m:t>
            </m:r>
            <m:r>
              <m:t>k</m:t>
            </m:r>
          </m:sub>
        </m:sSub>
      </m:oMath>
      <w:r>
        <w:t xml:space="preserve">, one of the blocks of the Jacobian of the linearized collide-stream operator introduced in Section 2)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w:t>
      </w:r>
      <m:oMath>
        <m:r>
          <m:t>R</m:t>
        </m:r>
        <m:r>
          <m:t>e</m:t>
        </m:r>
        <m:r>
          <m:rPr>
            <m:sty m:val="p"/>
          </m:rPr>
          <m:t>=</m:t>
        </m:r>
        <m:r>
          <m:t>100</m:t>
        </m:r>
        <m:r>
          <m:rPr>
            <m:sty m:val="p"/>
          </m:rPr>
          <m:t>/</m:t>
        </m:r>
        <m:r>
          <m:t>400</m:t>
        </m:r>
        <m:r>
          <m:rPr>
            <m:sty m:val="p"/>
          </m:rPr>
          <m:t>/</m:t>
        </m:r>
        <m:r>
          <m:t>1000</m:t>
        </m:r>
      </m:oMath>
      <w:r>
        <w:t xml:space="preserve"> </w:t>
      </w:r>
      <w:r>
        <w:t xml:space="preserve">at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w:t>
      </w:r>
      <m:oMath>
        <m:r>
          <m:t>1.0</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1000</m:t>
        </m:r>
      </m:oMath>
      <w:r>
        <w:t xml:space="preserve"> </w:t>
      </w:r>
      <w:r>
        <w:t xml:space="preserve">2x,</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w:t>
      </w:r>
      <m:oMath>
        <m:r>
          <m:t>5</m:t>
        </m:r>
        <m:r>
          <m:t>τ</m:t>
        </m:r>
        <m:r>
          <m:rPr>
            <m:sty m:val="p"/>
          </m:rPr>
          <m:t>=</m:t>
        </m:r>
        <m:r>
          <m:t>2.5</m:t>
        </m:r>
        <m:r>
          <m:rPr>
            <m:sty m:val="p"/>
          </m:rPr>
          <m:t>×</m:t>
        </m:r>
        <m:sSup>
          <m:e>
            <m:r>
              <m:t>10</m:t>
            </m:r>
          </m:e>
          <m:sup>
            <m:r>
              <m:rPr>
                <m:sty m:val="p"/>
              </m:rPr>
              <m:t>−</m:t>
            </m:r>
            <m:r>
              <m:t>8</m:t>
            </m:r>
          </m:sup>
        </m:sSup>
      </m:oMath>
      <w:r>
        <w:t xml:space="preserve">)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w:t>
      </w:r>
      <w:r>
        <w:t xml:space="preserve">(i.e.,</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(preconditioned LBM) to 27/27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(135 case-baseline ratios in total), the pooled distribution favors the proposed method, with the median reported in Table 4. Summarized instead at the case level, the proposed method’s time-to-threshold is below the mean of its five baselines on the large majority of the 27 cases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(LBE-calls,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(i) In the initial transient, native relaxation removes the high-wavenumber kinetic modes and the residual drops sharply. (ii)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so most of the wall time is spent on correction trials of little benefit. (iii) Once the iterate enters Newton’s quadratic-convergence region, the finite-difference Jacobian–vector approximation becomes accurate, the full step (</w:t>
      </w:r>
      <m:oMath>
        <m:r>
          <m:t>α</m:t>
        </m:r>
        <m:r>
          <m:rPr>
            <m:sty m:val="p"/>
          </m:rPr>
          <m:t>=</m:t>
        </m:r>
        <m:r>
          <m:t>1</m:t>
        </m:r>
      </m:oMath>
      <w:r>
        <w:t xml:space="preserve">) passes the gate, and a single correction produces a sharp residual drop, consistent with quadratic (second-order)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w:t>
      </w:r>
      <w:r>
        <w:t xml:space="preserve">(about 6.5 orders of magnitude; a few further steps then refine it toward its converged value),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w:t>
      </w:r>
      <w:r>
        <w:t xml:space="preserve">(about 6.3 orders of magnitude, this being the case’s final converged residual). Both single-step drops are far larger than the roughly one order of magnitude per step characteristic of the baselines’ linear convergence, and both are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two to eight orders deeper on a per-case matched basis (each configuration’s own floor against its own final residual, not the global extremes of the two ranges; full per-case values in Appendix Table A1),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w:t>
      </w:r>
      <m:oMath>
        <m:r>
          <m:t>2.5</m:t>
        </m:r>
        <m:r>
          <m:rPr>
            <m:sty m:val="p"/>
          </m:rPr>
          <m:t>×</m:t>
        </m:r>
      </m:oMath>
      <w:r>
        <w:t xml:space="preserve">), 218.8 s for Anderson (</w:t>
      </w:r>
      <m:oMath>
        <m:r>
          <m:t>3.1</m:t>
        </m:r>
        <m:r>
          <m:rPr>
            <m:sty m:val="p"/>
          </m:rPr>
          <m:t>×</m:t>
        </m:r>
      </m:oMath>
      <w:r>
        <w:t xml:space="preserve">), and 940.3 s for dual-time multigrid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(restriction to the conserved-moment subspace, inner GMRES, admissibility gate) is not amortized, as two cases illustrate. In Couette flow the linear distribution is exact in the LBM equilibrium, so the slow mode is essentially absent: at 1x the proposed method beats all baselines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(0.5 s), and at</w:t>
      </w:r>
      <w:r>
        <w:t xml:space="preserve"> </w:t>
      </w:r>
      <m:oMath>
        <m:sSup>
          <m:e>
            <m:r>
              <m:t>10</m:t>
            </m:r>
          </m:e>
          <m:sup>
            <m:r>
              <m:rPr>
                <m:sty m:val="p"/>
              </m:rPr>
              <m:t>−</m:t>
            </m:r>
            <m:r>
              <m:t>5</m:t>
            </m:r>
          </m:sup>
        </m:sSup>
      </m:oMath>
      <w:r>
        <w:t xml:space="preserve"> </w:t>
      </w:r>
      <w:r>
        <w:t xml:space="preserve">is comparable to native LBE (</w:t>
      </w:r>
      <m:oMath>
        <m:r>
          <m:t>0.90</m:t>
        </m:r>
        <m:r>
          <m:rPr>
            <m:sty m:val="p"/>
          </m:rPr>
          <m:t>×</m:t>
        </m:r>
      </m:oMath>
      <w:r>
        <w:t xml:space="preserve">) and preconditioned LBM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(18.3 s) and preconditioned LBM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w:t>
      </w:r>
      <m:oMath>
        <m:r>
          <m:t>1.30</m:t>
        </m:r>
        <m:r>
          <m:rPr>
            <m:sty m:val="p"/>
          </m:rPr>
          <m:t>×</m:t>
        </m:r>
      </m:oMath>
      <w:r>
        <w:t xml:space="preserve">) and preconditioned LBM (</w:t>
      </w:r>
      <m:oMath>
        <m:r>
          <m:t>1.38</m:t>
        </m:r>
        <m:r>
          <m:rPr>
            <m:sty m:val="p"/>
          </m:rPr>
          <m:t>×</m:t>
        </m:r>
      </m:oMath>
      <w:r>
        <w:t xml:space="preserve">). The advantage is thus maximized on slow-mode-dominated flows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update—a single evaluation of</w:t>
      </w:r>
      <w:r>
        <w:t xml:space="preserve"> </w:t>
      </w:r>
      <m:oMath>
        <m:r>
          <m:t>G</m:t>
        </m:r>
      </m:oMath>
      <w:r>
        <w:t xml:space="preserve"> </w:t>
      </w:r>
      <w:r>
        <w:t xml:space="preserve">bundling collision, advection, and boundary handling—shared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structure—parity at a loose threshold, widening advantage on harder problems and deeper thresholds—is consistent with the advantage being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(Bhatnagar–Gross–Krook lattice Boltzmann method) for smooth flows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(Figure 4b), consistent with the correction injecting no unphysical bias. The error against the Ghia cavity centerline velocities decreases monotonically with refinement at all three Reynolds numbers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native LBE reference</w:t>
            </w:r>
          </w:p>
        </w:tc>
      </w:tr>
    </w:tbl>
    <w:p>
      <w:pPr>
        <w:pStyle w:val="BodyText"/>
      </w:pPr>
      <w:r>
        <w:t xml:space="preserve">For complex geometries without an analytic or literature solution, the proposed-method field is compared against high-fidelity numerical references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Table 5), whereas the backward-facing step shows a larger difference from its tight reference solution (</w:t>
      </w:r>
      <m:oMath>
        <m:r>
          <m:t>3.260</m:t>
        </m:r>
        <m:r>
          <m:rPr>
            <m:sty m:val="p"/>
          </m:rPr>
          <m:t>×</m:t>
        </m:r>
        <m:sSup>
          <m:e>
            <m:r>
              <m:t>10</m:t>
            </m:r>
          </m:e>
          <m:sup>
            <m:r>
              <m:rPr>
                <m:sty m:val="p"/>
              </m:rPr>
              <m:t>−</m:t>
            </m:r>
            <m:r>
              <m:t>3</m:t>
            </m:r>
          </m:sup>
        </m:sSup>
      </m:oMath>
      <w:r>
        <w:t xml:space="preserve">), about two orders of magnitude higher, likely reflecting the sharp corner singularity at the step edge together with the finite resolution of the tight reference solution itself in that region.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vorticity from the proposed-method solution. Every geometry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verification.</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2026-07-01T08:14:10Z</dcterms:created>
  <dcterms:modified xsi:type="dcterms:W3CDTF">2026-07-01T08:14:10Z</dcterms:modified>
</cp:coreProperties>
</file>

<file path=docProps/custom.xml><?xml version="1.0" encoding="utf-8"?>
<Properties xmlns="http://schemas.openxmlformats.org/officeDocument/2006/custom-properties" xmlns:vt="http://schemas.openxmlformats.org/officeDocument/2006/docPropsVTypes"/>
</file>