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geometries described by a mask, an indicator field marking each lattice node as fluid or solid, together with branching geometries, each with a closed-form or high-fidelity reference solution: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the backward-facing step and cylinder wake, whose physical role is to exhibit separation, reattachment, and wake formation, the multi-cylinder configuration with its complex mask boundary, and the T-junction, a branching geometry with coupled inlet/outlet boundaries. For the backward-facing step and cylinder wake, the accuracy assessment is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is measured. Each test case is solved at three mesh levels, denoted 1x/2x/3x, yielding 27 runs in total; Table 1 lists the grid sizes, boundary conditions, physical role, and reference tier. For cases lacking a closed-form or literature solution, the comparison uses a high-fidelity numerical reference, hereafter the reference solution, obtained by running the native iteration to a residual far below the stopping tolerance used for the comparisons on the same discretization; it is labeled as the tight reference in Table 1. Where no independent literature or analytic reference exists, as for the T-junction, a strictly converged native LBE fixed-point solution on the same grid serves the same purpose and is labeled as the native LBE reference.</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 the tight reference and the native LBE reference 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since the absolute pressure level is arbitrary in a weakly compressible closed or periodic flow, and is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the moment-Schur accelerated LBM (MSA-LBM), is compared against five baselines that share the native LBM operator of the same code base, as listed in Table 2: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with the remaining abbreviations expanded in Table 2. Each baseline uses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that is, evaluations of the native collide–stream–boundary operator, for cavity 2x/3x,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a time-to-threshold measure defined as the cost to first attain</w:t>
      </w:r>
      <w:r>
        <w:t xml:space="preserve"> </w:t>
      </w:r>
      <m:oMath>
        <m:sSub>
          <m:e>
            <m:r>
              <m:t>r</m:t>
            </m:r>
          </m:e>
          <m:sub>
            <m:r>
              <m:t>m</m:t>
            </m:r>
            <m:r>
              <m:t>a</m:t>
            </m:r>
            <m:r>
              <m:t>c</m:t>
            </m:r>
            <m:r>
              <m:t>r</m:t>
            </m:r>
            <m:r>
              <m:t>o</m:t>
            </m:r>
          </m:sub>
        </m:sSub>
        <m:r>
          <m:rPr>
            <m:sty m:val="p"/>
          </m:rPr>
          <m:t>≤</m:t>
        </m:r>
        <m:r>
          <m:t>ε</m:t>
        </m:r>
      </m:oMath>
      <w:r>
        <w:t xml:space="preserve">, read both as wall time and as the LBE-call count. The latter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Reference solutions, whether analytic, Ghia, or tight numerical, are never used inside the solve, entering only the post-solve accuracy evaluation through the relative</w:t>
      </w:r>
      <w:r>
        <w:t xml:space="preserve"> </w:t>
      </w:r>
      <m:oMath>
        <m:sSub>
          <m:e>
            <m:r>
              <m:t>L</m:t>
            </m:r>
          </m:e>
          <m:sub>
            <m:r>
              <m:t>2</m:t>
            </m:r>
          </m:sub>
        </m:sSub>
      </m:oMath>
      <w:r>
        <w:t xml:space="preserve"> </w:t>
      </w:r>
      <w:r>
        <w:t xml:space="preserve">error. The proposed method solves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three simultaneous convergence conditions of Section 3.1 on all 27 runs. The column reporting the median relative error is not comparable across levels, because the set of cases with a comparable reference differs by level, as some complex geometries lack a tight reference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for preconditioned LBM to 27/27 for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giving 135 case-baseline ratios in total, the pooled distribution favors the proposed method, with the median reported in Table 4. Summarized instead at the case level, the proposed method’s time-to-threshold is below the mean of its five baselines on the large majority of the 27 cases, as also reported in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the latter being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First, in the initial transient, native relaxation removes the high-wavenumber kinetic modes and the residual drops sharply. Second,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so that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and most of the wall time is spent on correction trials of little benefit. Third, once the iterate enters Newton’s quadratic-convergence region, the finite-difference Jacobian–vector approximation becomes accurate, the full step</w:t>
      </w:r>
      <w:r>
        <w:t xml:space="preserve"> </w:t>
      </w:r>
      <m:oMath>
        <m:r>
          <m:t>α</m:t>
        </m:r>
        <m:r>
          <m:rPr>
            <m:sty m:val="p"/>
          </m:rPr>
          <m:t>=</m:t>
        </m:r>
        <m:r>
          <m:t>1</m:t>
        </m:r>
      </m:oMath>
      <w:r>
        <w:t xml:space="preserve"> </w:t>
      </w:r>
      <w:r>
        <w:t xml:space="preserve">passes the gate, and a single correction produces a sharp residual drop, consistent with quadratic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 it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and both are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of each configuration’s own floor against its own final residual rather than the global extremes of the two ranges, with full per-case values in Appendix Table A1, and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218.8 s for Anderson,</w:t>
      </w:r>
      <w:r>
        <w:t xml:space="preserve"> </w:t>
      </w:r>
      <m:oMath>
        <m:r>
          <m:t>3.1</m:t>
        </m:r>
        <m:r>
          <m:rPr>
            <m:sty m:val="p"/>
          </m:rPr>
          <m:t>×</m:t>
        </m:r>
      </m:oMath>
      <w:r>
        <w:t xml:space="preserve">; and 940.3 s for dual-time multigrid,</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beats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is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 of parity at a loose threshold and widening advantage on harder problems and deeper thresholds 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at</w:t>
      </w:r>
      <w:r>
        <w:t xml:space="preserve">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consistent with the correction injecting no unphysical bias. The error against the Ghia cavity centerline velocities decreases monotonically with refinement at all three Reynolds numbers, shown in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as seen in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whereas the backward-facing step shows a larger difference from its tight reference solution of</w:t>
      </w:r>
      <w:r>
        <w:t xml:space="preserve">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For the backward-facing step and cylinder wake, this relative-</w:t>
      </w:r>
      <m:oMath>
        <m:sSub>
          <m:e>
            <m:r>
              <m:t>L</m:t>
            </m:r>
          </m:e>
          <m:sub>
            <m:r>
              <m:t>2</m:t>
            </m:r>
          </m:sub>
        </m:sSub>
      </m:oMath>
      <w:r>
        <w:t xml:space="preserve"> </w:t>
      </w:r>
      <w:r>
        <w:t xml:space="preserve">field agreement and the qualitative field reproduction discussed with Figures 6 and 7 are the only accuracy measures applied; a quantitative validation of separation-point, reattachment-length, or wake metrics is not performed here.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2026-07-01T08:38:53Z</dcterms:created>
  <dcterms:modified xsi:type="dcterms:W3CDTF">2026-07-01T08:38:53Z</dcterms:modified>
</cp:coreProperties>
</file>

<file path=docProps/custom.xml><?xml version="1.0" encoding="utf-8"?>
<Properties xmlns="http://schemas.openxmlformats.org/officeDocument/2006/custom-properties" xmlns:vt="http://schemas.openxmlformats.org/officeDocument/2006/docPropsVTypes"/>
</file>