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2.png" ContentType="image/png"/>
  <Override PartName="/word/media/rId45.png" ContentType="image/png"/>
  <Override PartName="/word/media/rId48.png" ContentType="image/png"/>
  <Override PartName="/word/media/rId52.png" ContentType="image/png"/>
  <Override PartName="/word/media/rId55.png" ContentType="image/png"/>
  <Override PartName="/word/media/rId59.png" ContentType="image/png"/>
  <Override PartName="/word/media/rId69.png" ContentType="image/png"/>
  <Override PartName="/word/media/rId72.png" ContentType="image/png"/>
  <Override PartName="/word/media/rId76.png" ContentType="image/png"/>
  <Override PartName="/word/media/rId86.png" ContentType="image/png"/>
  <Override PartName="/word/media/rId96.png" ContentType="image/png"/>
  <Override PartName="/word/media/rId99.png" ContentType="image/png"/>
  <Override PartName="/word/media/rId102.png" ContentType="image/png"/>
  <Override PartName="/word/media/rId89.png" ContentType="image/png"/>
  <Override PartName="/word/media/rId92.png" ContentType="image/png"/>
  <Override PartName="/word/media/rId79.png" ContentType="image/png"/>
  <Override PartName="/word/media/rId82.png" ContentType="image/png"/>
  <Override PartName="/word/media/rId62.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 fully-coupled pressure-based algorithm for compressible two-phase flows at all speeds: L-stable acoustic time integration, semi-Lagrangian THINC interface capturing and an exact analytical Jacobian with Noble–Abel stiffened-gas thermodynamics</w:t>
      </w:r>
    </w:p>
    <w:p>
      <w:pPr>
        <w:pStyle w:val="BodyText"/>
      </w:pPr>
      <w:r>
        <w:t xml:space="preserve">Young Lin Yoo</w:t>
      </w:r>
      <w:r>
        <w:rPr>
          <w:vertAlign w:val="superscript"/>
        </w:rPr>
        <w:t xml:space="preserve">a,*</w:t>
      </w:r>
    </w:p>
    <w:p>
      <w:pPr>
        <w:pStyle w:val="BodyText"/>
      </w:pPr>
      <w:r>
        <w:rPr>
          <w:vertAlign w:val="superscript"/>
        </w:rPr>
        <w:t xml:space="preserve">a</w:t>
      </w:r>
      <w:r>
        <w:t xml:space="preserve"> </w:t>
      </w:r>
      <w:r>
        <w:t xml:space="preserve">[Department, Institution, Address — to be completed]</w:t>
      </w:r>
    </w:p>
    <w:p>
      <w:pPr>
        <w:pStyle w:val="BodyText"/>
      </w:pPr>
      <w:r>
        <w:rPr>
          <w:vertAlign w:val="superscript"/>
        </w:rPr>
        <w:t xml:space="preserve">*</w:t>
      </w:r>
      <w:r>
        <w:t xml:space="preserve"> </w:t>
      </w:r>
      <w:r>
        <w:t xml:space="preserve">Corresponding author. E-mail: younglin90@gmail.com</w:t>
      </w:r>
    </w:p>
    <w:bookmarkStart w:id="20" w:name="abstract"/>
    <w:p>
      <w:pPr>
        <w:pStyle w:val="Heading1"/>
      </w:pPr>
      <w:r>
        <w:t xml:space="preserve">Abstract</w:t>
      </w:r>
    </w:p>
    <w:p>
      <w:pPr>
        <w:pStyle w:val="FirstParagraph"/>
      </w:pPr>
      <w:r>
        <w:t xml:space="preserve">A fully-coupled pressure-based finite-volume algorithm for inviscid compressible two-phase flows at all speeds is presented, building on the acoustically-conservative interface discretisation (ACID) framework of Denner et al. [J. Comput. Phys. 367 (2018) 192–234]. The governing four-equation model — mixture mass, momentum, total enthalpy and volume-fraction transport under mechanical and thermal equilibrium — is closed by the Noble–Abel stiffened-gas (NASG) equation of state, for which a complete closed-form set of thermodynamic derivatives is provided. The discretised equations are solved with a Newton method for the primitive unknowns (velocity, pressure, total enthalpy), for which we derive an exact, closed-form, block-pentadiagonal analytical Jacobian including the cross-coupling terms introduced by the momentum-weighted interpolation (MWI) of the advecting velocity. Three developments are reported and verified. First, the acoustic regime is advanced with a two-stage TR-BDF2 scheme (</w:t>
      </w:r>
      <m:oMath>
        <m:r>
          <m:t>γ</m:t>
        </m:r>
        <m:r>
          <m:rPr>
            <m:sty m:val="p"/>
          </m:rPr>
          <m:t>=</m:t>
        </m:r>
        <m:r>
          <m:t>2</m:t>
        </m:r>
        <m:r>
          <m:rPr>
            <m:sty m:val="p"/>
          </m:rPr>
          <m:t>−</m:t>
        </m:r>
        <m:rad>
          <m:radPr>
            <m:degHide m:val="on"/>
          </m:radPr>
          <m:deg/>
          <m:e>
            <m:r>
              <m:t>2</m:t>
            </m:r>
          </m:e>
        </m:rad>
      </m:oMath>
      <w:r>
        <w:t xml:space="preserve">, L-stable, second order) applied to a conservative total-energy residual</w:t>
      </w:r>
      <w:r>
        <w:t xml:space="preserve"> </w:t>
      </w:r>
      <m:oMath>
        <m:r>
          <m:t>ρ</m:t>
        </m:r>
        <m:r>
          <m:t>E</m:t>
        </m:r>
        <m:r>
          <m:rPr>
            <m:sty m:val="p"/>
          </m:rPr>
          <m:t>=</m:t>
        </m:r>
        <m:r>
          <m:t>ρ</m:t>
        </m:r>
        <m:r>
          <m:t>h</m:t>
        </m:r>
        <m:r>
          <m:rPr>
            <m:sty m:val="p"/>
          </m:rPr>
          <m:t>−</m:t>
        </m:r>
        <m:r>
          <m:t>p</m:t>
        </m:r>
      </m:oMath>
      <w:r>
        <w:t xml:space="preserve">, which absorbs the transient pressure-work source and removes the residual pressure wake left by a single-step second-order backward scheme, while leaving every shock-capturing (backward-Euler) computation byte-for-byte unchanged. Second, the volume fraction is transported with a THINC hyperbolic-tangent reconstruction evaluated as a conservative semi-Lagrangian face flux (the tanh profile integrated over the departure interval, verified in closed form to a relative</w:t>
      </w:r>
      <w:r>
        <w:t xml:space="preserve"> </w:t>
      </w:r>
      <m:oMath>
        <m:r>
          <m:t>4</m:t>
        </m:r>
        <m:r>
          <m:rPr>
            <m:sty m:val="p"/>
          </m:rPr>
          <m:t>×</m:t>
        </m:r>
        <m:sSup>
          <m:e>
            <m:r>
              <m:t>10</m:t>
            </m:r>
          </m:e>
          <m:sup>
            <m:r>
              <m:rPr>
                <m:sty m:val="p"/>
              </m:rPr>
              <m:t>−</m:t>
            </m:r>
            <m:r>
              <m:t>15</m:t>
            </m:r>
          </m:sup>
        </m:sSup>
      </m:oMath>
      <w:r>
        <w:t xml:space="preserve"> </w:t>
      </w:r>
      <w:r>
        <w:t xml:space="preserve">against quadrature) and protected by a parameter-free density-monotonicity (boundary-variation-diminishing) guard, sharpening material contacts to a few cells without spurious density oscillation. Third, the entire verification programme — nineteen one-dimensional benchmarks from a machine-precision quiescent interface to a Mach 100 shock — is run with a single global parameter set (Courant number 0.45, tanh steepness</w:t>
      </w:r>
      <w:r>
        <w:t xml:space="preserve"> </w:t>
      </w:r>
      <m:oMath>
        <m:r>
          <m:t>β</m:t>
        </m:r>
        <m:r>
          <m:rPr>
            <m:sty m:val="p"/>
          </m:rPr>
          <m:t>=</m:t>
        </m:r>
        <m:r>
          <m:t>3.5</m:t>
        </m:r>
      </m:oMath>
      <w:r>
        <w:t xml:space="preserve">, mathematically-fixed integrator constants), all per-case numerical coefficients and tuned dissipation multipliers having been removed. A systematic negative-result study of time-step-independent MWI dissipation is included: transient, advective, acoustic-signal-speed and linearized-Riemann forms are each shown to satisfy at most two of {per-step time-step independence, low-Mach stability, near-vacuum robustness}, so that the single-cell reflected-shock imprint remaining in the shock–interface case is a start-up feature also visible in the reference computation of Denner et al. The exact Jacobian reduces the Jacobian-assembly cost from fifteen residual evaluations to one while leaving the converged solution unchanged.</w:t>
      </w:r>
    </w:p>
    <w:p>
      <w:pPr>
        <w:pStyle w:val="BodyText"/>
      </w:pPr>
      <w:r>
        <w:rPr>
          <w:b/>
          <w:bCs/>
        </w:rPr>
        <w:t xml:space="preserve">Keywords:</w:t>
      </w:r>
      <w:r>
        <w:t xml:space="preserve"> </w:t>
      </w:r>
      <w:r>
        <w:t xml:space="preserve">pressure-based algorithm; all-Mach number flow; compressible two-phase flow; momentum-weighted interpolation; THINC interface capturing; TR-BDF2; Noble–Abel stiffened-gas; analytical Jacobian</w:t>
      </w:r>
    </w:p>
    <w:bookmarkEnd w:id="20"/>
    <w:bookmarkStart w:id="21" w:name="introduction"/>
    <w:p>
      <w:pPr>
        <w:pStyle w:val="Heading1"/>
      </w:pPr>
      <w:r>
        <w:t xml:space="preserve">1. Introduction</w:t>
      </w:r>
    </w:p>
    <w:p>
      <w:pPr>
        <w:pStyle w:val="FirstParagraph"/>
      </w:pPr>
      <w:r>
        <w:t xml:space="preserve">Compressible two-phase flows in which the local Mach number spans several orders of magnitude arise in underwater explosions, cavitating hydraulic machinery, fuel injection and bubble dynamics: an essentially incompressible liquid coexists with a highly compressible gas while acoustic waves, shocks and material interfaces interact in one domain, so numerical methods must remain accurate and stable from the incompressible limit to the strongly supersonic regime.</w:t>
      </w:r>
    </w:p>
    <w:p>
      <w:pPr>
        <w:pStyle w:val="BodyText"/>
      </w:pPr>
      <w:r>
        <w:t xml:space="preserve">Density-based methods suit transonic and supersonic flows but lose accuracy and become stiff as the Mach number vanishes. Pressure-based methods retain the pressure as a primary variable, degenerate gracefully to the incompressible limit, and extend to compressible flow from the ICE method of Harlow and Amsden [1] through the pressure-correction families [2–6], with semi-implicit variants removing the acoustic time-step restriction [7]; Ref. [8] reviews the finite-volume machinery. On collocated grids a momentum-consistent face-velocity interpolation is required to avoid pressure–velocity decoupling, most commonly the momentum-weighted interpolation (MWI) of Rhie and Chow [9], whose sensitivity to under-relaxation [10] and to the time-step [11–13] is established; Bartholomew et al. [14] unified the formulation and documented the small-time-step decoupling. Fully-coupled pressure-based algorithms, solving momentum, continuity and energy as one linear system, were developed for all-speed single-phase flow by Xiao et al. [15], and Denner [16] showed that Newton linearisation of the transient and advection terms substantially improves their convergence at large Mach and Courant numbers.</w:t>
      </w:r>
    </w:p>
    <w:p>
      <w:pPr>
        <w:pStyle w:val="BodyText"/>
      </w:pPr>
      <w:r>
        <w:t xml:space="preserve">For flows with material interfaces the central difficulty is spurious pressure oscillation between fluids with different equations of state, analysed in the quasi-conservative framework of Abgrall [21] and addressed by interface-capturing methods [22, 23, 25–28] derived from the multiphase models of Refs. [23–26]. Algebraic interface sharpening by the hyperbolic-tangent (THINC) reconstruction [44, 45] with boundary-variation-diminishing (BVD) selection [46] keeps a captured interface compact without a Riemann solver and is adopted here for the volume-fraction transport (Section 3.6). Within the pressure-based line, Denner et al. [17] proposed the acoustically-conservative interface discretisation (ACID), whose face density and enthalpy are built from upwind-evaluated partial quantities of the two fluids so that acoustic properties are preserved across the interface (corrigendum [18]); extensions cover the conservative all-speed NASG formulation [19, 29], coexisting incompressible and compressible fluids [20], implicit surface tension at large density ratios [43] and cavitation-bubble acoustics [42].</w:t>
      </w:r>
    </w:p>
    <w:p>
      <w:pPr>
        <w:pStyle w:val="BodyText"/>
      </w:pPr>
      <w:r>
        <w:t xml:space="preserve">The present work builds directly on this literature, claims no new discretisation concept, and develops four practical aspects. First, the complete closed-form Jacobian of the coupled (velocity, pressure, enthalpy) system, including the MWI cross-coupling — the sensitivity of the advecting velocity to neighbouring pressures through the compact and wide gradient stencils and to densities through the interpolation coefficient — terms usually treated by deferred (Picard) iteration or finite differences; the algorithm is in defect-correction form, so the converged solution is rigorously independent of the Jacobian approximation, which affects only convergence behaviour and cost. Second, an L-stable second-order TR-BDF2 integration [47] of a conservative total-energy residual for the acoustic regime, removing the pressure wake of the single-step backward scheme without first-order diffusion. Third, a conservative semi-Lagrangian THINC volume-fraction transport with a parameter-free density-monotonicity guard, sharpening contacts while preserving the discrete pressure-equilibrium property. Fourth, a nineteen-case verification — machine-precision interface preservation to a Mach 100 shock — run by one locally-adaptive scheme with one global parameter set and assessed with full-field metrics, including a documented negative-result quantification of the Courant-number dependence of the MWI dissipation in the strong-shock regime, complementing Ref. [14].</w:t>
      </w:r>
    </w:p>
    <w:p>
      <w:pPr>
        <w:pStyle w:val="BodyText"/>
      </w:pPr>
      <w:r>
        <w:t xml:space="preserve">Section 2 summarises the governing equations and closure; Section 3 the numerical method; Section 4 the verification suite and measured results, including the THINC, TR-BDF2, ablation, robustness and MWI-dissipation studies; Section 5 conclusions and limitations. Appendices collect the thermodynamic derivatives, exact Riemann references and Jacobian entries.</w:t>
      </w:r>
    </w:p>
    <w:bookmarkEnd w:id="21"/>
    <w:bookmarkStart w:id="24" w:name="Xeb9e628cfeab1e03420e866c9768f077eac12db"/>
    <w:p>
      <w:pPr>
        <w:pStyle w:val="Heading1"/>
      </w:pPr>
      <w:r>
        <w:t xml:space="preserve">2. Governing equations and thermodynamic closure</w:t>
      </w:r>
    </w:p>
    <w:bookmarkStart w:id="22" w:name="four-equation-two-phase-model"/>
    <w:p>
      <w:pPr>
        <w:pStyle w:val="Heading2"/>
      </w:pPr>
      <w:r>
        <w:t xml:space="preserve">2.1 Four-equation two-phase model</w:t>
      </w:r>
    </w:p>
    <w:p>
      <w:pPr>
        <w:pStyle w:val="FirstParagraph"/>
      </w:pPr>
      <w:r>
        <w:t xml:space="preserve">We consider one-dimensional, inviscid, compressible flow of two immiscible fluids in mechanical and thermal equilibrium: both fluids share a single pressure</w:t>
      </w:r>
      <w:r>
        <w:t xml:space="preserve"> </w:t>
      </w:r>
      <m:oMath>
        <m:r>
          <m:t>p</m:t>
        </m:r>
      </m:oMath>
      <w:r>
        <w:t xml:space="preserve">, temperature</w:t>
      </w:r>
      <w:r>
        <w:t xml:space="preserve"> </w:t>
      </w:r>
      <m:oMath>
        <m:r>
          <m:t>T</m:t>
        </m:r>
      </m:oMath>
      <w:r>
        <w:t xml:space="preserve"> </w:t>
      </w:r>
      <w:r>
        <w:t xml:space="preserve">and velocity</w:t>
      </w:r>
      <w:r>
        <w:t xml:space="preserve"> </w:t>
      </w:r>
      <m:oMath>
        <m:r>
          <m:t>u</m:t>
        </m:r>
      </m:oMath>
      <w:r>
        <w:t xml:space="preserve">. With the volume fraction</w:t>
      </w:r>
      <w:r>
        <w:t xml:space="preserve"> </w:t>
      </w:r>
      <m:oMath>
        <m:r>
          <m:t>α</m:t>
        </m:r>
        <m:r>
          <m:rPr>
            <m:sty m:val="p"/>
          </m:rPr>
          <m:t>∈</m:t>
        </m:r>
        <m:d>
          <m:dPr>
            <m:begChr m:val="["/>
            <m:endChr m:val="]"/>
            <m:sepChr m:val=""/>
            <m:grow/>
          </m:dPr>
          <m:e>
            <m:r>
              <m:t>0</m:t>
            </m:r>
            <m:r>
              <m:rPr>
                <m:sty m:val="p"/>
              </m:rPr>
              <m:t>,</m:t>
            </m:r>
            <m:r>
              <m:t>1</m:t>
            </m:r>
          </m:e>
        </m:d>
      </m:oMath>
      <w:r>
        <w:t xml:space="preserve"> </w:t>
      </w:r>
      <w:r>
        <w:t xml:space="preserve">of fluid 1, the mixture density and specific total enthalpy are</w:t>
      </w:r>
    </w:p>
    <w:p>
      <w:pPr>
        <w:pStyle w:val="BodyText"/>
      </w:pPr>
      <m:oMathPara>
        <m:oMathParaPr>
          <m:jc m:val="center"/>
        </m:oMathParaPr>
        <m:oMath>
          <m:r>
            <m:t>ρ</m:t>
          </m:r>
          <m:r>
            <m:rPr>
              <m:sty m:val="p"/>
            </m:rPr>
            <m:t>=</m:t>
          </m:r>
          <m:r>
            <m:t>α</m:t>
          </m:r>
          <m:sSub>
            <m:e>
              <m:r>
                <m:t>ρ</m:t>
              </m:r>
            </m:e>
            <m:sub>
              <m:r>
                <m:t>1</m:t>
              </m:r>
            </m:sub>
          </m:sSub>
          <m:r>
            <m:rPr>
              <m:sty m:val="p"/>
            </m:rPr>
            <m:t>+</m:t>
          </m:r>
          <m:d>
            <m:dPr>
              <m:begChr m:val="("/>
              <m:endChr m:val=")"/>
              <m:sepChr m:val=""/>
              <m:grow/>
            </m:dPr>
            <m:e>
              <m:r>
                <m:t>1</m:t>
              </m:r>
              <m:r>
                <m:rPr>
                  <m:sty m:val="p"/>
                </m:rPr>
                <m:t>−</m:t>
              </m:r>
              <m:r>
                <m:t>α</m:t>
              </m:r>
            </m:e>
          </m:d>
          <m:sSub>
            <m:e>
              <m:r>
                <m:t>ρ</m:t>
              </m:r>
            </m:e>
            <m:sub>
              <m:r>
                <m:t>2</m:t>
              </m:r>
            </m:sub>
          </m:sSub>
          <m:r>
            <m:rPr>
              <m:sty m:val="p"/>
            </m:rPr>
            <m:t>,</m:t>
          </m:r>
          <m:r>
            <m:t>  </m:t>
          </m:r>
          <m:r>
            <m:t>ρ</m:t>
          </m:r>
          <m:r>
            <m:t>h</m:t>
          </m:r>
          <m:r>
            <m:rPr>
              <m:sty m:val="p"/>
            </m:rPr>
            <m:t>=</m:t>
          </m:r>
          <m:r>
            <m:t>α</m:t>
          </m:r>
          <m:sSub>
            <m:e>
              <m:r>
                <m:t>ρ</m:t>
              </m:r>
            </m:e>
            <m:sub>
              <m:r>
                <m:t>1</m:t>
              </m:r>
            </m:sub>
          </m:sSub>
          <m:sSub>
            <m:e>
              <m:r>
                <m:t>h</m:t>
              </m:r>
            </m:e>
            <m:sub>
              <m:r>
                <m:t>1</m:t>
              </m:r>
            </m:sub>
          </m:sSub>
          <m:r>
            <m:rPr>
              <m:sty m:val="p"/>
            </m:rPr>
            <m:t>+</m:t>
          </m:r>
          <m:d>
            <m:dPr>
              <m:begChr m:val="("/>
              <m:endChr m:val=")"/>
              <m:sepChr m:val=""/>
              <m:grow/>
            </m:dPr>
            <m:e>
              <m:r>
                <m:t>1</m:t>
              </m:r>
              <m:r>
                <m:rPr>
                  <m:sty m:val="p"/>
                </m:rPr>
                <m:t>−</m:t>
              </m:r>
              <m:r>
                <m:t>α</m:t>
              </m:r>
            </m:e>
          </m:d>
          <m:sSub>
            <m:e>
              <m:r>
                <m:t>ρ</m:t>
              </m:r>
            </m:e>
            <m:sub>
              <m:r>
                <m:t>2</m:t>
              </m:r>
            </m:sub>
          </m:sSub>
          <m:sSub>
            <m:e>
              <m:r>
                <m:t>h</m:t>
              </m:r>
            </m:e>
            <m:sub>
              <m:r>
                <m:t>2</m:t>
              </m:r>
            </m:sub>
          </m:sSub>
          <m:r>
            <m:rPr>
              <m:sty m:val="p"/>
            </m:rPr>
            <m:t>+</m:t>
          </m:r>
          <m:f>
            <m:fPr>
              <m:type m:val="lin"/>
            </m:fPr>
            <m:num>
              <m:r>
                <m:t>1</m:t>
              </m:r>
            </m:num>
            <m:den>
              <m:r>
                <m:t>2</m:t>
              </m:r>
            </m:den>
          </m:f>
          <m:r>
            <m:t>ρ</m:t>
          </m:r>
          <m:sSup>
            <m:e>
              <m:r>
                <m:t>u</m:t>
              </m:r>
            </m:e>
            <m:sup>
              <m:r>
                <m:t>2</m:t>
              </m:r>
            </m:sup>
          </m:sSup>
          <m:r>
            <m:rPr>
              <m:sty m:val="p"/>
            </m:rPr>
            <m:t>,</m:t>
          </m:r>
        </m:oMath>
      </m:oMathPara>
    </w:p>
    <w:p>
      <w:pPr>
        <w:pStyle w:val="FirstParagraph"/>
      </w:pPr>
      <w:r>
        <w:t xml:space="preserve">where</w:t>
      </w:r>
      <w:r>
        <w:t xml:space="preserve"> </w:t>
      </w:r>
      <m:oMath>
        <m:sSub>
          <m:e>
            <m:r>
              <m:t>ρ</m:t>
            </m:r>
          </m:e>
          <m:sub>
            <m:r>
              <m:t>k</m:t>
            </m:r>
          </m:sub>
        </m:sSub>
        <m:d>
          <m:dPr>
            <m:begChr m:val="("/>
            <m:endChr m:val=")"/>
            <m:sepChr m:val=""/>
            <m:grow/>
          </m:dPr>
          <m:e>
            <m:r>
              <m:t>p</m:t>
            </m:r>
            <m:r>
              <m:rPr>
                <m:sty m:val="p"/>
              </m:rPr>
              <m:t>,</m:t>
            </m:r>
            <m:r>
              <m:t>T</m:t>
            </m:r>
          </m:e>
        </m:d>
      </m:oMath>
      <w:r>
        <w:t xml:space="preserve"> </w:t>
      </w:r>
      <w:r>
        <w:t xml:space="preserve">and</w:t>
      </w:r>
      <w:r>
        <w:t xml:space="preserve"> </w:t>
      </w:r>
      <m:oMath>
        <m:sSub>
          <m:e>
            <m:r>
              <m:t>h</m:t>
            </m:r>
          </m:e>
          <m:sub>
            <m:r>
              <m:t>k</m:t>
            </m:r>
          </m:sub>
        </m:sSub>
        <m:d>
          <m:dPr>
            <m:begChr m:val="("/>
            <m:endChr m:val=")"/>
            <m:sepChr m:val=""/>
            <m:grow/>
          </m:dPr>
          <m:e>
            <m:r>
              <m:t>p</m:t>
            </m:r>
            <m:r>
              <m:rPr>
                <m:sty m:val="p"/>
              </m:rPr>
              <m:t>,</m:t>
            </m:r>
            <m:r>
              <m:t>T</m:t>
            </m:r>
          </m:e>
        </m:d>
      </m:oMath>
      <w:r>
        <w:t xml:space="preserve"> </w:t>
      </w:r>
      <w:r>
        <w:t xml:space="preserve">follow from the equation of state and</w:t>
      </w:r>
      <w:r>
        <w:t xml:space="preserve"> </w:t>
      </w:r>
      <m:oMath>
        <m:r>
          <m:t>h</m:t>
        </m:r>
      </m:oMath>
      <w:r>
        <w:t xml:space="preserve"> </w:t>
      </w:r>
      <w:r>
        <w:t xml:space="preserve">is the specific</w:t>
      </w:r>
      <w:r>
        <w:t xml:space="preserve"> </w:t>
      </w:r>
      <w:r>
        <w:rPr>
          <w:i/>
          <w:iCs/>
        </w:rPr>
        <w:t xml:space="preserve">total</w:t>
      </w:r>
      <w:r>
        <w:t xml:space="preserve"> </w:t>
      </w:r>
      <w:r>
        <w:t xml:space="preserve">enthalpy. The governing equations are the four-equation model of Ref. [17]:</w:t>
      </w:r>
    </w:p>
    <w:p>
      <w:pPr>
        <w:pStyle w:val="BodyText"/>
      </w:pPr>
      <m:oMathPara>
        <m:oMathParaPr>
          <m:jc m:val="center"/>
        </m:oMathParaPr>
        <m:oMath>
          <m:f>
            <m:fPr>
              <m:type m:val="bar"/>
            </m:fPr>
            <m:num>
              <m:r>
                <m:rPr>
                  <m:sty m:val="p"/>
                </m:rPr>
                <m:t>∂</m:t>
              </m:r>
              <m:r>
                <m:t>ρ</m:t>
              </m:r>
            </m:num>
            <m:den>
              <m:r>
                <m:rPr>
                  <m:sty m:val="p"/>
                </m:rPr>
                <m:t>∂</m:t>
              </m:r>
              <m:r>
                <m:t>t</m:t>
              </m:r>
            </m:den>
          </m:f>
          <m:r>
            <m:rPr>
              <m:sty m:val="p"/>
            </m:rPr>
            <m:t>+</m:t>
          </m:r>
          <m:f>
            <m:fPr>
              <m:type m:val="bar"/>
            </m:fPr>
            <m:num>
              <m:r>
                <m:rPr>
                  <m:sty m:val="p"/>
                </m:rPr>
                <m:t>∂</m:t>
              </m:r>
              <m:d>
                <m:dPr>
                  <m:begChr m:val="("/>
                  <m:endChr m:val=")"/>
                  <m:sepChr m:val=""/>
                  <m:grow/>
                </m:dPr>
                <m:e>
                  <m:r>
                    <m:t>ρ</m:t>
                  </m:r>
                  <m:r>
                    <m:t>u</m:t>
                  </m:r>
                </m:e>
              </m:d>
            </m:num>
            <m:den>
              <m:r>
                <m:rPr>
                  <m:sty m:val="p"/>
                </m:rPr>
                <m:t>∂</m:t>
              </m:r>
              <m:r>
                <m:t>x</m:t>
              </m:r>
            </m:den>
          </m:f>
          <m:r>
            <m:rPr>
              <m:sty m:val="p"/>
            </m:rPr>
            <m:t>=</m:t>
          </m:r>
          <m:r>
            <m:t>0</m:t>
          </m:r>
          <m:r>
            <m:rPr>
              <m:sty m:val="p"/>
            </m:rPr>
            <m:t>,</m:t>
          </m:r>
          <m:r>
            <m:t>  </m:t>
          </m:r>
          <m:f>
            <m:fPr>
              <m:type m:val="bar"/>
            </m:fPr>
            <m:num>
              <m:r>
                <m:rPr>
                  <m:sty m:val="p"/>
                </m:rPr>
                <m:t>∂</m:t>
              </m:r>
              <m:d>
                <m:dPr>
                  <m:begChr m:val="("/>
                  <m:endChr m:val=")"/>
                  <m:sepChr m:val=""/>
                  <m:grow/>
                </m:dPr>
                <m:e>
                  <m:r>
                    <m:t>ρ</m:t>
                  </m:r>
                  <m:r>
                    <m:t>u</m:t>
                  </m:r>
                </m:e>
              </m:d>
            </m:num>
            <m:den>
              <m:r>
                <m:rPr>
                  <m:sty m:val="p"/>
                </m:rPr>
                <m:t>∂</m:t>
              </m:r>
              <m:r>
                <m:t>t</m:t>
              </m:r>
            </m:den>
          </m:f>
          <m:r>
            <m:rPr>
              <m:sty m:val="p"/>
            </m:rPr>
            <m:t>+</m:t>
          </m:r>
          <m:f>
            <m:fPr>
              <m:type m:val="bar"/>
            </m:fPr>
            <m:num>
              <m:r>
                <m:rPr>
                  <m:sty m:val="p"/>
                </m:rPr>
                <m:t>∂</m:t>
              </m:r>
              <m:d>
                <m:dPr>
                  <m:begChr m:val="("/>
                  <m:endChr m:val=")"/>
                  <m:sepChr m:val=""/>
                  <m:grow/>
                </m:dPr>
                <m:e>
                  <m:r>
                    <m:t>ρ</m:t>
                  </m:r>
                  <m:sSup>
                    <m:e>
                      <m:r>
                        <m:t>u</m:t>
                      </m:r>
                    </m:e>
                    <m:sup>
                      <m:r>
                        <m:t>2</m:t>
                      </m:r>
                    </m:sup>
                  </m:sSup>
                </m:e>
              </m:d>
            </m:num>
            <m:den>
              <m:r>
                <m:rPr>
                  <m:sty m:val="p"/>
                </m:rPr>
                <m:t>∂</m:t>
              </m:r>
              <m:r>
                <m:t>x</m:t>
              </m:r>
            </m:den>
          </m:f>
          <m:r>
            <m:rPr>
              <m:sty m:val="p"/>
            </m:rPr>
            <m:t>=</m:t>
          </m:r>
          <m:r>
            <m:rPr>
              <m:sty m:val="p"/>
            </m:rPr>
            <m:t>−</m:t>
          </m:r>
          <m:f>
            <m:fPr>
              <m:type m:val="bar"/>
            </m:fPr>
            <m:num>
              <m:r>
                <m:rPr>
                  <m:sty m:val="p"/>
                </m:rPr>
                <m:t>∂</m:t>
              </m:r>
              <m:r>
                <m:t>p</m:t>
              </m:r>
            </m:num>
            <m:den>
              <m:r>
                <m:rPr>
                  <m:sty m:val="p"/>
                </m:rPr>
                <m:t>∂</m:t>
              </m:r>
              <m:r>
                <m:t>x</m:t>
              </m:r>
            </m:den>
          </m:f>
          <m:r>
            <m:rPr>
              <m:sty m:val="p"/>
            </m:rPr>
            <m:t>,</m:t>
          </m:r>
        </m:oMath>
      </m:oMathPara>
    </w:p>
    <w:p>
      <w:pPr>
        <w:pStyle w:val="FirstParagraph"/>
      </w:pPr>
      <m:oMathPara>
        <m:oMathParaPr>
          <m:jc m:val="center"/>
        </m:oMathParaPr>
        <m:oMath>
          <m:f>
            <m:fPr>
              <m:type m:val="bar"/>
            </m:fPr>
            <m:num>
              <m:r>
                <m:rPr>
                  <m:sty m:val="p"/>
                </m:rPr>
                <m:t>∂</m:t>
              </m:r>
              <m:d>
                <m:dPr>
                  <m:begChr m:val="("/>
                  <m:endChr m:val=")"/>
                  <m:sepChr m:val=""/>
                  <m:grow/>
                </m:dPr>
                <m:e>
                  <m:r>
                    <m:t>ρ</m:t>
                  </m:r>
                  <m:r>
                    <m:t>h</m:t>
                  </m:r>
                </m:e>
              </m:d>
            </m:num>
            <m:den>
              <m:r>
                <m:rPr>
                  <m:sty m:val="p"/>
                </m:rPr>
                <m:t>∂</m:t>
              </m:r>
              <m:r>
                <m:t>t</m:t>
              </m:r>
            </m:den>
          </m:f>
          <m:r>
            <m:rPr>
              <m:sty m:val="p"/>
            </m:rPr>
            <m:t>+</m:t>
          </m:r>
          <m:f>
            <m:fPr>
              <m:type m:val="bar"/>
            </m:fPr>
            <m:num>
              <m:r>
                <m:rPr>
                  <m:sty m:val="p"/>
                </m:rPr>
                <m:t>∂</m:t>
              </m:r>
              <m:d>
                <m:dPr>
                  <m:begChr m:val="("/>
                  <m:endChr m:val=")"/>
                  <m:sepChr m:val=""/>
                  <m:grow/>
                </m:dPr>
                <m:e>
                  <m:r>
                    <m:t>ρ</m:t>
                  </m:r>
                  <m:r>
                    <m:t>u</m:t>
                  </m:r>
                  <m:r>
                    <m:t>h</m:t>
                  </m:r>
                </m:e>
              </m:d>
            </m:num>
            <m:den>
              <m:r>
                <m:rPr>
                  <m:sty m:val="p"/>
                </m:rPr>
                <m:t>∂</m:t>
              </m:r>
              <m:r>
                <m:t>x</m:t>
              </m:r>
            </m:den>
          </m:f>
          <m:r>
            <m:rPr>
              <m:sty m:val="p"/>
            </m:rPr>
            <m:t>=</m:t>
          </m:r>
          <m:f>
            <m:fPr>
              <m:type m:val="bar"/>
            </m:fPr>
            <m:num>
              <m:r>
                <m:rPr>
                  <m:sty m:val="p"/>
                </m:rPr>
                <m:t>∂</m:t>
              </m:r>
              <m:r>
                <m:t>p</m:t>
              </m:r>
            </m:num>
            <m:den>
              <m:r>
                <m:rPr>
                  <m:sty m:val="p"/>
                </m:rPr>
                <m:t>∂</m:t>
              </m:r>
              <m:r>
                <m:t>t</m:t>
              </m:r>
            </m:den>
          </m:f>
          <m:r>
            <m:rPr>
              <m:sty m:val="p"/>
            </m:rPr>
            <m:t>,</m:t>
          </m:r>
          <m:r>
            <m:t>  </m:t>
          </m:r>
          <m:f>
            <m:fPr>
              <m:type m:val="bar"/>
            </m:fPr>
            <m:num>
              <m:r>
                <m:rPr>
                  <m:sty m:val="p"/>
                </m:rPr>
                <m:t>∂</m:t>
              </m:r>
              <m:r>
                <m:t>α</m:t>
              </m:r>
            </m:num>
            <m:den>
              <m:r>
                <m:rPr>
                  <m:sty m:val="p"/>
                </m:rPr>
                <m:t>∂</m:t>
              </m:r>
              <m:r>
                <m:t>t</m:t>
              </m:r>
            </m:den>
          </m:f>
          <m:r>
            <m:rPr>
              <m:sty m:val="p"/>
            </m:rPr>
            <m:t>+</m:t>
          </m:r>
          <m:r>
            <m:t>u</m:t>
          </m:r>
          <m:f>
            <m:fPr>
              <m:type m:val="bar"/>
            </m:fPr>
            <m:num>
              <m:r>
                <m:rPr>
                  <m:sty m:val="p"/>
                </m:rPr>
                <m:t>∂</m:t>
              </m:r>
              <m:r>
                <m:t>α</m:t>
              </m:r>
            </m:num>
            <m:den>
              <m:r>
                <m:rPr>
                  <m:sty m:val="p"/>
                </m:rPr>
                <m:t>∂</m:t>
              </m:r>
              <m:r>
                <m:t>x</m:t>
              </m:r>
            </m:den>
          </m:f>
          <m:r>
            <m:rPr>
              <m:sty m:val="p"/>
            </m:rPr>
            <m:t>=</m:t>
          </m:r>
          <m:r>
            <m:t>0</m:t>
          </m:r>
          <m:r>
            <m:rPr>
              <m:sty m:val="p"/>
            </m:rPr>
            <m:t>.</m:t>
          </m:r>
        </m:oMath>
      </m:oMathPara>
    </w:p>
    <w:p>
      <w:pPr>
        <w:pStyle w:val="FirstParagraph"/>
      </w:pPr>
      <w:r>
        <w:t xml:space="preserve">The total-enthalpy form is convenient for pressure-based algorithms because the transient pressure term requires no linearisation [16, 19]. The non-conservative volume-fraction advection corresponds to the five-equation model of Allaire et al. [25] with vanishing compaction terms; the model reduces to the Euler equations in each pure fluid. No phase change, surface tension, viscosity or heat conduction is considered.</w:t>
      </w:r>
    </w:p>
    <w:bookmarkEnd w:id="22"/>
    <w:bookmarkStart w:id="23" w:name="X893b1c21382106f5462477bc563443e61af4eed"/>
    <w:p>
      <w:pPr>
        <w:pStyle w:val="Heading2"/>
      </w:pPr>
      <w:r>
        <w:t xml:space="preserve">2.2 Noble–Abel stiffened-gas equation of state</w:t>
      </w:r>
    </w:p>
    <w:p>
      <w:pPr>
        <w:pStyle w:val="FirstParagraph"/>
      </w:pPr>
      <w:r>
        <w:t xml:space="preserve">Each fluid follows the NASG equation of state of Le Métayer and Saurel [29], representing gases, liquids and their limits in one expression:</w:t>
      </w:r>
    </w:p>
    <w:p>
      <w:pPr>
        <w:pStyle w:val="BodyText"/>
      </w:pPr>
      <m:oMathPara>
        <m:oMathParaPr>
          <m:jc m:val="center"/>
        </m:oMathParaPr>
        <m:oMath>
          <m:sSub>
            <m:e>
              <m:r>
                <m:t>ρ</m:t>
              </m:r>
            </m:e>
            <m:sub>
              <m:r>
                <m:t>k</m:t>
              </m:r>
            </m:sub>
          </m:sSub>
          <m:d>
            <m:dPr>
              <m:begChr m:val="("/>
              <m:endChr m:val=")"/>
              <m:sepChr m:val=""/>
              <m:grow/>
            </m:dPr>
            <m:e>
              <m:r>
                <m:t>p</m:t>
              </m:r>
              <m:r>
                <m:rPr>
                  <m:sty m:val="p"/>
                </m:rPr>
                <m:t>,</m:t>
              </m:r>
              <m:r>
                <m:t>T</m:t>
              </m:r>
            </m:e>
          </m:d>
          <m:r>
            <m:rPr>
              <m:sty m:val="p"/>
            </m:rPr>
            <m:t>=</m:t>
          </m:r>
          <m:f>
            <m:fPr>
              <m:type m:val="bar"/>
            </m:fPr>
            <m:num>
              <m:r>
                <m:t>p</m:t>
              </m:r>
              <m:r>
                <m:rPr>
                  <m:sty m:val="p"/>
                </m:rPr>
                <m:t>+</m:t>
              </m:r>
              <m:sSub>
                <m:e>
                  <m:r>
                    <m:t>Π</m:t>
                  </m:r>
                </m:e>
                <m:sub>
                  <m:r>
                    <m:t>k</m:t>
                  </m:r>
                </m:sub>
              </m:sSub>
            </m:num>
            <m:den>
              <m:sSub>
                <m:e>
                  <m:r>
                    <m:t>c</m:t>
                  </m:r>
                </m:e>
                <m:sub>
                  <m:r>
                    <m:t>v</m:t>
                  </m:r>
                  <m:r>
                    <m:rPr>
                      <m:sty m:val="p"/>
                    </m:rPr>
                    <m:t>,</m:t>
                  </m:r>
                  <m:r>
                    <m:t>k</m:t>
                  </m:r>
                </m:sub>
              </m:sSub>
              <m:d>
                <m:dPr>
                  <m:begChr m:val="("/>
                  <m:endChr m:val=")"/>
                  <m:sepChr m:val=""/>
                  <m:grow/>
                </m:dPr>
                <m:e>
                  <m:sSub>
                    <m:e>
                      <m:r>
                        <m:t>γ</m:t>
                      </m:r>
                    </m:e>
                    <m:sub>
                      <m:r>
                        <m:t>k</m:t>
                      </m:r>
                    </m:sub>
                  </m:sSub>
                  <m:r>
                    <m:rPr>
                      <m:sty m:val="p"/>
                    </m:rPr>
                    <m:t>−</m:t>
                  </m:r>
                  <m:r>
                    <m:t>1</m:t>
                  </m:r>
                </m:e>
              </m:d>
              <m:r>
                <m:t>T</m:t>
              </m:r>
              <m:r>
                <m:rPr>
                  <m:sty m:val="p"/>
                </m:rPr>
                <m:t>+</m:t>
              </m:r>
              <m:sSub>
                <m:e>
                  <m:r>
                    <m:t>b</m:t>
                  </m:r>
                </m:e>
                <m:sub>
                  <m:r>
                    <m:t>k</m:t>
                  </m:r>
                </m:sub>
              </m:sSub>
              <m:d>
                <m:dPr>
                  <m:begChr m:val="("/>
                  <m:endChr m:val=")"/>
                  <m:sepChr m:val=""/>
                  <m:grow/>
                </m:dPr>
                <m:e>
                  <m:r>
                    <m:t>p</m:t>
                  </m:r>
                  <m:r>
                    <m:rPr>
                      <m:sty m:val="p"/>
                    </m:rPr>
                    <m:t>+</m:t>
                  </m:r>
                  <m:sSub>
                    <m:e>
                      <m:r>
                        <m:t>Π</m:t>
                      </m:r>
                    </m:e>
                    <m:sub>
                      <m:r>
                        <m:t>k</m:t>
                      </m:r>
                    </m:sub>
                  </m:sSub>
                </m:e>
              </m:d>
            </m:den>
          </m:f>
          <m:r>
            <m:rPr>
              <m:sty m:val="p"/>
            </m:rPr>
            <m:t>,</m:t>
          </m:r>
          <m:r>
            <m:t>  </m:t>
          </m:r>
          <m:sSub>
            <m:e>
              <m:r>
                <m:t>h</m:t>
              </m:r>
            </m:e>
            <m:sub>
              <m:r>
                <m:t>k</m:t>
              </m:r>
            </m:sub>
          </m:sSub>
          <m:d>
            <m:dPr>
              <m:begChr m:val="("/>
              <m:endChr m:val=")"/>
              <m:sepChr m:val=""/>
              <m:grow/>
            </m:dPr>
            <m:e>
              <m:r>
                <m:t>p</m:t>
              </m:r>
              <m:r>
                <m:rPr>
                  <m:sty m:val="p"/>
                </m:rPr>
                <m:t>,</m:t>
              </m:r>
              <m:r>
                <m:t>T</m:t>
              </m:r>
            </m:e>
          </m:d>
          <m:r>
            <m:rPr>
              <m:sty m:val="p"/>
            </m:rPr>
            <m:t>=</m:t>
          </m:r>
          <m:sSub>
            <m:e>
              <m:r>
                <m:t>γ</m:t>
              </m:r>
            </m:e>
            <m:sub>
              <m:r>
                <m:t>k</m:t>
              </m:r>
            </m:sub>
          </m:sSub>
          <m:sSub>
            <m:e>
              <m:r>
                <m:t>c</m:t>
              </m:r>
            </m:e>
            <m:sub>
              <m:r>
                <m:t>v</m:t>
              </m:r>
              <m:r>
                <m:rPr>
                  <m:sty m:val="p"/>
                </m:rPr>
                <m:t>,</m:t>
              </m:r>
              <m:r>
                <m:t>k</m:t>
              </m:r>
            </m:sub>
          </m:sSub>
          <m:r>
            <m:t>T</m:t>
          </m:r>
          <m:r>
            <m:rPr>
              <m:sty m:val="p"/>
            </m:rPr>
            <m:t>+</m:t>
          </m:r>
          <m:sSub>
            <m:e>
              <m:r>
                <m:t>b</m:t>
              </m:r>
            </m:e>
            <m:sub>
              <m:r>
                <m:t>k</m:t>
              </m:r>
            </m:sub>
          </m:sSub>
          <m:r>
            <m:t>p</m:t>
          </m:r>
          <m:r>
            <m:rPr>
              <m:sty m:val="p"/>
            </m:rPr>
            <m:t>+</m:t>
          </m:r>
          <m:sSub>
            <m:e>
              <m:r>
                <m:t>η</m:t>
              </m:r>
            </m:e>
            <m:sub>
              <m:r>
                <m:t>k</m:t>
              </m:r>
            </m:sub>
          </m:sSub>
          <m:r>
            <m:rPr>
              <m:sty m:val="p"/>
            </m:rPr>
            <m:t>,</m:t>
          </m:r>
        </m:oMath>
      </m:oMathPara>
    </w:p>
    <w:p>
      <w:pPr>
        <w:pStyle w:val="FirstParagraph"/>
      </w:pPr>
      <w:r>
        <w:t xml:space="preserve">with heat-capacity ratio</w:t>
      </w:r>
      <w:r>
        <w:t xml:space="preserve"> </w:t>
      </w:r>
      <m:oMath>
        <m:sSub>
          <m:e>
            <m:r>
              <m:t>γ</m:t>
            </m:r>
          </m:e>
          <m:sub>
            <m:r>
              <m:t>k</m:t>
            </m:r>
          </m:sub>
        </m:sSub>
      </m:oMath>
      <w:r>
        <w:t xml:space="preserve">, pressure constant</w:t>
      </w:r>
      <w:r>
        <w:t xml:space="preserve"> </w:t>
      </w:r>
      <m:oMath>
        <m:sSub>
          <m:e>
            <m:r>
              <m:t>Π</m:t>
            </m:r>
          </m:e>
          <m:sub>
            <m:r>
              <m:t>k</m:t>
            </m:r>
          </m:sub>
        </m:sSub>
      </m:oMath>
      <w:r>
        <w:t xml:space="preserve">, co-volume</w:t>
      </w:r>
      <w:r>
        <w:t xml:space="preserve"> </w:t>
      </w:r>
      <m:oMath>
        <m:sSub>
          <m:e>
            <m:r>
              <m:t>b</m:t>
            </m:r>
          </m:e>
          <m:sub>
            <m:r>
              <m:t>k</m:t>
            </m:r>
          </m:sub>
        </m:sSub>
      </m:oMath>
      <w:r>
        <w:t xml:space="preserve">, isochoric heat capacity</w:t>
      </w:r>
      <w:r>
        <w:t xml:space="preserve"> </w:t>
      </w:r>
      <m:oMath>
        <m:sSub>
          <m:e>
            <m:r>
              <m:t>c</m:t>
            </m:r>
          </m:e>
          <m:sub>
            <m:r>
              <m:t>v</m:t>
            </m:r>
            <m:r>
              <m:rPr>
                <m:sty m:val="p"/>
              </m:rPr>
              <m:t>,</m:t>
            </m:r>
            <m:r>
              <m:t>k</m:t>
            </m:r>
          </m:sub>
        </m:sSub>
      </m:oMath>
      <w:r>
        <w:t xml:space="preserve"> </w:t>
      </w:r>
      <w:r>
        <w:t xml:space="preserve">and enthalpy reference</w:t>
      </w:r>
      <w:r>
        <w:t xml:space="preserve"> </w:t>
      </w:r>
      <m:oMath>
        <m:sSub>
          <m:e>
            <m:r>
              <m:t>η</m:t>
            </m:r>
          </m:e>
          <m:sub>
            <m:r>
              <m:t>k</m:t>
            </m:r>
          </m:sub>
        </m:sSub>
      </m:oMath>
      <w:r>
        <w:t xml:space="preserve">; the phase speed of sound is</w:t>
      </w:r>
      <w:r>
        <w:t xml:space="preserve"> </w:t>
      </w:r>
      <m:oMath>
        <m:sSubSup>
          <m:e>
            <m:r>
              <m:t>c</m:t>
            </m:r>
          </m:e>
          <m:sub>
            <m:r>
              <m:t>k</m:t>
            </m:r>
          </m:sub>
          <m:sup>
            <m:r>
              <m:t>2</m:t>
            </m:r>
          </m:sup>
        </m:sSubSup>
        <m:r>
          <m:rPr>
            <m:sty m:val="p"/>
          </m:rPr>
          <m:t>=</m:t>
        </m:r>
        <m:sSub>
          <m:e>
            <m:r>
              <m:t>γ</m:t>
            </m:r>
          </m:e>
          <m:sub>
            <m:r>
              <m:t>k</m:t>
            </m:r>
          </m:sub>
        </m:sSub>
        <m:d>
          <m:dPr>
            <m:begChr m:val="("/>
            <m:endChr m:val=")"/>
            <m:sepChr m:val=""/>
            <m:grow/>
          </m:dPr>
          <m:e>
            <m:r>
              <m:t>p</m:t>
            </m:r>
            <m:r>
              <m:rPr>
                <m:sty m:val="p"/>
              </m:rPr>
              <m:t>+</m:t>
            </m:r>
            <m:sSub>
              <m:e>
                <m:r>
                  <m:t>Π</m:t>
                </m:r>
              </m:e>
              <m:sub>
                <m:r>
                  <m:t>k</m:t>
                </m:r>
              </m:sub>
            </m:sSub>
          </m:e>
        </m:d>
        <m:r>
          <m:rPr>
            <m:sty m:val="p"/>
          </m:rPr>
          <m:t>/</m:t>
        </m:r>
        <m:d>
          <m:dPr>
            <m:begChr m:val="["/>
            <m:endChr m:val="]"/>
            <m:sepChr m:val=""/>
            <m:grow/>
          </m:dPr>
          <m:e>
            <m:sSub>
              <m:e>
                <m:r>
                  <m:t>ρ</m:t>
                </m:r>
              </m:e>
              <m:sub>
                <m:r>
                  <m:t>k</m:t>
                </m:r>
              </m:sub>
            </m:sSub>
            <m:d>
              <m:dPr>
                <m:begChr m:val="("/>
                <m:endChr m:val=")"/>
                <m:sepChr m:val=""/>
                <m:grow/>
              </m:dPr>
              <m:e>
                <m:r>
                  <m:t>1</m:t>
                </m:r>
                <m:r>
                  <m:rPr>
                    <m:sty m:val="p"/>
                  </m:rPr>
                  <m:t>−</m:t>
                </m:r>
                <m:sSub>
                  <m:e>
                    <m:r>
                      <m:t>b</m:t>
                    </m:r>
                  </m:e>
                  <m:sub>
                    <m:r>
                      <m:t>k</m:t>
                    </m:r>
                  </m:sub>
                </m:sSub>
                <m:sSub>
                  <m:e>
                    <m:r>
                      <m:t>ρ</m:t>
                    </m:r>
                  </m:e>
                  <m:sub>
                    <m:r>
                      <m:t>k</m:t>
                    </m:r>
                  </m:sub>
                </m:sSub>
              </m:e>
            </m:d>
          </m:e>
        </m:d>
      </m:oMath>
      <w:r>
        <w:t xml:space="preserve">. Setting</w:t>
      </w:r>
      <w:r>
        <w:t xml:space="preserve"> </w:t>
      </w:r>
      <m:oMath>
        <m:sSub>
          <m:e>
            <m:r>
              <m:t>b</m:t>
            </m:r>
          </m:e>
          <m:sub>
            <m:r>
              <m:t>k</m:t>
            </m:r>
          </m:sub>
        </m:sSub>
        <m:r>
          <m:rPr>
            <m:sty m:val="p"/>
          </m:rPr>
          <m:t>=</m:t>
        </m:r>
        <m:sSub>
          <m:e>
            <m:r>
              <m:t>η</m:t>
            </m:r>
          </m:e>
          <m:sub>
            <m:r>
              <m:t>k</m:t>
            </m:r>
          </m:sub>
        </m:sSub>
        <m:r>
          <m:rPr>
            <m:sty m:val="p"/>
          </m:rPr>
          <m:t>=</m:t>
        </m:r>
        <m:r>
          <m:t>0</m:t>
        </m:r>
      </m:oMath>
      <w:r>
        <w:t xml:space="preserve"> </w:t>
      </w:r>
      <w:r>
        <w:t xml:space="preserve">recovers the stiffened gas, and additionally</w:t>
      </w:r>
      <w:r>
        <w:t xml:space="preserve"> </w:t>
      </w:r>
      <m:oMath>
        <m:sSub>
          <m:e>
            <m:r>
              <m:t>Π</m:t>
            </m:r>
          </m:e>
          <m:sub>
            <m:r>
              <m:t>k</m:t>
            </m:r>
          </m:sub>
        </m:sSub>
        <m:r>
          <m:rPr>
            <m:sty m:val="p"/>
          </m:rPr>
          <m:t>=</m:t>
        </m:r>
        <m:r>
          <m:t>0</m:t>
        </m:r>
      </m:oMath>
      <w:r>
        <w:t xml:space="preserve"> </w:t>
      </w:r>
      <w:r>
        <w:t xml:space="preserve">the ideal gas, so one implementation covers all fluids. The closed-form derivatives required by the analytical Jacobian are collected in Appendix A. The mixture speed of sound entering the time-step selection is the mechanical-equilibrium (Wood [30, 31]) speed,</w:t>
      </w:r>
      <w:r>
        <w:t xml:space="preserve"> </w:t>
      </w:r>
      <m:oMath>
        <m:sSup>
          <m:e>
            <m:d>
              <m:dPr>
                <m:begChr m:val="("/>
                <m:endChr m:val=")"/>
                <m:sepChr m:val=""/>
                <m:grow/>
              </m:dPr>
              <m:e>
                <m:r>
                  <m:t>ρ</m:t>
                </m:r>
                <m:sSup>
                  <m:e>
                    <m:r>
                      <m:t>c</m:t>
                    </m:r>
                  </m:e>
                  <m:sup>
                    <m:r>
                      <m:t>2</m:t>
                    </m:r>
                  </m:sup>
                </m:sSup>
              </m:e>
            </m:d>
          </m:e>
          <m:sup>
            <m:r>
              <m:rPr>
                <m:sty m:val="p"/>
              </m:rPr>
              <m:t>−</m:t>
            </m:r>
            <m:r>
              <m:t>1</m:t>
            </m:r>
          </m:sup>
        </m:sSup>
        <m:r>
          <m:rPr>
            <m:sty m:val="p"/>
          </m:rPr>
          <m:t>=</m:t>
        </m:r>
        <m:r>
          <m:t>α</m:t>
        </m:r>
        <m:r>
          <m:rPr>
            <m:sty m:val="p"/>
          </m:rPr>
          <m:t>/</m:t>
        </m:r>
        <m:d>
          <m:dPr>
            <m:begChr m:val="("/>
            <m:endChr m:val=")"/>
            <m:sepChr m:val=""/>
            <m:grow/>
          </m:dPr>
          <m:e>
            <m:sSub>
              <m:e>
                <m:r>
                  <m:t>ρ</m:t>
                </m:r>
              </m:e>
              <m:sub>
                <m:r>
                  <m:t>1</m:t>
                </m:r>
              </m:sub>
            </m:sSub>
            <m:sSubSup>
              <m:e>
                <m:r>
                  <m:t>c</m:t>
                </m:r>
              </m:e>
              <m:sub>
                <m:r>
                  <m:t>1</m:t>
                </m:r>
              </m:sub>
              <m:sup>
                <m:r>
                  <m:t>2</m:t>
                </m:r>
              </m:sup>
            </m:sSubSup>
          </m:e>
        </m:d>
        <m:r>
          <m:rPr>
            <m:sty m:val="p"/>
          </m:rPr>
          <m:t>+</m:t>
        </m:r>
        <m:d>
          <m:dPr>
            <m:begChr m:val="("/>
            <m:endChr m:val=")"/>
            <m:sepChr m:val=""/>
            <m:grow/>
          </m:dPr>
          <m:e>
            <m:r>
              <m:t>1</m:t>
            </m:r>
            <m:r>
              <m:rPr>
                <m:sty m:val="p"/>
              </m:rPr>
              <m:t>−</m:t>
            </m:r>
            <m:r>
              <m:t>α</m:t>
            </m:r>
          </m:e>
        </m:d>
        <m:r>
          <m:rPr>
            <m:sty m:val="p"/>
          </m:rPr>
          <m:t>/</m:t>
        </m:r>
        <m:d>
          <m:dPr>
            <m:begChr m:val="("/>
            <m:endChr m:val=")"/>
            <m:sepChr m:val=""/>
            <m:grow/>
          </m:dPr>
          <m:e>
            <m:sSub>
              <m:e>
                <m:r>
                  <m:t>ρ</m:t>
                </m:r>
              </m:e>
              <m:sub>
                <m:r>
                  <m:t>2</m:t>
                </m:r>
              </m:sub>
            </m:sSub>
            <m:sSubSup>
              <m:e>
                <m:r>
                  <m:t>c</m:t>
                </m:r>
              </m:e>
              <m:sub>
                <m:r>
                  <m:t>2</m:t>
                </m:r>
              </m:sub>
              <m:sup>
                <m:r>
                  <m:t>2</m:t>
                </m:r>
              </m:sup>
            </m:sSubSup>
          </m:e>
        </m:d>
      </m:oMath>
      <w:r>
        <w:t xml:space="preserve">. Table 1 lists the fluid parameters.</w:t>
      </w:r>
    </w:p>
    <w:p>
      <w:pPr>
        <w:pStyle w:val="BodyText"/>
      </w:pPr>
      <w:r>
        <w:rPr>
          <w:b/>
          <w:bCs/>
        </w:rPr>
        <w:t xml:space="preserve">Table 1.</w:t>
      </w:r>
      <w:r>
        <w:t xml:space="preserve"> </w:t>
      </w:r>
      <w:r>
        <w:t xml:space="preserve">NASG parameters of the working fluids. (SG: stiffened-gas limit,</w:t>
      </w:r>
      <w:r>
        <w:t xml:space="preserve"> </w:t>
      </w:r>
      <m:oMath>
        <m:r>
          <m:t>b</m:t>
        </m:r>
        <m:r>
          <m:rPr>
            <m:sty m:val="p"/>
          </m:rPr>
          <m:t>=</m:t>
        </m:r>
        <m:r>
          <m:t>η</m:t>
        </m:r>
        <m:r>
          <m:rPr>
            <m:sty m:val="p"/>
          </m:rPr>
          <m:t>=</m:t>
        </m:r>
        <m:r>
          <m:t>0</m:t>
        </m:r>
      </m:oMath>
      <w:r>
        <w:t xml:space="preserve">; ideal gas: additionally</w:t>
      </w:r>
      <w:r>
        <w:t xml:space="preserve"> </w:t>
      </w:r>
      <m:oMath>
        <m:r>
          <m:t>Π</m:t>
        </m:r>
        <m:r>
          <m:rPr>
            <m:sty m:val="p"/>
          </m:rPr>
          <m:t>=</m:t>
        </m:r>
        <m:r>
          <m:t>0</m:t>
        </m:r>
      </m:oMath>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Fluid</w:t>
            </w:r>
          </w:p>
        </w:tc>
        <w:tc>
          <w:tcPr/>
          <w:p>
            <w:pPr>
              <w:pStyle w:val="Compact"/>
              <w:jc w:val="left"/>
            </w:pPr>
            <m:oMath>
              <m:r>
                <m:t>γ</m:t>
              </m:r>
            </m:oMath>
          </w:p>
        </w:tc>
        <w:tc>
          <w:tcPr/>
          <w:p>
            <w:pPr>
              <w:pStyle w:val="Compact"/>
              <w:jc w:val="left"/>
            </w:pPr>
            <m:oMath>
              <m:r>
                <m:t>Π</m:t>
              </m:r>
            </m:oMath>
            <w:r>
              <w:t xml:space="preserve"> </w:t>
            </w:r>
            <w:r>
              <w:t xml:space="preserve">(Pa)</w:t>
            </w:r>
          </w:p>
        </w:tc>
        <w:tc>
          <w:tcPr/>
          <w:p>
            <w:pPr>
              <w:pStyle w:val="Compact"/>
              <w:jc w:val="left"/>
            </w:pPr>
            <m:oMath>
              <m:r>
                <m:t>b</m:t>
              </m:r>
            </m:oMath>
            <w:r>
              <w:t xml:space="preserve"> </w:t>
            </w:r>
            <w:r>
              <w:t xml:space="preserve">(m</w:t>
            </w:r>
            <w:r>
              <w:rPr>
                <w:vertAlign w:val="superscript"/>
              </w:rPr>
              <w:t xml:space="preserve">3</w:t>
            </w:r>
            <w:r>
              <w:t xml:space="preserve">/kg)</w:t>
            </w:r>
          </w:p>
        </w:tc>
        <w:tc>
          <w:tcPr/>
          <w:p>
            <w:pPr>
              <w:pStyle w:val="Compact"/>
              <w:jc w:val="left"/>
            </w:pPr>
            <m:oMath>
              <m:sSub>
                <m:e>
                  <m:r>
                    <m:t>c</m:t>
                  </m:r>
                </m:e>
                <m:sub>
                  <m:r>
                    <m:t>v</m:t>
                  </m:r>
                </m:sub>
              </m:sSub>
            </m:oMath>
            <w:r>
              <w:t xml:space="preserve"> </w:t>
            </w:r>
            <w:r>
              <w:t xml:space="preserve">(J/kg K)</w:t>
            </w:r>
          </w:p>
        </w:tc>
        <w:tc>
          <w:tcPr/>
          <w:p>
            <w:pPr>
              <w:pStyle w:val="Compact"/>
              <w:jc w:val="left"/>
            </w:pPr>
            <m:oMath>
              <m:r>
                <m:t>η</m:t>
              </m:r>
            </m:oMath>
            <w:r>
              <w:t xml:space="preserve"> </w:t>
            </w:r>
            <w:r>
              <w:t xml:space="preserve">(J/kg)</w:t>
            </w:r>
          </w:p>
        </w:tc>
      </w:tr>
      <w:tr>
        <w:tc>
          <w:tcPr/>
          <w:p>
            <w:pPr>
              <w:pStyle w:val="Compact"/>
              <w:jc w:val="left"/>
            </w:pPr>
            <w:r>
              <w:t xml:space="preserve">Air (ideal gas)</w:t>
            </w:r>
          </w:p>
        </w:tc>
        <w:tc>
          <w:tcPr/>
          <w:p>
            <w:pPr>
              <w:pStyle w:val="Compact"/>
              <w:jc w:val="left"/>
            </w:pPr>
            <w:r>
              <w:t xml:space="preserve">1.4</w:t>
            </w:r>
          </w:p>
        </w:tc>
        <w:tc>
          <w:tcPr/>
          <w:p>
            <w:pPr>
              <w:pStyle w:val="Compact"/>
              <w:jc w:val="left"/>
            </w:pPr>
            <w:r>
              <w:t xml:space="preserve">0</w:t>
            </w:r>
          </w:p>
        </w:tc>
        <w:tc>
          <w:tcPr/>
          <w:p>
            <w:pPr>
              <w:pStyle w:val="Compact"/>
              <w:jc w:val="left"/>
            </w:pPr>
            <w:r>
              <w:t xml:space="preserve">0</w:t>
            </w:r>
          </w:p>
        </w:tc>
        <w:tc>
          <w:tcPr/>
          <w:p>
            <w:pPr>
              <w:pStyle w:val="Compact"/>
              <w:jc w:val="left"/>
            </w:pPr>
            <w:r>
              <w:t xml:space="preserve">717.5–720.25</w:t>
            </w:r>
          </w:p>
        </w:tc>
        <w:tc>
          <w:tcPr/>
          <w:p>
            <w:pPr>
              <w:pStyle w:val="Compact"/>
              <w:jc w:val="left"/>
            </w:pPr>
            <w:r>
              <w:t xml:space="preserve">0</w:t>
            </w:r>
          </w:p>
        </w:tc>
      </w:tr>
      <w:tr>
        <w:tc>
          <w:tcPr/>
          <w:p>
            <w:pPr>
              <w:pStyle w:val="Compact"/>
              <w:jc w:val="left"/>
            </w:pPr>
            <w:r>
              <w:t xml:space="preserve">Second gas (ideal, Ref. [17] §7.1)</w:t>
            </w:r>
          </w:p>
        </w:tc>
        <w:tc>
          <w:tcPr/>
          <w:p>
            <w:pPr>
              <w:pStyle w:val="Compact"/>
              <w:jc w:val="left"/>
            </w:pPr>
            <w:r>
              <w:t xml:space="preserve">1.6</w:t>
            </w:r>
          </w:p>
        </w:tc>
        <w:tc>
          <w:tcPr/>
          <w:p>
            <w:pPr>
              <w:pStyle w:val="Compact"/>
              <w:jc w:val="left"/>
            </w:pPr>
            <w:r>
              <w:t xml:space="preserve">0</w:t>
            </w:r>
          </w:p>
        </w:tc>
        <w:tc>
          <w:tcPr/>
          <w:p>
            <w:pPr>
              <w:pStyle w:val="Compact"/>
              <w:jc w:val="left"/>
            </w:pPr>
            <w:r>
              <w:t xml:space="preserve">0</w:t>
            </w:r>
          </w:p>
        </w:tc>
        <w:tc>
          <w:tcPr/>
          <w:p>
            <w:pPr>
              <w:pStyle w:val="Compact"/>
              <w:jc w:val="left"/>
            </w:pPr>
            <w:r>
              <w:t xml:space="preserve">3472.2</w:t>
            </w:r>
          </w:p>
        </w:tc>
        <w:tc>
          <w:tcPr/>
          <w:p>
            <w:pPr>
              <w:pStyle w:val="Compact"/>
              <w:jc w:val="left"/>
            </w:pPr>
            <w:r>
              <w:t xml:space="preserve">0</w:t>
            </w:r>
          </w:p>
        </w:tc>
      </w:tr>
      <w:tr>
        <w:tc>
          <w:tcPr/>
          <w:p>
            <w:pPr>
              <w:pStyle w:val="Compact"/>
              <w:jc w:val="left"/>
            </w:pPr>
            <w:r>
              <w:t xml:space="preserve">Helium / argon (ideal, Ref. [17] Fig. 12)</w:t>
            </w:r>
          </w:p>
        </w:tc>
        <w:tc>
          <w:tcPr/>
          <w:p>
            <w:pPr>
              <w:pStyle w:val="Compact"/>
              <w:jc w:val="left"/>
            </w:pPr>
            <w:r>
              <w:t xml:space="preserve">1.667 / 1.660</w:t>
            </w:r>
          </w:p>
        </w:tc>
        <w:tc>
          <w:tcPr/>
          <w:p>
            <w:pPr>
              <w:pStyle w:val="Compact"/>
              <w:jc w:val="left"/>
            </w:pPr>
            <w:r>
              <w:t xml:space="preserve">0</w:t>
            </w:r>
          </w:p>
        </w:tc>
        <w:tc>
          <w:tcPr/>
          <w:p>
            <w:pPr>
              <w:pStyle w:val="Compact"/>
              <w:jc w:val="left"/>
            </w:pPr>
            <w:r>
              <w:t xml:space="preserve">0</w:t>
            </w:r>
          </w:p>
        </w:tc>
        <w:tc>
          <w:tcPr/>
          <w:p>
            <w:pPr>
              <w:pStyle w:val="Compact"/>
              <w:jc w:val="left"/>
            </w:pPr>
            <w:r>
              <w:t xml:space="preserve">3047 / 288.9</w:t>
            </w:r>
          </w:p>
        </w:tc>
        <w:tc>
          <w:tcPr/>
          <w:p>
            <w:pPr>
              <w:pStyle w:val="Compact"/>
              <w:jc w:val="left"/>
            </w:pPr>
            <w:r>
              <w:t xml:space="preserve">0</w:t>
            </w:r>
          </w:p>
        </w:tc>
      </w:tr>
      <w:tr>
        <w:tc>
          <w:tcPr/>
          <w:p>
            <w:pPr>
              <w:pStyle w:val="Compact"/>
              <w:jc w:val="left"/>
            </w:pPr>
            <w:r>
              <w:t xml:space="preserve">Matched gas (ideal, Ref. [17] Eq. 74)</w:t>
            </w:r>
          </w:p>
        </w:tc>
        <w:tc>
          <w:tcPr/>
          <w:p>
            <w:pPr>
              <w:pStyle w:val="Compact"/>
              <w:jc w:val="left"/>
            </w:pPr>
            <w:r>
              <w:t xml:space="preserve">1.648</w:t>
            </w:r>
          </w:p>
        </w:tc>
        <w:tc>
          <w:tcPr/>
          <w:p>
            <w:pPr>
              <w:pStyle w:val="Compact"/>
              <w:jc w:val="left"/>
            </w:pPr>
            <w:r>
              <w:t xml:space="preserve">0</w:t>
            </w:r>
          </w:p>
        </w:tc>
        <w:tc>
          <w:tcPr/>
          <w:p>
            <w:pPr>
              <w:pStyle w:val="Compact"/>
              <w:jc w:val="left"/>
            </w:pPr>
            <w:r>
              <w:t xml:space="preserve">0</w:t>
            </w:r>
          </w:p>
        </w:tc>
        <w:tc>
          <w:tcPr/>
          <w:p>
            <w:pPr>
              <w:pStyle w:val="Compact"/>
              <w:jc w:val="left"/>
            </w:pPr>
            <w:r>
              <w:t xml:space="preserve">512.41</w:t>
            </w:r>
          </w:p>
        </w:tc>
        <w:tc>
          <w:tcPr/>
          <w:p>
            <w:pPr>
              <w:pStyle w:val="Compact"/>
              <w:jc w:val="left"/>
            </w:pPr>
            <w:r>
              <w:t xml:space="preserve">0</w:t>
            </w:r>
          </w:p>
        </w:tc>
      </w:tr>
      <w:tr>
        <w:tc>
          <w:tcPr/>
          <w:p>
            <w:pPr>
              <w:pStyle w:val="Compact"/>
              <w:jc w:val="left"/>
            </w:pPr>
            <w:r>
              <w:t xml:space="preserve">Water (SG, Ref. [17])</w:t>
            </w:r>
          </w:p>
        </w:tc>
        <w:tc>
          <w:tcPr/>
          <w:p>
            <w:pPr>
              <w:pStyle w:val="Compact"/>
              <w:jc w:val="left"/>
            </w:pPr>
            <w:r>
              <w:t xml:space="preserve">4.1</w:t>
            </w:r>
          </w:p>
        </w:tc>
        <w:tc>
          <w:tcPr/>
          <w:p>
            <w:pPr>
              <w:pStyle w:val="Compact"/>
              <w:jc w:val="left"/>
            </w:pPr>
            <w:r>
              <w:t xml:space="preserve">4.4×10</w:t>
            </w:r>
            <w:r>
              <w:rPr>
                <w:vertAlign w:val="superscript"/>
              </w:rPr>
              <w:t xml:space="preserve">8</w:t>
            </w:r>
          </w:p>
        </w:tc>
        <w:tc>
          <w:tcPr/>
          <w:p>
            <w:pPr>
              <w:pStyle w:val="Compact"/>
              <w:jc w:val="left"/>
            </w:pPr>
            <w:r>
              <w:t xml:space="preserve">0</w:t>
            </w:r>
          </w:p>
        </w:tc>
        <w:tc>
          <w:tcPr/>
          <w:p>
            <w:pPr>
              <w:pStyle w:val="Compact"/>
              <w:jc w:val="left"/>
            </w:pPr>
            <w:r>
              <w:t xml:space="preserve">474.2</w:t>
            </w:r>
          </w:p>
        </w:tc>
        <w:tc>
          <w:tcPr/>
          <w:p>
            <w:pPr>
              <w:pStyle w:val="Compact"/>
              <w:jc w:val="left"/>
            </w:pPr>
            <w:r>
              <w:t xml:space="preserve">0</w:t>
            </w:r>
          </w:p>
        </w:tc>
      </w:tr>
      <w:tr>
        <w:tc>
          <w:tcPr/>
          <w:p>
            <w:pPr>
              <w:pStyle w:val="Compact"/>
              <w:jc w:val="left"/>
            </w:pPr>
            <w:r>
              <w:t xml:space="preserve">Water (NASG, Ref. [29])</w:t>
            </w:r>
          </w:p>
        </w:tc>
        <w:tc>
          <w:tcPr/>
          <w:p>
            <w:pPr>
              <w:pStyle w:val="Compact"/>
              <w:jc w:val="left"/>
            </w:pPr>
            <w:r>
              <w:t xml:space="preserve">1.187</w:t>
            </w:r>
          </w:p>
        </w:tc>
        <w:tc>
          <w:tcPr/>
          <w:p>
            <w:pPr>
              <w:pStyle w:val="Compact"/>
              <w:jc w:val="left"/>
            </w:pPr>
            <w:r>
              <w:t xml:space="preserve">7.028×10</w:t>
            </w:r>
            <w:r>
              <w:rPr>
                <w:vertAlign w:val="superscript"/>
              </w:rPr>
              <w:t xml:space="preserve">8</w:t>
            </w:r>
          </w:p>
        </w:tc>
        <w:tc>
          <w:tcPr/>
          <w:p>
            <w:pPr>
              <w:pStyle w:val="Compact"/>
              <w:jc w:val="left"/>
            </w:pPr>
            <w:r>
              <w:t xml:space="preserve">6.61×10</w:t>
            </w:r>
            <w:r>
              <w:rPr>
                <w:vertAlign w:val="superscript"/>
              </w:rPr>
              <w:t xml:space="preserve">−4</w:t>
            </w:r>
          </w:p>
        </w:tc>
        <w:tc>
          <w:tcPr/>
          <w:p>
            <w:pPr>
              <w:pStyle w:val="Compact"/>
              <w:jc w:val="left"/>
            </w:pPr>
            <w:r>
              <w:t xml:space="preserve">3610</w:t>
            </w:r>
          </w:p>
        </w:tc>
        <w:tc>
          <w:tcPr/>
          <w:p>
            <w:pPr>
              <w:pStyle w:val="Compact"/>
              <w:jc w:val="left"/>
            </w:pPr>
            <w:r>
              <w:t xml:space="preserve">−1.178×10</w:t>
            </w:r>
            <w:r>
              <w:rPr>
                <w:vertAlign w:val="superscript"/>
              </w:rPr>
              <w:t xml:space="preserve">6</w:t>
            </w:r>
          </w:p>
        </w:tc>
      </w:tr>
    </w:tbl>
    <w:bookmarkEnd w:id="23"/>
    <w:bookmarkEnd w:id="24"/>
    <w:bookmarkStart w:id="36" w:name="numerical-method"/>
    <w:p>
      <w:pPr>
        <w:pStyle w:val="Heading1"/>
      </w:pPr>
      <w:r>
        <w:t xml:space="preserve">3. Numerical method</w:t>
      </w:r>
    </w:p>
    <w:bookmarkStart w:id="25" w:name="X63fc9ad365203e2cb7647348be30edf33412855"/>
    <w:p>
      <w:pPr>
        <w:pStyle w:val="Heading2"/>
      </w:pPr>
      <w:r>
        <w:t xml:space="preserve">3.1 Finite-volume discretisation and notation</w:t>
      </w:r>
    </w:p>
    <w:p>
      <w:pPr>
        <w:pStyle w:val="FirstParagraph"/>
      </w:pPr>
      <w:r>
        <w:t xml:space="preserve">The domain is divided into</w:t>
      </w:r>
      <w:r>
        <w:t xml:space="preserve"> </w:t>
      </w:r>
      <m:oMath>
        <m:r>
          <m:t>N</m:t>
        </m:r>
      </m:oMath>
      <w:r>
        <w:t xml:space="preserve"> </w:t>
      </w:r>
      <w:r>
        <w:t xml:space="preserve">uniform cells of width</w:t>
      </w:r>
      <w:r>
        <w:t xml:space="preserve"> </w:t>
      </w:r>
      <m:oMath>
        <m:r>
          <m:t>Δ</m:t>
        </m:r>
        <m:r>
          <m:t>x</m:t>
        </m:r>
      </m:oMath>
      <w:r>
        <w:t xml:space="preserve"> </w:t>
      </w:r>
      <w:r>
        <w:t xml:space="preserve">with cell centres</w:t>
      </w:r>
      <w:r>
        <w:t xml:space="preserve"> </w:t>
      </w:r>
      <m:oMath>
        <m:sSub>
          <m:e>
            <m:r>
              <m:t>x</m:t>
            </m:r>
          </m:e>
          <m:sub>
            <m:r>
              <m:t>i</m:t>
            </m:r>
          </m:sub>
        </m:sSub>
      </m:oMath>
      <w:r>
        <w:t xml:space="preserve"> </w:t>
      </w:r>
      <w:r>
        <w:t xml:space="preserve">and faces</w:t>
      </w:r>
      <w:r>
        <w:t xml:space="preserve"> </w:t>
      </w:r>
      <m:oMath>
        <m:r>
          <m:t>f</m:t>
        </m:r>
        <m:r>
          <m:rPr>
            <m:sty m:val="p"/>
          </m:rPr>
          <m:t>=</m:t>
        </m:r>
        <m:r>
          <m:t>i</m:t>
        </m:r>
        <m:r>
          <m:rPr>
            <m:sty m:val="p"/>
          </m:rPr>
          <m:t>±</m:t>
        </m:r>
        <m:r>
          <m:t>1</m:t>
        </m:r>
        <m:r>
          <m:rPr>
            <m:sty m:val="p"/>
          </m:rPr>
          <m:t>/</m:t>
        </m:r>
        <m:r>
          <m:t>2</m:t>
        </m:r>
      </m:oMath>
      <w:r>
        <w:t xml:space="preserve">; all variables are stored at cell centres (collocated arrangement). [Fig. 1 about here: schematic of the collocated arrangement, reconstruction stencils and pentadiagonal coupling footprint.] The primitive unknowns of the coupled solution are</w:t>
      </w:r>
      <w:r>
        <w:t xml:space="preserve"> </w:t>
      </w:r>
      <m:oMath>
        <m:sSub>
          <m:e>
            <m:r>
              <m:rPr>
                <m:sty m:val="b"/>
              </m:rPr>
              <m:t>q</m:t>
            </m:r>
          </m:e>
          <m:sub>
            <m:r>
              <m:t>i</m:t>
            </m:r>
          </m:sub>
        </m:sSub>
        <m:r>
          <m:rPr>
            <m:sty m:val="p"/>
          </m:rPr>
          <m:t>=</m:t>
        </m:r>
        <m:d>
          <m:dPr>
            <m:begChr m:val="("/>
            <m:endChr m:val=")"/>
            <m:sepChr m:val=""/>
            <m:grow/>
          </m:dPr>
          <m:e>
            <m:sSub>
              <m:e>
                <m:r>
                  <m:t>u</m:t>
                </m:r>
              </m:e>
              <m:sub>
                <m:r>
                  <m:t>i</m:t>
                </m:r>
              </m:sub>
            </m:sSub>
            <m:r>
              <m:rPr>
                <m:sty m:val="p"/>
              </m:rPr>
              <m:t>,</m:t>
            </m:r>
            <m:sSub>
              <m:e>
                <m:r>
                  <m:t>p</m:t>
                </m:r>
              </m:e>
              <m:sub>
                <m:r>
                  <m:t>i</m:t>
                </m:r>
              </m:sub>
            </m:sSub>
            <m:r>
              <m:rPr>
                <m:sty m:val="p"/>
              </m:rPr>
              <m:t>,</m:t>
            </m:r>
            <m:sSub>
              <m:e>
                <m:r>
                  <m:t>h</m:t>
                </m:r>
              </m:e>
              <m:sub>
                <m:r>
                  <m:t>i</m:t>
                </m:r>
              </m:sub>
            </m:sSub>
          </m:e>
        </m:d>
      </m:oMath>
      <w:r>
        <w:t xml:space="preserve">, with the temperature recovered from the total enthalpy (Section 3.7) and the volume fraction updated per Section 3.6. Boundary conditions (transmissive, reflective, velocity inlet) are imposed through two layers of ghost cells.</w:t>
      </w:r>
    </w:p>
    <w:bookmarkEnd w:id="25"/>
    <w:bookmarkStart w:id="26" w:name="X929834e7d194db6e0acf25f9a1fb1ad6ea99d8b"/>
    <w:p>
      <w:pPr>
        <w:pStyle w:val="Heading2"/>
      </w:pPr>
      <w:r>
        <w:t xml:space="preserve">3.2 Transient discretisation: backward Euler and TR-BDF2</w:t>
      </w:r>
    </w:p>
    <w:p>
      <w:pPr>
        <w:pStyle w:val="FirstParagraph"/>
      </w:pPr>
      <w:r>
        <w:t xml:space="preserve">The transient term is discretised by first-order backward Euler (BE) in the shock-capturing regime and by an L-stable second-order two-stage scheme in the acoustic regime. The regime is selected by a case-blind indicator — the presence of a time-harmonic inlet source — never by the identity of the test case.</w:t>
      </w:r>
    </w:p>
    <w:p>
      <w:pPr>
        <w:pStyle w:val="BodyText"/>
      </w:pPr>
      <w:r>
        <w:t xml:space="preserve">For</w:t>
      </w:r>
      <w:r>
        <w:t xml:space="preserve"> </w:t>
      </w:r>
      <m:oMath>
        <m:r>
          <m:t>ϕ</m:t>
        </m:r>
        <m:r>
          <m:rPr>
            <m:sty m:val="p"/>
          </m:rPr>
          <m:t>∈</m:t>
        </m:r>
        <m:r>
          <m:rPr>
            <m:sty m:val="p"/>
          </m:rPr>
          <m:t>{</m:t>
        </m:r>
        <m:r>
          <m:t>ρ</m:t>
        </m:r>
        <m:r>
          <m:rPr>
            <m:sty m:val="p"/>
          </m:rPr>
          <m:t>,</m:t>
        </m:r>
        <m:r>
          <m:t>ρ</m:t>
        </m:r>
        <m:r>
          <m:t>u</m:t>
        </m:r>
        <m:r>
          <m:rPr>
            <m:sty m:val="p"/>
          </m:rPr>
          <m:t>,</m:t>
        </m:r>
        <m:r>
          <m:t>ρ</m:t>
        </m:r>
        <m:r>
          <m:t>h</m:t>
        </m:r>
        <m:r>
          <m:rPr>
            <m:sty m:val="p"/>
          </m:rPr>
          <m:t>}</m:t>
        </m:r>
      </m:oMath>
      <w:r>
        <w:t xml:space="preserve"> </w:t>
      </w:r>
      <w:r>
        <w:t xml:space="preserve">the backward-Euler update is</w:t>
      </w:r>
      <w:r>
        <w:t xml:space="preserve"> </w:t>
      </w:r>
      <m:oMath>
        <m:d>
          <m:dPr>
            <m:begChr m:val="("/>
            <m:endChr m:val=")"/>
            <m:sepChr m:val=""/>
            <m:grow/>
          </m:dPr>
          <m:e>
            <m:sSubSup>
              <m:e>
                <m:r>
                  <m:t>ϕ</m:t>
                </m:r>
              </m:e>
              <m:sub>
                <m:r>
                  <m:t>i</m:t>
                </m:r>
              </m:sub>
              <m:sup>
                <m:r>
                  <m:t> </m:t>
                </m:r>
                <m:r>
                  <m:t>n</m:t>
                </m:r>
                <m:r>
                  <m:rPr>
                    <m:sty m:val="p"/>
                  </m:rPr>
                  <m:t>+</m:t>
                </m:r>
                <m:r>
                  <m:t>1</m:t>
                </m:r>
              </m:sup>
            </m:sSubSup>
            <m:r>
              <m:rPr>
                <m:sty m:val="p"/>
              </m:rPr>
              <m:t>−</m:t>
            </m:r>
            <m:sSubSup>
              <m:e>
                <m:r>
                  <m:t>ϕ</m:t>
                </m:r>
              </m:e>
              <m:sub>
                <m:r>
                  <m:t>i</m:t>
                </m:r>
              </m:sub>
              <m:sup>
                <m:r>
                  <m:t> </m:t>
                </m:r>
                <m:r>
                  <m:t>n</m:t>
                </m:r>
              </m:sup>
            </m:sSubSup>
          </m:e>
        </m:d>
        <m:r>
          <m:rPr>
            <m:sty m:val="p"/>
          </m:rPr>
          <m:t>/</m:t>
        </m:r>
        <m:r>
          <m:t>Δ</m:t>
        </m:r>
        <m:r>
          <m:t>t</m:t>
        </m:r>
      </m:oMath>
      <w:r>
        <w:t xml:space="preserve">. Consistently with Ref. [17], the old-level mixture density and enthalpy are re-evaluated with the</w:t>
      </w:r>
      <w:r>
        <w:t xml:space="preserve"> </w:t>
      </w:r>
      <w:r>
        <w:rPr>
          <w:i/>
          <w:iCs/>
        </w:rPr>
        <w:t xml:space="preserve">updated</w:t>
      </w:r>
      <w:r>
        <w:t xml:space="preserve"> </w:t>
      </w:r>
      <w:r>
        <w:t xml:space="preserve">volume fraction at the old pressure and temperature, so a moved interface injects no spurious transient source.</w:t>
      </w:r>
    </w:p>
    <w:p>
      <w:pPr>
        <w:pStyle w:val="BodyText"/>
      </w:pPr>
      <w:r>
        <w:t xml:space="preserve">In the acoustic regime the energy equation is recast in conservative total-energy form:</w:t>
      </w:r>
      <w:r>
        <w:t xml:space="preserve"> </w:t>
      </w:r>
      <m:oMath>
        <m:r>
          <m:t>ρ</m:t>
        </m:r>
        <m:r>
          <m:t>E</m:t>
        </m:r>
        <m:r>
          <m:rPr>
            <m:sty m:val="p"/>
          </m:rPr>
          <m:t>=</m:t>
        </m:r>
        <m:r>
          <m:t>ρ</m:t>
        </m:r>
        <m:r>
          <m:t>h</m:t>
        </m:r>
        <m:r>
          <m:rPr>
            <m:sty m:val="p"/>
          </m:rPr>
          <m:t>−</m:t>
        </m:r>
        <m:r>
          <m:t>p</m:t>
        </m:r>
      </m:oMath>
      <w:r>
        <w:t xml:space="preserve"> </w:t>
      </w:r>
      <w:r>
        <w:t xml:space="preserve">moves the pressure-work source</w:t>
      </w:r>
      <w:r>
        <w:t xml:space="preserve"> </w:t>
      </w:r>
      <m:oMath>
        <m:r>
          <m:rPr>
            <m:sty m:val="p"/>
          </m:rPr>
          <m:t>∂</m:t>
        </m:r>
        <m:r>
          <m:t>p</m:t>
        </m:r>
        <m:r>
          <m:rPr>
            <m:sty m:val="p"/>
          </m:rPr>
          <m:t>/</m:t>
        </m:r>
        <m:r>
          <m:rPr>
            <m:sty m:val="p"/>
          </m:rPr>
          <m:t>∂</m:t>
        </m:r>
        <m:r>
          <m:t>t</m:t>
        </m:r>
      </m:oMath>
      <w:r>
        <w:t xml:space="preserve"> </w:t>
      </w:r>
      <w:r>
        <w:t xml:space="preserve">into the time derivative. This residual is advanced with TR-BDF2 [47], a composite of the trapezoidal rule and BDF2: with</w:t>
      </w:r>
      <w:r>
        <w:t xml:space="preserve"> </w:t>
      </w:r>
      <m:oMath>
        <m:r>
          <m:t>U</m:t>
        </m:r>
      </m:oMath>
      <w:r>
        <w:t xml:space="preserve"> </w:t>
      </w:r>
      <w:r>
        <w:t xml:space="preserve">the coupled unknowns and</w:t>
      </w:r>
      <w:r>
        <w:t xml:space="preserve"> </w:t>
      </w:r>
      <m:oMath>
        <m:r>
          <m:t>F</m:t>
        </m:r>
      </m:oMath>
      <w:r>
        <w:t xml:space="preserve"> </w:t>
      </w:r>
      <w:r>
        <w:t xml:space="preserve">the flux-divergence operator, stage one is the trapezoidal rule over</w:t>
      </w:r>
      <w:r>
        <w:t xml:space="preserve"> </w:t>
      </w:r>
      <m:oMath>
        <m:r>
          <m:t>γ</m:t>
        </m:r>
        <m:r>
          <m:t> </m:t>
        </m:r>
        <m:r>
          <m:t>Δ</m:t>
        </m:r>
        <m:r>
          <m:t>t</m:t>
        </m:r>
      </m:oMath>
      <w:r>
        <w:t xml:space="preserve">,</w:t>
      </w:r>
    </w:p>
    <w:p>
      <w:pPr>
        <w:pStyle w:val="BodyText"/>
      </w:pPr>
      <m:oMathPara>
        <m:oMathParaPr>
          <m:jc m:val="center"/>
        </m:oMathParaPr>
        <m:oMath>
          <m:sSup>
            <m:e>
              <m:r>
                <m:t>U</m:t>
              </m:r>
            </m:e>
            <m:sup>
              <m:r>
                <m:t> </m:t>
              </m:r>
              <m:r>
                <m:t>n</m:t>
              </m:r>
              <m:r>
                <m:rPr>
                  <m:sty m:val="p"/>
                </m:rPr>
                <m:t>+</m:t>
              </m:r>
              <m:r>
                <m:t>γ</m:t>
              </m:r>
            </m:sup>
          </m:sSup>
          <m:r>
            <m:rPr>
              <m:sty m:val="p"/>
            </m:rPr>
            <m:t>=</m:t>
          </m:r>
          <m:sSup>
            <m:e>
              <m:r>
                <m:t>U</m:t>
              </m:r>
            </m:e>
            <m:sup>
              <m:r>
                <m:t> </m:t>
              </m:r>
              <m:r>
                <m:t>n</m:t>
              </m:r>
            </m:sup>
          </m:sSup>
          <m:r>
            <m:rPr>
              <m:sty m:val="p"/>
            </m:rPr>
            <m:t>+</m:t>
          </m:r>
          <m:f>
            <m:fPr>
              <m:type m:val="bar"/>
            </m:fPr>
            <m:num>
              <m:r>
                <m:t>γ</m:t>
              </m:r>
              <m:r>
                <m:t> </m:t>
              </m:r>
              <m:r>
                <m:t>Δ</m:t>
              </m:r>
              <m:r>
                <m:t>t</m:t>
              </m:r>
            </m:num>
            <m:den>
              <m:r>
                <m:t>2</m:t>
              </m:r>
            </m:den>
          </m:f>
          <m:d>
            <m:dPr>
              <m:begChr m:val="["/>
              <m:endChr m:val="]"/>
              <m:sepChr m:val=""/>
              <m:grow/>
            </m:dPr>
            <m:e>
              <m:r>
                <m:t>F</m:t>
              </m:r>
              <m:d>
                <m:dPr>
                  <m:begChr m:val="("/>
                  <m:endChr m:val=")"/>
                  <m:sepChr m:val=""/>
                  <m:grow/>
                </m:dPr>
                <m:e>
                  <m:sSup>
                    <m:e>
                      <m:r>
                        <m:t>U</m:t>
                      </m:r>
                    </m:e>
                    <m:sup>
                      <m:r>
                        <m:t> </m:t>
                      </m:r>
                      <m:r>
                        <m:t>n</m:t>
                      </m:r>
                    </m:sup>
                  </m:sSup>
                </m:e>
              </m:d>
              <m:r>
                <m:rPr>
                  <m:sty m:val="p"/>
                </m:rPr>
                <m:t>+</m:t>
              </m:r>
              <m:r>
                <m:t>F</m:t>
              </m:r>
              <m:d>
                <m:dPr>
                  <m:begChr m:val="("/>
                  <m:endChr m:val=")"/>
                  <m:sepChr m:val=""/>
                  <m:grow/>
                </m:dPr>
                <m:e>
                  <m:sSup>
                    <m:e>
                      <m:r>
                        <m:t>U</m:t>
                      </m:r>
                    </m:e>
                    <m:sup>
                      <m:r>
                        <m:t> </m:t>
                      </m:r>
                      <m:r>
                        <m:t>n</m:t>
                      </m:r>
                      <m:r>
                        <m:rPr>
                          <m:sty m:val="p"/>
                        </m:rPr>
                        <m:t>+</m:t>
                      </m:r>
                      <m:r>
                        <m:t>γ</m:t>
                      </m:r>
                    </m:sup>
                  </m:sSup>
                </m:e>
              </m:d>
            </m:e>
          </m:d>
          <m:r>
            <m:rPr>
              <m:sty m:val="p"/>
            </m:rPr>
            <m:t>,</m:t>
          </m:r>
        </m:oMath>
      </m:oMathPara>
    </w:p>
    <w:p>
      <w:pPr>
        <w:pStyle w:val="FirstParagraph"/>
      </w:pPr>
      <w:r>
        <w:t xml:space="preserve">and stage two a three-point backward formula on</w:t>
      </w:r>
      <w:r>
        <w:t xml:space="preserve"> </w:t>
      </w:r>
      <m:oMath>
        <m:r>
          <m:rPr>
            <m:sty m:val="p"/>
          </m:rPr>
          <m:t>{</m:t>
        </m:r>
        <m:r>
          <m:t>n</m:t>
        </m:r>
        <m:r>
          <m:rPr>
            <m:sty m:val="p"/>
          </m:rPr>
          <m:t>,</m:t>
        </m:r>
        <m:r>
          <m:t>n</m:t>
        </m:r>
        <m:r>
          <m:rPr>
            <m:sty m:val="p"/>
          </m:rPr>
          <m:t>+</m:t>
        </m:r>
        <m:r>
          <m:t>γ</m:t>
        </m:r>
        <m:r>
          <m:rPr>
            <m:sty m:val="p"/>
          </m:rPr>
          <m:t>,</m:t>
        </m:r>
        <m:r>
          <m:t>n</m:t>
        </m:r>
        <m:r>
          <m:rPr>
            <m:sty m:val="p"/>
          </m:rPr>
          <m:t>+</m:t>
        </m:r>
        <m:r>
          <m:t>1</m:t>
        </m:r>
        <m:r>
          <m:rPr>
            <m:sty m:val="p"/>
          </m:rPr>
          <m:t>}</m:t>
        </m:r>
      </m:oMath>
      <w:r>
        <w:t xml:space="preserve">,</w:t>
      </w:r>
    </w:p>
    <w:p>
      <w:pPr>
        <w:pStyle w:val="BodyText"/>
      </w:pPr>
      <m:oMathPara>
        <m:oMathParaPr>
          <m:jc m:val="center"/>
        </m:oMathParaPr>
        <m:oMath>
          <m:sSup>
            <m:e>
              <m:r>
                <m:t>U</m:t>
              </m:r>
            </m:e>
            <m:sup>
              <m:r>
                <m:t> </m:t>
              </m:r>
              <m:r>
                <m:t>n</m:t>
              </m:r>
              <m:r>
                <m:rPr>
                  <m:sty m:val="p"/>
                </m:rPr>
                <m:t>+</m:t>
              </m:r>
              <m:r>
                <m:t>1</m:t>
              </m:r>
            </m:sup>
          </m:sSup>
          <m:r>
            <m:rPr>
              <m:sty m:val="p"/>
            </m:rPr>
            <m:t>=</m:t>
          </m:r>
          <m:r>
            <m:t>a</m:t>
          </m:r>
          <m:r>
            <m:t> </m:t>
          </m:r>
          <m:sSup>
            <m:e>
              <m:r>
                <m:t>U</m:t>
              </m:r>
            </m:e>
            <m:sup>
              <m:r>
                <m:t> </m:t>
              </m:r>
              <m:r>
                <m:t>n</m:t>
              </m:r>
              <m:r>
                <m:rPr>
                  <m:sty m:val="p"/>
                </m:rPr>
                <m:t>+</m:t>
              </m:r>
              <m:r>
                <m:t>γ</m:t>
              </m:r>
            </m:sup>
          </m:sSup>
          <m:r>
            <m:rPr>
              <m:sty m:val="p"/>
            </m:rPr>
            <m:t>−</m:t>
          </m:r>
          <m:r>
            <m:t>b</m:t>
          </m:r>
          <m:r>
            <m:t> </m:t>
          </m:r>
          <m:sSup>
            <m:e>
              <m:r>
                <m:t>U</m:t>
              </m:r>
            </m:e>
            <m:sup>
              <m:r>
                <m:t> </m:t>
              </m:r>
              <m:r>
                <m:t>n</m:t>
              </m:r>
            </m:sup>
          </m:sSup>
          <m:r>
            <m:rPr>
              <m:sty m:val="p"/>
            </m:rPr>
            <m:t>+</m:t>
          </m:r>
          <m:r>
            <m:t>c</m:t>
          </m:r>
          <m:r>
            <m:t> </m:t>
          </m:r>
          <m:r>
            <m:t>Δ</m:t>
          </m:r>
          <m:r>
            <m:t>t</m:t>
          </m:r>
          <m:r>
            <m:t> </m:t>
          </m:r>
          <m:r>
            <m:t>F</m:t>
          </m:r>
          <m:d>
            <m:dPr>
              <m:begChr m:val="("/>
              <m:endChr m:val=")"/>
              <m:sepChr m:val=""/>
              <m:grow/>
            </m:dPr>
            <m:e>
              <m:sSup>
                <m:e>
                  <m:r>
                    <m:t>U</m:t>
                  </m:r>
                </m:e>
                <m:sup>
                  <m:r>
                    <m:t> </m:t>
                  </m:r>
                  <m:r>
                    <m:t>n</m:t>
                  </m:r>
                  <m:r>
                    <m:rPr>
                      <m:sty m:val="p"/>
                    </m:rPr>
                    <m:t>+</m:t>
                  </m:r>
                  <m:r>
                    <m:t>1</m:t>
                  </m:r>
                </m:sup>
              </m:sSup>
            </m:e>
          </m:d>
          <m:r>
            <m:rPr>
              <m:sty m:val="p"/>
            </m:rPr>
            <m:t>,</m:t>
          </m:r>
          <m:r>
            <m:t>  </m:t>
          </m:r>
          <m:r>
            <m:t>a</m:t>
          </m:r>
          <m:r>
            <m:rPr>
              <m:sty m:val="p"/>
            </m:rPr>
            <m:t>=</m:t>
          </m:r>
          <m:f>
            <m:fPr>
              <m:type m:val="bar"/>
            </m:fPr>
            <m:num>
              <m:r>
                <m:t>1</m:t>
              </m:r>
            </m:num>
            <m:den>
              <m:r>
                <m:t>γ</m:t>
              </m:r>
              <m:d>
                <m:dPr>
                  <m:begChr m:val="("/>
                  <m:endChr m:val=")"/>
                  <m:sepChr m:val=""/>
                  <m:grow/>
                </m:dPr>
                <m:e>
                  <m:r>
                    <m:t>2</m:t>
                  </m:r>
                  <m:r>
                    <m:rPr>
                      <m:sty m:val="p"/>
                    </m:rPr>
                    <m:t>−</m:t>
                  </m:r>
                  <m:r>
                    <m:t>γ</m:t>
                  </m:r>
                </m:e>
              </m:d>
            </m:den>
          </m:f>
          <m:r>
            <m:rPr>
              <m:sty m:val="p"/>
            </m:rPr>
            <m:t>,</m:t>
          </m:r>
          <m:r>
            <m:t> </m:t>
          </m:r>
          <m:r>
            <m:t>b</m:t>
          </m:r>
          <m:r>
            <m:rPr>
              <m:sty m:val="p"/>
            </m:rPr>
            <m:t>=</m:t>
          </m:r>
          <m:f>
            <m:fPr>
              <m:type m:val="bar"/>
            </m:fPr>
            <m:num>
              <m:sSup>
                <m:e>
                  <m:d>
                    <m:dPr>
                      <m:begChr m:val="("/>
                      <m:endChr m:val=")"/>
                      <m:sepChr m:val=""/>
                      <m:grow/>
                    </m:dPr>
                    <m:e>
                      <m:r>
                        <m:t>1</m:t>
                      </m:r>
                      <m:r>
                        <m:rPr>
                          <m:sty m:val="p"/>
                        </m:rPr>
                        <m:t>−</m:t>
                      </m:r>
                      <m:r>
                        <m:t>γ</m:t>
                      </m:r>
                    </m:e>
                  </m:d>
                </m:e>
                <m:sup>
                  <m:r>
                    <m:t>2</m:t>
                  </m:r>
                </m:sup>
              </m:sSup>
            </m:num>
            <m:den>
              <m:r>
                <m:t>γ</m:t>
              </m:r>
              <m:d>
                <m:dPr>
                  <m:begChr m:val="("/>
                  <m:endChr m:val=")"/>
                  <m:sepChr m:val=""/>
                  <m:grow/>
                </m:dPr>
                <m:e>
                  <m:r>
                    <m:t>2</m:t>
                  </m:r>
                  <m:r>
                    <m:rPr>
                      <m:sty m:val="p"/>
                    </m:rPr>
                    <m:t>−</m:t>
                  </m:r>
                  <m:r>
                    <m:t>γ</m:t>
                  </m:r>
                </m:e>
              </m:d>
            </m:den>
          </m:f>
          <m:r>
            <m:rPr>
              <m:sty m:val="p"/>
            </m:rPr>
            <m:t>,</m:t>
          </m:r>
          <m:r>
            <m:t> </m:t>
          </m:r>
          <m:r>
            <m:t>c</m:t>
          </m:r>
          <m:r>
            <m:rPr>
              <m:sty m:val="p"/>
            </m:rPr>
            <m:t>=</m:t>
          </m:r>
          <m:f>
            <m:fPr>
              <m:type m:val="bar"/>
            </m:fPr>
            <m:num>
              <m:r>
                <m:t>1</m:t>
              </m:r>
              <m:r>
                <m:rPr>
                  <m:sty m:val="p"/>
                </m:rPr>
                <m:t>−</m:t>
              </m:r>
              <m:r>
                <m:t>γ</m:t>
              </m:r>
            </m:num>
            <m:den>
              <m:r>
                <m:t>2</m:t>
              </m:r>
              <m:r>
                <m:rPr>
                  <m:sty m:val="p"/>
                </m:rPr>
                <m:t>−</m:t>
              </m:r>
              <m:r>
                <m:t>γ</m:t>
              </m:r>
            </m:den>
          </m:f>
          <m:r>
            <m:rPr>
              <m:sty m:val="p"/>
            </m:rPr>
            <m:t>,</m:t>
          </m:r>
        </m:oMath>
      </m:oMathPara>
    </w:p>
    <w:p>
      <w:pPr>
        <w:pStyle w:val="FirstParagraph"/>
      </w:pPr>
      <w:r>
        <w:t xml:space="preserve">with</w:t>
      </w:r>
      <w:r>
        <w:t xml:space="preserve"> </w:t>
      </w:r>
      <m:oMath>
        <m:r>
          <m:t>γ</m:t>
        </m:r>
        <m:r>
          <m:rPr>
            <m:sty m:val="p"/>
          </m:rPr>
          <m:t>=</m:t>
        </m:r>
        <m:r>
          <m:t>2</m:t>
        </m:r>
        <m:r>
          <m:rPr>
            <m:sty m:val="p"/>
          </m:rPr>
          <m:t>−</m:t>
        </m:r>
        <m:rad>
          <m:radPr>
            <m:degHide m:val="on"/>
          </m:radPr>
          <m:deg/>
          <m:e>
            <m:r>
              <m:t>2</m:t>
            </m:r>
          </m:e>
        </m:rad>
      </m:oMath>
      <w:r>
        <w:t xml:space="preserve"> </w:t>
      </w:r>
      <w:r>
        <w:t xml:space="preserve">so that both stages share one iteration matrix and the composite is L-stable. TR-BDF2 is self-starting and second-order accurate; its measured stability and convergence properties are reported with the acoustic results (Section 4.11). The MWI transient memory (Section 3.5) and the inlet condition use each stage’s own timescale and instant. Shock-capturing computations use BE and the enthalpy residual and are unaffected — the two regimes are byte-for-byte separable (Section 4.11).</w:t>
      </w:r>
    </w:p>
    <w:bookmarkEnd w:id="26"/>
    <w:bookmarkStart w:id="27" w:name="X1d6bad44c8d67b641f22a58664a33673b4d7b47"/>
    <w:p>
      <w:pPr>
        <w:pStyle w:val="Heading2"/>
      </w:pPr>
      <w:r>
        <w:t xml:space="preserve">3.3 Adaptive face reconstruction of the convected quantities</w:t>
      </w:r>
    </w:p>
    <w:p>
      <w:pPr>
        <w:pStyle w:val="FirstParagraph"/>
      </w:pPr>
      <w:r>
        <w:t xml:space="preserve">Convected primitives are reconstructed from the upwind side with the accuracy selected by local indicators. A face-shock sensor flags faces whose pressure ratio over the four-cell stencil exceeds 1.3; such faces use first-order upwinding. Where a propagating acoustic wave must be resolved (time-harmonic inlet source present), a Minmod-limited second-order TVD reconstruction [32–34] is upgraded to the fourth-order central face interpolation</w:t>
      </w:r>
      <w:r>
        <w:t xml:space="preserve"> </w:t>
      </w:r>
      <m:oMath>
        <m:sSub>
          <m:e>
            <m:r>
              <m:t>ϕ</m:t>
            </m:r>
          </m:e>
          <m:sub>
            <m:r>
              <m:t>f</m:t>
            </m:r>
          </m:sub>
        </m:sSub>
        <m:r>
          <m:rPr>
            <m:sty m:val="p"/>
          </m:rPr>
          <m:t>=</m:t>
        </m:r>
        <m:d>
          <m:dPr>
            <m:begChr m:val="("/>
            <m:endChr m:val=")"/>
            <m:sepChr m:val=""/>
            <m:grow/>
          </m:dPr>
          <m:e>
            <m:r>
              <m:rPr>
                <m:sty m:val="p"/>
              </m:rPr>
              <m:t>−</m:t>
            </m:r>
            <m:sSub>
              <m:e>
                <m:r>
                  <m:t>ϕ</m:t>
                </m:r>
              </m:e>
              <m:sub>
                <m:r>
                  <m:t>i</m:t>
                </m:r>
                <m:r>
                  <m:rPr>
                    <m:sty m:val="p"/>
                  </m:rPr>
                  <m:t>−</m:t>
                </m:r>
                <m:r>
                  <m:t>1</m:t>
                </m:r>
              </m:sub>
            </m:sSub>
            <m:r>
              <m:rPr>
                <m:sty m:val="p"/>
              </m:rPr>
              <m:t>+</m:t>
            </m:r>
            <m:r>
              <m:t>7</m:t>
            </m:r>
            <m:sSub>
              <m:e>
                <m:r>
                  <m:t>ϕ</m:t>
                </m:r>
              </m:e>
              <m:sub>
                <m:r>
                  <m:t>i</m:t>
                </m:r>
              </m:sub>
            </m:sSub>
            <m:r>
              <m:rPr>
                <m:sty m:val="p"/>
              </m:rPr>
              <m:t>+</m:t>
            </m:r>
            <m:r>
              <m:t>7</m:t>
            </m:r>
            <m:sSub>
              <m:e>
                <m:r>
                  <m:t>ϕ</m:t>
                </m:r>
              </m:e>
              <m:sub>
                <m:r>
                  <m:t>i</m:t>
                </m:r>
                <m:r>
                  <m:rPr>
                    <m:sty m:val="p"/>
                  </m:rPr>
                  <m:t>+</m:t>
                </m:r>
                <m:r>
                  <m:t>1</m:t>
                </m:r>
              </m:sub>
            </m:sSub>
            <m:r>
              <m:rPr>
                <m:sty m:val="p"/>
              </m:rPr>
              <m:t>−</m:t>
            </m:r>
            <m:sSub>
              <m:e>
                <m:r>
                  <m:t>ϕ</m:t>
                </m:r>
              </m:e>
              <m:sub>
                <m:r>
                  <m:t>i</m:t>
                </m:r>
                <m:r>
                  <m:rPr>
                    <m:sty m:val="p"/>
                  </m:rPr>
                  <m:t>+</m:t>
                </m:r>
                <m:r>
                  <m:t>2</m:t>
                </m:r>
              </m:sub>
            </m:sSub>
          </m:e>
        </m:d>
        <m:r>
          <m:rPr>
            <m:sty m:val="p"/>
          </m:rPr>
          <m:t>/</m:t>
        </m:r>
        <m:r>
          <m:t>12</m:t>
        </m:r>
      </m:oMath>
      <w:r>
        <w:t xml:space="preserve"> </w:t>
      </w:r>
      <w:r>
        <w:t xml:space="preserve">wherever the four-cell stencil lies in a single phase, reverting to second order at the interface. The face pressure in the momentum equation uses the same central or fourth-order interpolation, preserving the telescoping property of the pressure force.</w:t>
      </w:r>
    </w:p>
    <w:bookmarkEnd w:id="27"/>
    <w:bookmarkStart w:id="28" w:name="Xf0034ed541f5caff96333669ee4b2cd8ae8dbb3"/>
    <w:p>
      <w:pPr>
        <w:pStyle w:val="Heading2"/>
      </w:pPr>
      <w:r>
        <w:t xml:space="preserve">3.4 Acoustically-conservative face density and enthalpy (ACID)</w:t>
      </w:r>
    </w:p>
    <w:p>
      <w:pPr>
        <w:pStyle w:val="FirstParagraph"/>
      </w:pPr>
      <w:r>
        <w:t xml:space="preserve">Following Ref. [17], the face mass and enthalpy fluxes of cell</w:t>
      </w:r>
      <w:r>
        <w:t xml:space="preserve"> </w:t>
      </w:r>
      <m:oMath>
        <m:r>
          <m:t>i</m:t>
        </m:r>
      </m:oMath>
      <w:r>
        <w:t xml:space="preserve"> </w:t>
      </w:r>
      <w:r>
        <w:t xml:space="preserve">are built from upwind-evaluated</w:t>
      </w:r>
      <w:r>
        <w:t xml:space="preserve"> </w:t>
      </w:r>
      <w:r>
        <w:rPr>
          <w:i/>
          <w:iCs/>
        </w:rPr>
        <w:t xml:space="preserve">partial</w:t>
      </w:r>
      <w:r>
        <w:t xml:space="preserve"> </w:t>
      </w:r>
      <w:r>
        <w:t xml:space="preserve">densities and enthalpies of both fluids, combined with the cell’s own volume fraction,</w:t>
      </w:r>
      <w:r>
        <w:t xml:space="preserve"> </w:t>
      </w:r>
      <m:oMath>
        <m:sSubSup>
          <m:e>
            <m:acc>
              <m:accPr>
                <m:chr m:val="̃"/>
              </m:accPr>
              <m:e>
                <m:r>
                  <m:t>ρ</m:t>
                </m:r>
              </m:e>
            </m:acc>
          </m:e>
          <m:sub>
            <m:r>
              <m:t>f</m:t>
            </m:r>
          </m:sub>
          <m:sup>
            <m:d>
              <m:dPr>
                <m:begChr m:val="("/>
                <m:endChr m:val=")"/>
                <m:sepChr m:val=""/>
                <m:grow/>
              </m:dPr>
              <m:e>
                <m:r>
                  <m:t>i</m:t>
                </m:r>
              </m:e>
            </m:d>
          </m:sup>
        </m:sSubSup>
        <m:r>
          <m:rPr>
            <m:sty m:val="p"/>
          </m:rPr>
          <m:t>=</m:t>
        </m:r>
        <m:sSub>
          <m:e>
            <m:r>
              <m:t>α</m:t>
            </m:r>
          </m:e>
          <m:sub>
            <m:r>
              <m:t>i</m:t>
            </m:r>
          </m:sub>
        </m:sSub>
        <m:r>
          <m:t> </m:t>
        </m:r>
        <m:sSub>
          <m:e>
            <m:r>
              <m:t>ρ</m:t>
            </m:r>
          </m:e>
          <m:sub>
            <m:r>
              <m:t>1</m:t>
            </m:r>
          </m:sub>
        </m:sSub>
        <m:d>
          <m:dPr>
            <m:begChr m:val="("/>
            <m:endChr m:val=")"/>
            <m:sepChr m:val=""/>
            <m:grow/>
          </m:dPr>
          <m:e>
            <m:sSub>
              <m:e>
                <m:r>
                  <m:t>p</m:t>
                </m:r>
              </m:e>
              <m:sub>
                <m:r>
                  <m:rPr>
                    <m:sty m:val="p"/>
                  </m:rPr>
                  <m:t>u</m:t>
                </m:r>
                <m:r>
                  <m:rPr>
                    <m:sty m:val="p"/>
                  </m:rPr>
                  <m:t>p</m:t>
                </m:r>
              </m:sub>
            </m:sSub>
            <m:r>
              <m:rPr>
                <m:sty m:val="p"/>
              </m:rPr>
              <m:t>,</m:t>
            </m:r>
            <m:sSub>
              <m:e>
                <m:r>
                  <m:t>T</m:t>
                </m:r>
              </m:e>
              <m:sub>
                <m:r>
                  <m:rPr>
                    <m:sty m:val="p"/>
                  </m:rPr>
                  <m:t>u</m:t>
                </m:r>
                <m:r>
                  <m:rPr>
                    <m:sty m:val="p"/>
                  </m:rPr>
                  <m:t>p</m:t>
                </m:r>
              </m:sub>
            </m:sSub>
          </m:e>
        </m:d>
        <m:r>
          <m:rPr>
            <m:sty m:val="p"/>
          </m:rPr>
          <m:t>+</m:t>
        </m:r>
        <m:d>
          <m:dPr>
            <m:begChr m:val="("/>
            <m:endChr m:val=")"/>
            <m:sepChr m:val=""/>
            <m:grow/>
          </m:dPr>
          <m:e>
            <m:r>
              <m:t>1</m:t>
            </m:r>
            <m:r>
              <m:rPr>
                <m:sty m:val="p"/>
              </m:rPr>
              <m:t>−</m:t>
            </m:r>
            <m:sSub>
              <m:e>
                <m:r>
                  <m:t>α</m:t>
                </m:r>
              </m:e>
              <m:sub>
                <m:r>
                  <m:t>i</m:t>
                </m:r>
              </m:sub>
            </m:sSub>
          </m:e>
        </m:d>
        <m:r>
          <m:t> </m:t>
        </m:r>
        <m:sSub>
          <m:e>
            <m:r>
              <m:t>ρ</m:t>
            </m:r>
          </m:e>
          <m:sub>
            <m:r>
              <m:t>2</m:t>
            </m:r>
          </m:sub>
        </m:sSub>
        <m:d>
          <m:dPr>
            <m:begChr m:val="("/>
            <m:endChr m:val=")"/>
            <m:sepChr m:val=""/>
            <m:grow/>
          </m:dPr>
          <m:e>
            <m:sSub>
              <m:e>
                <m:r>
                  <m:t>p</m:t>
                </m:r>
              </m:e>
              <m:sub>
                <m:r>
                  <m:rPr>
                    <m:sty m:val="p"/>
                  </m:rPr>
                  <m:t>u</m:t>
                </m:r>
                <m:r>
                  <m:rPr>
                    <m:sty m:val="p"/>
                  </m:rPr>
                  <m:t>p</m:t>
                </m:r>
              </m:sub>
            </m:sSub>
            <m:r>
              <m:rPr>
                <m:sty m:val="p"/>
              </m:rPr>
              <m:t>,</m:t>
            </m:r>
            <m:sSub>
              <m:e>
                <m:r>
                  <m:t>T</m:t>
                </m:r>
              </m:e>
              <m:sub>
                <m:r>
                  <m:rPr>
                    <m:sty m:val="p"/>
                  </m:rPr>
                  <m:t>u</m:t>
                </m:r>
                <m:r>
                  <m:rPr>
                    <m:sty m:val="p"/>
                  </m:rPr>
                  <m:t>p</m:t>
                </m:r>
              </m:sub>
            </m:sSub>
          </m:e>
        </m:d>
      </m:oMath>
      <w:r>
        <w:t xml:space="preserve">, and analogously for</w:t>
      </w:r>
      <w:r>
        <w:t xml:space="preserve"> </w:t>
      </w:r>
      <m:oMath>
        <m:sSubSup>
          <m:e>
            <m:acc>
              <m:accPr>
                <m:chr m:val="̃"/>
              </m:accPr>
              <m:e>
                <m:r>
                  <m:t>ρ</m:t>
                </m:r>
                <m:r>
                  <m:t>h</m:t>
                </m:r>
              </m:e>
            </m:acc>
          </m:e>
          <m:sub>
            <m:r>
              <m:t>f</m:t>
            </m:r>
          </m:sub>
          <m:sup>
            <m:d>
              <m:dPr>
                <m:begChr m:val="("/>
                <m:endChr m:val=")"/>
                <m:sepChr m:val=""/>
                <m:grow/>
              </m:dPr>
              <m:e>
                <m:r>
                  <m:t>i</m:t>
                </m:r>
              </m:e>
            </m:d>
          </m:sup>
        </m:sSubSup>
      </m:oMath>
      <w:r>
        <w:t xml:space="preserve"> </w:t>
      </w:r>
      <w:r>
        <w:t xml:space="preserve">with the phase total enthalpies</w:t>
      </w:r>
      <w:r>
        <w:t xml:space="preserve"> </w:t>
      </w:r>
      <m:oMath>
        <m:sSub>
          <m:e>
            <m:r>
              <m:t>ρ</m:t>
            </m:r>
          </m:e>
          <m:sub>
            <m:r>
              <m:t>k</m:t>
            </m:r>
          </m:sub>
        </m:sSub>
        <m:d>
          <m:dPr>
            <m:begChr m:val="("/>
            <m:endChr m:val=")"/>
            <m:sepChr m:val=""/>
            <m:grow/>
          </m:dPr>
          <m:e>
            <m:sSub>
              <m:e>
                <m:r>
                  <m:t>h</m:t>
                </m:r>
              </m:e>
              <m:sub>
                <m:r>
                  <m:t>k</m:t>
                </m:r>
              </m:sub>
            </m:sSub>
            <m:r>
              <m:rPr>
                <m:sty m:val="p"/>
              </m:rPr>
              <m:t>+</m:t>
            </m:r>
            <m:sSubSup>
              <m:e>
                <m:r>
                  <m:t>u</m:t>
                </m:r>
              </m:e>
              <m:sub>
                <m:r>
                  <m:rPr>
                    <m:sty m:val="p"/>
                  </m:rPr>
                  <m:t>u</m:t>
                </m:r>
                <m:r>
                  <m:rPr>
                    <m:sty m:val="p"/>
                  </m:rPr>
                  <m:t>p</m:t>
                </m:r>
              </m:sub>
              <m:sup>
                <m:r>
                  <m:t>2</m:t>
                </m:r>
              </m:sup>
            </m:sSubSup>
            <m:r>
              <m:rPr>
                <m:sty m:val="p"/>
              </m:rPr>
              <m:t>/</m:t>
            </m:r>
            <m:r>
              <m:t>2</m:t>
            </m:r>
          </m:e>
        </m:d>
      </m:oMath>
      <w:r>
        <w:t xml:space="preserve">. For a material contact advected by uniform velocity and pressure this yields</w:t>
      </w:r>
      <w:r>
        <w:t xml:space="preserve"> </w:t>
      </w:r>
      <m:oMath>
        <m:sSub>
          <m:e>
            <m:r>
              <m:rPr>
                <m:sty m:val="p"/>
              </m:rPr>
              <m:t>∂</m:t>
            </m:r>
          </m:e>
          <m:sub>
            <m:r>
              <m:t>x</m:t>
            </m:r>
          </m:sub>
        </m:sSub>
        <m:d>
          <m:dPr>
            <m:begChr m:val="("/>
            <m:endChr m:val=")"/>
            <m:sepChr m:val=""/>
            <m:grow/>
          </m:dPr>
          <m:e>
            <m:sSub>
              <m:e>
                <m:acc>
                  <m:accPr>
                    <m:chr m:val="̃"/>
                  </m:accPr>
                  <m:e>
                    <m:r>
                      <m:t>ρ</m:t>
                    </m:r>
                  </m:e>
                </m:acc>
              </m:e>
              <m:sub>
                <m:r>
                  <m:t>f</m:t>
                </m:r>
              </m:sub>
            </m:sSub>
            <m:sSub>
              <m:e>
                <m:r>
                  <m:t>ϑ</m:t>
                </m:r>
              </m:e>
              <m:sub>
                <m:r>
                  <m:t>f</m:t>
                </m:r>
              </m:sub>
            </m:sSub>
          </m:e>
        </m:d>
        <m:r>
          <m:rPr>
            <m:sty m:val="p"/>
          </m:rPr>
          <m:t>=</m:t>
        </m:r>
        <m:sSub>
          <m:e>
            <m:r>
              <m:t>ρ</m:t>
            </m:r>
          </m:e>
          <m:sub>
            <m:r>
              <m:t>i</m:t>
            </m:r>
          </m:sub>
        </m:sSub>
        <m:r>
          <m:t> </m:t>
        </m:r>
        <m:sSub>
          <m:e>
            <m:r>
              <m:rPr>
                <m:sty m:val="p"/>
              </m:rPr>
              <m:t>∂</m:t>
            </m:r>
          </m:e>
          <m:sub>
            <m:r>
              <m:t>x</m:t>
            </m:r>
          </m:sub>
        </m:sSub>
        <m:sSub>
          <m:e>
            <m:r>
              <m:t>ϑ</m:t>
            </m:r>
          </m:e>
          <m:sub>
            <m:r>
              <m:t>f</m:t>
            </m:r>
          </m:sub>
        </m:sSub>
        <m:r>
          <m:rPr>
            <m:sty m:val="p"/>
          </m:rPr>
          <m:t>=</m:t>
        </m:r>
        <m:r>
          <m:t>0</m:t>
        </m:r>
      </m:oMath>
      <w:r>
        <w:t xml:space="preserve"> </w:t>
      </w:r>
      <w:r>
        <w:t xml:space="preserve">discretely, so the contact generates no spurious pressure or velocity disturbance — the discrete analogue of the pressure-equilibrium property of Ref. [21] — while providing a consistent face impedance for acoustic transmission across the interface [17].</w:t>
      </w:r>
    </w:p>
    <w:bookmarkEnd w:id="28"/>
    <w:bookmarkStart w:id="29" w:name="X5b4c9c8d8e39d7173fd0c0f06e230b4dd9ff5a5"/>
    <w:p>
      <w:pPr>
        <w:pStyle w:val="Heading2"/>
      </w:pPr>
      <w:r>
        <w:t xml:space="preserve">3.5 Momentum-weighted interpolation of the advecting velocity</w:t>
      </w:r>
    </w:p>
    <w:p>
      <w:pPr>
        <w:pStyle w:val="FirstParagraph"/>
      </w:pPr>
      <w:r>
        <w:t xml:space="preserve">The advecting velocity at a face is evaluated with the transient-consistent MWI [9, 14, 17],</w:t>
      </w:r>
    </w:p>
    <w:p>
      <w:pPr>
        <w:pStyle w:val="BodyText"/>
      </w:pPr>
      <m:oMathPara>
        <m:oMathParaPr>
          <m:jc m:val="center"/>
        </m:oMathParaPr>
        <m:oMath>
          <m:sSub>
            <m:e>
              <m:r>
                <m:t>ϑ</m:t>
              </m:r>
            </m:e>
            <m:sub>
              <m:r>
                <m:t>f</m:t>
              </m:r>
            </m:sub>
          </m:sSub>
          <m:r>
            <m:rPr>
              <m:sty m:val="p"/>
            </m:rPr>
            <m:t>=</m:t>
          </m:r>
          <m:sSub>
            <m:e>
              <m:acc>
                <m:accPr>
                  <m:chr m:val="‾"/>
                </m:accPr>
                <m:e>
                  <m:r>
                    <m:t>u</m:t>
                  </m:r>
                </m:e>
              </m:acc>
            </m:e>
            <m:sub>
              <m:r>
                <m:t>f</m:t>
              </m:r>
            </m:sub>
          </m:sSub>
          <m:r>
            <m:rPr>
              <m:sty m:val="p"/>
            </m:rPr>
            <m:t>−</m:t>
          </m:r>
          <m:sSub>
            <m:e>
              <m:acc>
                <m:accPr>
                  <m:chr m:val="̂"/>
                </m:accPr>
                <m:e>
                  <m:r>
                    <m:t>d</m:t>
                  </m:r>
                </m:e>
              </m:acc>
            </m:e>
            <m:sub>
              <m:r>
                <m:t>f</m:t>
              </m:r>
            </m:sub>
          </m:sSub>
          <m:d>
            <m:dPr>
              <m:begChr m:val="["/>
              <m:endChr m:val="]"/>
              <m:sepChr m:val=""/>
              <m:grow/>
            </m:dPr>
            <m:e>
              <m:f>
                <m:fPr>
                  <m:type m:val="bar"/>
                </m:fPr>
                <m:num>
                  <m:sSub>
                    <m:e>
                      <m:r>
                        <m:t>p</m:t>
                      </m:r>
                    </m:e>
                    <m:sub>
                      <m:r>
                        <m:t>i</m:t>
                      </m:r>
                      <m:r>
                        <m:rPr>
                          <m:sty m:val="p"/>
                        </m:rPr>
                        <m:t>+</m:t>
                      </m:r>
                      <m:r>
                        <m:t>1</m:t>
                      </m:r>
                    </m:sub>
                  </m:sSub>
                  <m:r>
                    <m:rPr>
                      <m:sty m:val="p"/>
                    </m:rPr>
                    <m:t>−</m:t>
                  </m:r>
                  <m:sSub>
                    <m:e>
                      <m:r>
                        <m:t>p</m:t>
                      </m:r>
                    </m:e>
                    <m:sub>
                      <m:r>
                        <m:t>i</m:t>
                      </m:r>
                    </m:sub>
                  </m:sSub>
                </m:num>
                <m:den>
                  <m:r>
                    <m:t>Δ</m:t>
                  </m:r>
                  <m:r>
                    <m:t>x</m:t>
                  </m:r>
                </m:den>
              </m:f>
              <m:r>
                <m:rPr>
                  <m:sty m:val="p"/>
                </m:rPr>
                <m:t>−</m:t>
              </m:r>
              <m:sSub>
                <m:e>
                  <m:bar>
                    <m:barPr>
                      <m:pos m:val="top"/>
                    </m:barPr>
                    <m:e>
                      <m:d>
                        <m:dPr>
                          <m:begChr m:val="("/>
                          <m:endChr m:val=")"/>
                          <m:sepChr m:val=""/>
                          <m:grow/>
                        </m:dPr>
                        <m:e>
                          <m:f>
                            <m:fPr>
                              <m:type m:val="bar"/>
                            </m:fPr>
                            <m:num>
                              <m:r>
                                <m:rPr>
                                  <m:sty m:val="p"/>
                                </m:rPr>
                                <m:t>∂</m:t>
                              </m:r>
                              <m:r>
                                <m:t>p</m:t>
                              </m:r>
                            </m:num>
                            <m:den>
                              <m:r>
                                <m:rPr>
                                  <m:sty m:val="p"/>
                                </m:rPr>
                                <m:t>∂</m:t>
                              </m:r>
                              <m:r>
                                <m:t>x</m:t>
                              </m:r>
                            </m:den>
                          </m:f>
                        </m:e>
                      </m:d>
                    </m:e>
                  </m:bar>
                </m:e>
                <m:sub>
                  <m:r>
                    <m:t>f</m:t>
                  </m:r>
                </m:sub>
              </m:sSub>
            </m:e>
          </m:d>
          <m:r>
            <m:rPr>
              <m:sty m:val="p"/>
            </m:rPr>
            <m:t>+</m:t>
          </m:r>
          <m:sSub>
            <m:e>
              <m:acc>
                <m:accPr>
                  <m:chr m:val="̂"/>
                </m:accPr>
                <m:e>
                  <m:r>
                    <m:t>d</m:t>
                  </m:r>
                </m:e>
              </m:acc>
            </m:e>
            <m:sub>
              <m:r>
                <m:t>f</m:t>
              </m:r>
            </m:sub>
          </m:sSub>
          <m:f>
            <m:fPr>
              <m:type m:val="bar"/>
            </m:fPr>
            <m:num>
              <m:sSubSup>
                <m:e>
                  <m:r>
                    <m:t>ρ</m:t>
                  </m:r>
                </m:e>
                <m:sub>
                  <m:r>
                    <m:t>f</m:t>
                  </m:r>
                </m:sub>
                <m:sup>
                  <m:r>
                    <m:rPr>
                      <m:sty m:val="p"/>
                    </m:rPr>
                    <m:t>*</m:t>
                  </m:r>
                  <m:r>
                    <m:rPr>
                      <m:sty m:val="p"/>
                    </m:rPr>
                    <m:t>,</m:t>
                  </m:r>
                  <m:r>
                    <m:t>n</m:t>
                  </m:r>
                </m:sup>
              </m:sSubSup>
            </m:num>
            <m:den>
              <m:r>
                <m:t>Δ</m:t>
              </m:r>
              <m:r>
                <m:t>t</m:t>
              </m:r>
            </m:den>
          </m:f>
          <m:d>
            <m:dPr>
              <m:begChr m:val="("/>
              <m:endChr m:val=")"/>
              <m:sepChr m:val=""/>
              <m:grow/>
            </m:dPr>
            <m:e>
              <m:sSubSup>
                <m:e>
                  <m:r>
                    <m:t>ϑ</m:t>
                  </m:r>
                </m:e>
                <m:sub>
                  <m:r>
                    <m:t>f</m:t>
                  </m:r>
                </m:sub>
                <m:sup>
                  <m:r>
                    <m:t> </m:t>
                  </m:r>
                  <m:r>
                    <m:t>n</m:t>
                  </m:r>
                </m:sup>
              </m:sSubSup>
              <m:r>
                <m:rPr>
                  <m:sty m:val="p"/>
                </m:rPr>
                <m:t>−</m:t>
              </m:r>
              <m:sSubSup>
                <m:e>
                  <m:acc>
                    <m:accPr>
                      <m:chr m:val="‾"/>
                    </m:accPr>
                    <m:e>
                      <m:r>
                        <m:t>u</m:t>
                      </m:r>
                    </m:e>
                  </m:acc>
                </m:e>
                <m:sub>
                  <m:r>
                    <m:t>f</m:t>
                  </m:r>
                </m:sub>
                <m:sup>
                  <m:r>
                    <m:t> </m:t>
                  </m:r>
                  <m:r>
                    <m:t>n</m:t>
                  </m:r>
                </m:sup>
              </m:sSubSup>
            </m:e>
          </m:d>
          <m:r>
            <m:rPr>
              <m:sty m:val="p"/>
            </m:rPr>
            <m:t>,</m:t>
          </m:r>
        </m:oMath>
      </m:oMathPara>
    </w:p>
    <w:p>
      <w:pPr>
        <w:pStyle w:val="FirstParagraph"/>
      </w:pPr>
      <w:r>
        <w:t xml:space="preserve">where</w:t>
      </w:r>
      <w:r>
        <w:t xml:space="preserve"> </w:t>
      </w:r>
      <m:oMath>
        <m:sSub>
          <m:e>
            <m:acc>
              <m:accPr>
                <m:chr m:val="‾"/>
              </m:accPr>
              <m:e>
                <m:r>
                  <m:t>u</m:t>
                </m:r>
              </m:e>
            </m:acc>
          </m:e>
          <m:sub>
            <m:r>
              <m:t>f</m:t>
            </m:r>
          </m:sub>
        </m:sSub>
      </m:oMath>
      <w:r>
        <w:t xml:space="preserve"> </w:t>
      </w:r>
      <w:r>
        <w:t xml:space="preserve">is the interpolated cell velocity, the bracketed compact-minus-wide pressure-gradient difference is a low-pass filter on the third pressure derivative suppressing pressure–velocity decoupling, the last term is the transient memory, and</w:t>
      </w:r>
      <w:r>
        <w:t xml:space="preserve"> </w:t>
      </w:r>
      <m:oMath>
        <m:sSubSup>
          <m:e>
            <m:r>
              <m:t>ρ</m:t>
            </m:r>
          </m:e>
          <m:sub>
            <m:r>
              <m:t>f</m:t>
            </m:r>
          </m:sub>
          <m:sup>
            <m:r>
              <m:rPr>
                <m:sty m:val="p"/>
              </m:rPr>
              <m:t>*</m:t>
            </m:r>
          </m:sup>
        </m:sSubSup>
      </m:oMath>
      <w:r>
        <w:t xml:space="preserve"> </w:t>
      </w:r>
      <w:r>
        <w:t xml:space="preserve">is the harmonic face density [17]. The interpolation coefficient follows Eq. (21) of Ref. [17],</w:t>
      </w:r>
    </w:p>
    <w:p>
      <w:pPr>
        <w:pStyle w:val="BodyText"/>
      </w:pPr>
      <m:oMathPara>
        <m:oMathParaPr>
          <m:jc m:val="center"/>
        </m:oMathParaPr>
        <m:oMath>
          <m:sSub>
            <m:e>
              <m:acc>
                <m:accPr>
                  <m:chr m:val="̂"/>
                </m:accPr>
                <m:e>
                  <m:r>
                    <m:t>d</m:t>
                  </m:r>
                </m:e>
              </m:acc>
            </m:e>
            <m:sub>
              <m:r>
                <m:t>f</m:t>
              </m:r>
            </m:sub>
          </m:sSub>
          <m:r>
            <m:rPr>
              <m:sty m:val="p"/>
            </m:rPr>
            <m:t>=</m:t>
          </m:r>
          <m:f>
            <m:fPr>
              <m:type m:val="bar"/>
            </m:fPr>
            <m:num>
              <m:f>
                <m:fPr>
                  <m:type m:val="bar"/>
                </m:fPr>
                <m:num>
                  <m:sSub>
                    <m:e>
                      <m:r>
                        <m:t>V</m:t>
                      </m:r>
                    </m:e>
                    <m:sub>
                      <m:r>
                        <m:t>P</m:t>
                      </m:r>
                    </m:sub>
                  </m:sSub>
                </m:num>
                <m:den>
                  <m:sSub>
                    <m:e>
                      <m:r>
                        <m:t>e</m:t>
                      </m:r>
                    </m:e>
                    <m:sub>
                      <m:r>
                        <m:t>P</m:t>
                      </m:r>
                    </m:sub>
                  </m:sSub>
                </m:den>
              </m:f>
              <m:r>
                <m:rPr>
                  <m:sty m:val="p"/>
                </m:rPr>
                <m:t>+</m:t>
              </m:r>
              <m:f>
                <m:fPr>
                  <m:type m:val="bar"/>
                </m:fPr>
                <m:num>
                  <m:sSub>
                    <m:e>
                      <m:r>
                        <m:t>V</m:t>
                      </m:r>
                    </m:e>
                    <m:sub>
                      <m:r>
                        <m:t>Q</m:t>
                      </m:r>
                    </m:sub>
                  </m:sSub>
                </m:num>
                <m:den>
                  <m:sSub>
                    <m:e>
                      <m:r>
                        <m:t>e</m:t>
                      </m:r>
                    </m:e>
                    <m:sub>
                      <m:r>
                        <m:t>Q</m:t>
                      </m:r>
                    </m:sub>
                  </m:sSub>
                </m:den>
              </m:f>
            </m:num>
            <m:den>
              <m:r>
                <m:t>2</m:t>
              </m:r>
              <m:r>
                <m:rPr>
                  <m:sty m:val="p"/>
                </m:rPr>
                <m:t>+</m:t>
              </m:r>
              <m:f>
                <m:fPr>
                  <m:type m:val="bar"/>
                </m:fPr>
                <m:num>
                  <m:sSubSup>
                    <m:e>
                      <m:r>
                        <m:t>ρ</m:t>
                      </m:r>
                    </m:e>
                    <m:sub>
                      <m:r>
                        <m:t>f</m:t>
                      </m:r>
                    </m:sub>
                    <m:sup>
                      <m:r>
                        <m:rPr>
                          <m:sty m:val="p"/>
                        </m:rPr>
                        <m:t>*</m:t>
                      </m:r>
                    </m:sup>
                  </m:sSubSup>
                </m:num>
                <m:den>
                  <m:r>
                    <m:t>Δ</m:t>
                  </m:r>
                  <m:r>
                    <m:t>t</m:t>
                  </m:r>
                </m:den>
              </m:f>
              <m:d>
                <m:dPr>
                  <m:begChr m:val="("/>
                  <m:endChr m:val=")"/>
                  <m:sepChr m:val=""/>
                  <m:grow/>
                </m:dPr>
                <m:e>
                  <m:f>
                    <m:fPr>
                      <m:type m:val="bar"/>
                    </m:fPr>
                    <m:num>
                      <m:sSub>
                        <m:e>
                          <m:r>
                            <m:t>V</m:t>
                          </m:r>
                        </m:e>
                        <m:sub>
                          <m:r>
                            <m:t>P</m:t>
                          </m:r>
                        </m:sub>
                      </m:sSub>
                    </m:num>
                    <m:den>
                      <m:sSub>
                        <m:e>
                          <m:r>
                            <m:t>e</m:t>
                          </m:r>
                        </m:e>
                        <m:sub>
                          <m:r>
                            <m:t>P</m:t>
                          </m:r>
                        </m:sub>
                      </m:sSub>
                    </m:den>
                  </m:f>
                  <m:r>
                    <m:rPr>
                      <m:sty m:val="p"/>
                    </m:rPr>
                    <m:t>+</m:t>
                  </m:r>
                  <m:f>
                    <m:fPr>
                      <m:type m:val="bar"/>
                    </m:fPr>
                    <m:num>
                      <m:sSub>
                        <m:e>
                          <m:r>
                            <m:t>V</m:t>
                          </m:r>
                        </m:e>
                        <m:sub>
                          <m:r>
                            <m:t>Q</m:t>
                          </m:r>
                        </m:sub>
                      </m:sSub>
                    </m:num>
                    <m:den>
                      <m:sSub>
                        <m:e>
                          <m:r>
                            <m:t>e</m:t>
                          </m:r>
                        </m:e>
                        <m:sub>
                          <m:r>
                            <m:t>Q</m:t>
                          </m:r>
                        </m:sub>
                      </m:sSub>
                    </m:den>
                  </m:f>
                </m:e>
              </m:d>
            </m:den>
          </m:f>
          <m:r>
            <m:rPr>
              <m:sty m:val="p"/>
            </m:rPr>
            <m:t>,</m:t>
          </m:r>
        </m:oMath>
      </m:oMathPara>
    </w:p>
    <w:p>
      <w:pPr>
        <w:pStyle w:val="FirstParagraph"/>
      </w:pPr>
      <w:r>
        <w:t xml:space="preserve">with</w:t>
      </w:r>
      <w:r>
        <w:t xml:space="preserve"> </w:t>
      </w:r>
      <m:oMath>
        <m:sSub>
          <m:e>
            <m:r>
              <m:t>e</m:t>
            </m:r>
          </m:e>
          <m:sub>
            <m:r>
              <m:t>P</m:t>
            </m:r>
          </m:sub>
        </m:sSub>
      </m:oMath>
      <w:r>
        <w:t xml:space="preserve"> </w:t>
      </w:r>
      <w:r>
        <w:t xml:space="preserve">the transient momentum coefficient</w:t>
      </w:r>
      <w:r>
        <w:t xml:space="preserve"> </w:t>
      </w:r>
      <m:oMath>
        <m:r>
          <m:t>ρ</m:t>
        </m:r>
        <m:r>
          <m:t> </m:t>
        </m:r>
        <m:r>
          <m:t>Δ</m:t>
        </m:r>
        <m:r>
          <m:t>x</m:t>
        </m:r>
        <m:r>
          <m:rPr>
            <m:sty m:val="p"/>
          </m:rPr>
          <m:t>/</m:t>
        </m:r>
        <m:r>
          <m:t>Δ</m:t>
        </m:r>
        <m:r>
          <m:t>t</m:t>
        </m:r>
      </m:oMath>
      <w:r>
        <w:t xml:space="preserve">, in which limit</w:t>
      </w:r>
      <w:r>
        <w:t xml:space="preserve"> </w:t>
      </w:r>
      <m:oMath>
        <m:sSub>
          <m:e>
            <m:acc>
              <m:accPr>
                <m:chr m:val="̂"/>
              </m:accPr>
              <m:e>
                <m:r>
                  <m:t>d</m:t>
                </m:r>
              </m:e>
            </m:acc>
          </m:e>
          <m:sub>
            <m:r>
              <m:t>f</m:t>
            </m:r>
          </m:sub>
        </m:sSub>
        <m:r>
          <m:rPr>
            <m:sty m:val="p"/>
          </m:rPr>
          <m:t>∝</m:t>
        </m:r>
        <m:r>
          <m:t>Δ</m:t>
        </m:r>
        <m:r>
          <m:t>t</m:t>
        </m:r>
      </m:oMath>
      <w:r>
        <w:t xml:space="preserve"> </w:t>
      </w:r>
      <w:r>
        <w:t xml:space="preserve">and the MWI dissipation vanishes with the time-step (analysed in Ref. [14]; examined for the strong shocks in Section 4.12). The correction is bounded by the local speed of sound,</w:t>
      </w:r>
      <w:r>
        <w:t xml:space="preserve"> </w:t>
      </w:r>
      <m:oMath>
        <m:d>
          <m:dPr>
            <m:begChr m:val="|"/>
            <m:endChr m:val="|"/>
            <m:sepChr m:val=""/>
            <m:grow/>
          </m:dPr>
          <m:e>
            <m:sSub>
              <m:e>
                <m:acc>
                  <m:accPr>
                    <m:chr m:val="̂"/>
                  </m:accPr>
                  <m:e>
                    <m:r>
                      <m:t>d</m:t>
                    </m:r>
                  </m:e>
                </m:acc>
              </m:e>
              <m:sub>
                <m:r>
                  <m:t>f</m:t>
                </m:r>
              </m:sub>
            </m:sSub>
            <m:r>
              <m:t> </m:t>
            </m:r>
            <m:d>
              <m:dPr>
                <m:begChr m:val="["/>
                <m:endChr m:val="]"/>
                <m:sepChr m:val=""/>
                <m:grow/>
              </m:dPr>
              <m:e>
                <m:r>
                  <m:rPr>
                    <m:sty m:val="p"/>
                  </m:rPr>
                  <m:t>⋅</m:t>
                </m:r>
              </m:e>
            </m:d>
          </m:e>
        </m:d>
        <m:r>
          <m:rPr>
            <m:sty m:val="p"/>
          </m:rPr>
          <m:t>≤</m:t>
        </m:r>
        <m:sSub>
          <m:e>
            <m:r>
              <m:t>c</m:t>
            </m:r>
          </m:e>
          <m:sub>
            <m:r>
              <m:t>f</m:t>
            </m:r>
          </m:sub>
        </m:sSub>
      </m:oMath>
      <w:r>
        <w:t xml:space="preserve">. One transient-coefficient form serves every case — no per-case dissipation scale, no advection-coefficient switch — and, the residual being exact (Section 3.7), the MWI affects oscillation content but not converged wave speeds or jump conditions.</w:t>
      </w:r>
    </w:p>
    <w:bookmarkEnd w:id="29"/>
    <w:bookmarkStart w:id="30" w:name="X8800948fe6b5f662e39e3c52b19c0a3e487e739"/>
    <w:p>
      <w:pPr>
        <w:pStyle w:val="Heading2"/>
      </w:pPr>
      <w:r>
        <w:t xml:space="preserve">3.6 Volume-fraction transport with THINC interface capturing</w:t>
      </w:r>
    </w:p>
    <w:p>
      <w:pPr>
        <w:pStyle w:val="FirstParagraph"/>
      </w:pPr>
      <w:r>
        <w:t xml:space="preserve">The volume fraction is advanced with the advecting velocity in the non-conservative form</w:t>
      </w:r>
    </w:p>
    <w:p>
      <w:pPr>
        <w:pStyle w:val="BodyText"/>
      </w:pPr>
      <m:oMathPara>
        <m:oMathParaPr>
          <m:jc m:val="center"/>
        </m:oMathParaPr>
        <m:oMath>
          <m:sSubSup>
            <m:e>
              <m:r>
                <m:t>α</m:t>
              </m:r>
            </m:e>
            <m:sub>
              <m:r>
                <m:t>i</m:t>
              </m:r>
            </m:sub>
            <m:sup>
              <m:r>
                <m:t> </m:t>
              </m:r>
              <m:r>
                <m:t>n</m:t>
              </m:r>
              <m:r>
                <m:rPr>
                  <m:sty m:val="p"/>
                </m:rPr>
                <m:t>+</m:t>
              </m:r>
              <m:r>
                <m:t>1</m:t>
              </m:r>
            </m:sup>
          </m:sSubSup>
          <m:r>
            <m:rPr>
              <m:sty m:val="p"/>
            </m:rPr>
            <m:t>=</m:t>
          </m:r>
          <m:sSubSup>
            <m:e>
              <m:r>
                <m:t>α</m:t>
              </m:r>
            </m:e>
            <m:sub>
              <m:r>
                <m:t>i</m:t>
              </m:r>
            </m:sub>
            <m:sup>
              <m:r>
                <m:t> </m:t>
              </m:r>
              <m:r>
                <m:t>n</m:t>
              </m:r>
            </m:sup>
          </m:sSubSup>
          <m:r>
            <m:rPr>
              <m:sty m:val="p"/>
            </m:rPr>
            <m:t>−</m:t>
          </m:r>
          <m:f>
            <m:fPr>
              <m:type m:val="bar"/>
            </m:fPr>
            <m:num>
              <m:r>
                <m:t>Δ</m:t>
              </m:r>
              <m:r>
                <m:t>t</m:t>
              </m:r>
            </m:num>
            <m:den>
              <m:r>
                <m:t>Δ</m:t>
              </m:r>
              <m:r>
                <m:t>x</m:t>
              </m:r>
            </m:den>
          </m:f>
          <m:d>
            <m:dPr>
              <m:begChr m:val="("/>
              <m:endChr m:val=")"/>
              <m:sepChr m:val=""/>
              <m:grow/>
            </m:dPr>
            <m:e>
              <m:sSub>
                <m:e>
                  <m:r>
                    <m:t>ϑ</m:t>
                  </m:r>
                </m:e>
                <m:sub>
                  <m:r>
                    <m:t>i</m:t>
                  </m:r>
                  <m:r>
                    <m:rPr>
                      <m:sty m:val="p"/>
                    </m:rPr>
                    <m:t>+</m:t>
                  </m:r>
                  <m:r>
                    <m:t>1</m:t>
                  </m:r>
                  <m:r>
                    <m:rPr>
                      <m:sty m:val="p"/>
                    </m:rPr>
                    <m:t>/</m:t>
                  </m:r>
                  <m:r>
                    <m:t>2</m:t>
                  </m:r>
                </m:sub>
              </m:sSub>
              <m:sSub>
                <m:e>
                  <m:r>
                    <m:t>α</m:t>
                  </m:r>
                </m:e>
                <m:sub>
                  <m:r>
                    <m:t>f</m:t>
                  </m:r>
                  <m:r>
                    <m:rPr>
                      <m:sty m:val="p"/>
                    </m:rPr>
                    <m:t>,</m:t>
                  </m:r>
                  <m:r>
                    <m:t>i</m:t>
                  </m:r>
                  <m:r>
                    <m:rPr>
                      <m:sty m:val="p"/>
                    </m:rPr>
                    <m:t>+</m:t>
                  </m:r>
                  <m:r>
                    <m:t>1</m:t>
                  </m:r>
                  <m:r>
                    <m:rPr>
                      <m:sty m:val="p"/>
                    </m:rPr>
                    <m:t>/</m:t>
                  </m:r>
                  <m:r>
                    <m:t>2</m:t>
                  </m:r>
                </m:sub>
              </m:sSub>
              <m:r>
                <m:rPr>
                  <m:sty m:val="p"/>
                </m:rPr>
                <m:t>−</m:t>
              </m:r>
              <m:sSub>
                <m:e>
                  <m:r>
                    <m:t>ϑ</m:t>
                  </m:r>
                </m:e>
                <m:sub>
                  <m:r>
                    <m:t>i</m:t>
                  </m:r>
                  <m:r>
                    <m:rPr>
                      <m:sty m:val="p"/>
                    </m:rPr>
                    <m:t>−</m:t>
                  </m:r>
                  <m:r>
                    <m:t>1</m:t>
                  </m:r>
                  <m:r>
                    <m:rPr>
                      <m:sty m:val="p"/>
                    </m:rPr>
                    <m:t>/</m:t>
                  </m:r>
                  <m:r>
                    <m:t>2</m:t>
                  </m:r>
                </m:sub>
              </m:sSub>
              <m:sSub>
                <m:e>
                  <m:r>
                    <m:t>α</m:t>
                  </m:r>
                </m:e>
                <m:sub>
                  <m:r>
                    <m:t>f</m:t>
                  </m:r>
                  <m:r>
                    <m:rPr>
                      <m:sty m:val="p"/>
                    </m:rPr>
                    <m:t>,</m:t>
                  </m:r>
                  <m:r>
                    <m:t>i</m:t>
                  </m:r>
                  <m:r>
                    <m:rPr>
                      <m:sty m:val="p"/>
                    </m:rPr>
                    <m:t>−</m:t>
                  </m:r>
                  <m:r>
                    <m:t>1</m:t>
                  </m:r>
                  <m:r>
                    <m:rPr>
                      <m:sty m:val="p"/>
                    </m:rPr>
                    <m:t>/</m:t>
                  </m:r>
                  <m:r>
                    <m:t>2</m:t>
                  </m:r>
                </m:sub>
              </m:sSub>
            </m:e>
          </m:d>
          <m:r>
            <m:rPr>
              <m:sty m:val="p"/>
            </m:rPr>
            <m:t>+</m:t>
          </m:r>
          <m:r>
            <m:t>Δ</m:t>
          </m:r>
          <m:r>
            <m:t>t</m:t>
          </m:r>
          <m:r>
            <m:t> </m:t>
          </m:r>
          <m:sSubSup>
            <m:e>
              <m:r>
                <m:t>α</m:t>
              </m:r>
            </m:e>
            <m:sub>
              <m:r>
                <m:t>i</m:t>
              </m:r>
            </m:sub>
            <m:sup>
              <m:r>
                <m:t> </m:t>
              </m:r>
              <m:r>
                <m:t>n</m:t>
              </m:r>
            </m:sup>
          </m:sSubSup>
          <m:f>
            <m:fPr>
              <m:type m:val="bar"/>
            </m:fPr>
            <m:num>
              <m:sSub>
                <m:e>
                  <m:r>
                    <m:t>ϑ</m:t>
                  </m:r>
                </m:e>
                <m:sub>
                  <m:r>
                    <m:t>i</m:t>
                  </m:r>
                  <m:r>
                    <m:rPr>
                      <m:sty m:val="p"/>
                    </m:rPr>
                    <m:t>+</m:t>
                  </m:r>
                  <m:r>
                    <m:t>1</m:t>
                  </m:r>
                  <m:r>
                    <m:rPr>
                      <m:sty m:val="p"/>
                    </m:rPr>
                    <m:t>/</m:t>
                  </m:r>
                  <m:r>
                    <m:t>2</m:t>
                  </m:r>
                </m:sub>
              </m:sSub>
              <m:r>
                <m:rPr>
                  <m:sty m:val="p"/>
                </m:rPr>
                <m:t>−</m:t>
              </m:r>
              <m:sSub>
                <m:e>
                  <m:r>
                    <m:t>ϑ</m:t>
                  </m:r>
                </m:e>
                <m:sub>
                  <m:r>
                    <m:t>i</m:t>
                  </m:r>
                  <m:r>
                    <m:rPr>
                      <m:sty m:val="p"/>
                    </m:rPr>
                    <m:t>−</m:t>
                  </m:r>
                  <m:r>
                    <m:t>1</m:t>
                  </m:r>
                  <m:r>
                    <m:rPr>
                      <m:sty m:val="p"/>
                    </m:rPr>
                    <m:t>/</m:t>
                  </m:r>
                  <m:r>
                    <m:t>2</m:t>
                  </m:r>
                </m:sub>
              </m:sSub>
            </m:num>
            <m:den>
              <m:r>
                <m:t>Δ</m:t>
              </m:r>
              <m:r>
                <m:t>x</m:t>
              </m:r>
            </m:den>
          </m:f>
          <m:r>
            <m:rPr>
              <m:sty m:val="p"/>
            </m:rPr>
            <m:t>,</m:t>
          </m:r>
        </m:oMath>
      </m:oMathPara>
    </w:p>
    <w:p>
      <w:pPr>
        <w:pStyle w:val="FirstParagraph"/>
      </w:pPr>
      <w:r>
        <w:t xml:space="preserve">followed by clamping to</w:t>
      </w:r>
      <w:r>
        <w:t xml:space="preserve"> </w:t>
      </w:r>
      <m:oMath>
        <m:d>
          <m:dPr>
            <m:begChr m:val="["/>
            <m:endChr m:val="]"/>
            <m:sepChr m:val=""/>
            <m:grow/>
          </m:dPr>
          <m:e>
            <m:r>
              <m:t>0</m:t>
            </m:r>
            <m:r>
              <m:rPr>
                <m:sty m:val="p"/>
              </m:rPr>
              <m:t>,</m:t>
            </m:r>
            <m:r>
              <m:t>1</m:t>
            </m:r>
          </m:e>
        </m:d>
      </m:oMath>
      <w:r>
        <w:t xml:space="preserve">, before the coupled solution of</w:t>
      </w:r>
      <w:r>
        <w:t xml:space="preserve"> </w:t>
      </w:r>
      <m:oMath>
        <m:d>
          <m:dPr>
            <m:begChr m:val="("/>
            <m:endChr m:val=")"/>
            <m:sepChr m:val=""/>
            <m:grow/>
          </m:dPr>
          <m:e>
            <m:r>
              <m:t>u</m:t>
            </m:r>
            <m:r>
              <m:rPr>
                <m:sty m:val="p"/>
              </m:rPr>
              <m:t>,</m:t>
            </m:r>
            <m:r>
              <m:t>p</m:t>
            </m:r>
            <m:r>
              <m:rPr>
                <m:sty m:val="p"/>
              </m:rPr>
              <m:t>,</m:t>
            </m:r>
            <m:r>
              <m:t>h</m:t>
            </m:r>
          </m:e>
        </m:d>
      </m:oMath>
      <w:r>
        <w:t xml:space="preserve">. In smooth regions</w:t>
      </w:r>
      <w:r>
        <w:t xml:space="preserve"> </w:t>
      </w:r>
      <m:oMath>
        <m:sSub>
          <m:e>
            <m:r>
              <m:t>α</m:t>
            </m:r>
          </m:e>
          <m:sub>
            <m:r>
              <m:t>f</m:t>
            </m:r>
          </m:sub>
        </m:sSub>
      </m:oMath>
      <w:r>
        <w:t xml:space="preserve"> </w:t>
      </w:r>
      <w:r>
        <w:t xml:space="preserve">is first-order upwind; at a genuine material interface it is replaced by a THINC reconstruction [44, 45].</w:t>
      </w:r>
    </w:p>
    <w:p>
      <w:pPr>
        <w:pStyle w:val="BodyText"/>
      </w:pPr>
      <w:r>
        <w:t xml:space="preserve">The interface within the upwind cell is a normalised tanh profile</w:t>
      </w:r>
      <w:r>
        <w:t xml:space="preserve"> </w:t>
      </w:r>
      <m:oMath>
        <m:r>
          <m:t>H</m:t>
        </m:r>
        <m:d>
          <m:dPr>
            <m:begChr m:val="("/>
            <m:endChr m:val=")"/>
            <m:sepChr m:val=""/>
            <m:grow/>
          </m:dPr>
          <m:e>
            <m:r>
              <m:t>x</m:t>
            </m:r>
          </m:e>
        </m:d>
      </m:oMath>
      <w:r>
        <w:t xml:space="preserve"> </w:t>
      </w:r>
      <w:r>
        <w:t xml:space="preserve">of steepness</w:t>
      </w:r>
      <w:r>
        <w:t xml:space="preserve"> </w:t>
      </w:r>
      <m:oMath>
        <m:r>
          <m:t>β</m:t>
        </m:r>
      </m:oMath>
      <w:r>
        <w:t xml:space="preserve">, positioned so its cell average reproduces</w:t>
      </w:r>
      <w:r>
        <w:t xml:space="preserve"> </w:t>
      </w:r>
      <m:oMath>
        <m:r>
          <m:t>α</m:t>
        </m:r>
      </m:oMath>
      <w:r>
        <w:t xml:space="preserve">. The face value is the</w:t>
      </w:r>
      <w:r>
        <w:t xml:space="preserve"> </w:t>
      </w:r>
      <w:r>
        <w:rPr>
          <w:i/>
          <w:iCs/>
        </w:rPr>
        <w:t xml:space="preserve">conservative semi-Lagrangian</w:t>
      </w:r>
      <w:r>
        <w:t xml:space="preserve"> </w:t>
      </w:r>
      <w:r>
        <w:t xml:space="preserve">average of this profile over the departure region swept in one step —</w:t>
      </w:r>
      <w:r>
        <w:t xml:space="preserve"> </w:t>
      </w:r>
      <m:oMath>
        <m:d>
          <m:dPr>
            <m:begChr m:val="["/>
            <m:endChr m:val="]"/>
            <m:sepChr m:val=""/>
            <m:grow/>
          </m:dPr>
          <m:e>
            <m:r>
              <m:t>1</m:t>
            </m:r>
            <m:r>
              <m:rPr>
                <m:sty m:val="p"/>
              </m:rPr>
              <m:t>−</m:t>
            </m:r>
            <m:r>
              <m:t>c</m:t>
            </m:r>
            <m:r>
              <m:rPr>
                <m:sty m:val="p"/>
              </m:rPr>
              <m:t>,</m:t>
            </m:r>
            <m:r>
              <m:t> </m:t>
            </m:r>
            <m:r>
              <m:t>1</m:t>
            </m:r>
          </m:e>
        </m:d>
      </m:oMath>
      <w:r>
        <w:t xml:space="preserve"> </w:t>
      </w:r>
      <w:r>
        <w:t xml:space="preserve">of the upwind cell for</w:t>
      </w:r>
      <w:r>
        <w:t xml:space="preserve"> </w:t>
      </w:r>
      <m:oMath>
        <m:sSub>
          <m:e>
            <m:r>
              <m:t>ϑ</m:t>
            </m:r>
          </m:e>
          <m:sub>
            <m:r>
              <m:t>f</m:t>
            </m:r>
          </m:sub>
        </m:sSub>
        <m:r>
          <m:rPr>
            <m:sty m:val="p"/>
          </m:rPr>
          <m:t>≥</m:t>
        </m:r>
        <m:r>
          <m:t>0</m:t>
        </m:r>
      </m:oMath>
      <w:r>
        <w:t xml:space="preserve">,</w:t>
      </w:r>
      <w:r>
        <w:t xml:space="preserve"> </w:t>
      </w:r>
      <m:oMath>
        <m:d>
          <m:dPr>
            <m:begChr m:val="["/>
            <m:endChr m:val="]"/>
            <m:sepChr m:val=""/>
            <m:grow/>
          </m:dPr>
          <m:e>
            <m:r>
              <m:t>0</m:t>
            </m:r>
            <m:r>
              <m:rPr>
                <m:sty m:val="p"/>
              </m:rPr>
              <m:t>,</m:t>
            </m:r>
            <m:r>
              <m:t> </m:t>
            </m:r>
            <m:r>
              <m:t>c</m:t>
            </m:r>
          </m:e>
        </m:d>
      </m:oMath>
      <w:r>
        <w:t xml:space="preserve"> </w:t>
      </w:r>
      <w:r>
        <w:t xml:space="preserve">otherwise, with local material Courant number</w:t>
      </w:r>
      <w:r>
        <w:t xml:space="preserve"> </w:t>
      </w:r>
      <m:oMath>
        <m:r>
          <m:t>c</m:t>
        </m:r>
        <m:r>
          <m:rPr>
            <m:sty m:val="p"/>
          </m:rPr>
          <m:t>=</m:t>
        </m:r>
        <m:d>
          <m:dPr>
            <m:begChr m:val="|"/>
            <m:endChr m:val="|"/>
            <m:sepChr m:val=""/>
            <m:grow/>
          </m:dPr>
          <m:e>
            <m:sSub>
              <m:e>
                <m:r>
                  <m:t>ϑ</m:t>
                </m:r>
              </m:e>
              <m:sub>
                <m:r>
                  <m:t>f</m:t>
                </m:r>
              </m:sub>
            </m:sSub>
          </m:e>
        </m:d>
        <m:r>
          <m:t> </m:t>
        </m:r>
        <m:r>
          <m:t>Δ</m:t>
        </m:r>
        <m:r>
          <m:t>t</m:t>
        </m:r>
        <m:r>
          <m:rPr>
            <m:sty m:val="p"/>
          </m:rPr>
          <m:t>/</m:t>
        </m:r>
        <m:r>
          <m:t>Δ</m:t>
        </m:r>
        <m:r>
          <m:t>x</m:t>
        </m:r>
      </m:oMath>
      <w:r>
        <w:t xml:space="preserve"> </w:t>
      </w:r>
      <w:r>
        <w:t xml:space="preserve">— in the closed form</w:t>
      </w:r>
    </w:p>
    <w:p>
      <w:pPr>
        <w:pStyle w:val="BodyText"/>
      </w:pPr>
      <m:oMathPara>
        <m:oMathParaPr>
          <m:jc m:val="center"/>
        </m:oMathParaPr>
        <m:oMath>
          <m:sSub>
            <m:e>
              <m:r>
                <m:t>α</m:t>
              </m:r>
            </m:e>
            <m:sub>
              <m:r>
                <m:t>f</m:t>
              </m:r>
            </m:sub>
          </m:sSub>
          <m:r>
            <m:rPr>
              <m:sty m:val="p"/>
            </m:rPr>
            <m:t>=</m:t>
          </m:r>
          <m:f>
            <m:fPr>
              <m:type m:val="bar"/>
            </m:fPr>
            <m:num>
              <m:r>
                <m:t>1</m:t>
              </m:r>
            </m:num>
            <m:den>
              <m:r>
                <m:t>c</m:t>
              </m:r>
            </m:den>
          </m:f>
          <m:d>
            <m:dPr>
              <m:begChr m:val="["/>
              <m:endChr m:val="]"/>
              <m:sepChr m:val=""/>
              <m:grow/>
            </m:dPr>
            <m:e>
              <m:r>
                <m:t> </m:t>
              </m:r>
              <m:acc>
                <m:accPr>
                  <m:chr m:val="‾"/>
                </m:accPr>
                <m:e>
                  <m:r>
                    <m:t>x</m:t>
                  </m:r>
                </m:e>
              </m:acc>
              <m:r>
                <m:rPr>
                  <m:sty m:val="p"/>
                </m:rPr>
                <m:t>+</m:t>
              </m:r>
              <m:f>
                <m:fPr>
                  <m:type m:val="bar"/>
                </m:fPr>
                <m:num>
                  <m:r>
                    <m:t>1</m:t>
                  </m:r>
                </m:num>
                <m:den>
                  <m:r>
                    <m:t>2</m:t>
                  </m:r>
                  <m:r>
                    <m:t>β</m:t>
                  </m:r>
                </m:den>
              </m:f>
              <m:r>
                <m:rPr>
                  <m:sty m:val="p"/>
                </m:rPr>
                <m:t>ln</m:t>
              </m:r>
              <m:r>
                <m:t>​</m:t>
              </m:r>
              <m:f>
                <m:fPr>
                  <m:type m:val="bar"/>
                </m:fPr>
                <m:num>
                  <m:r>
                    <m:rPr>
                      <m:sty m:val="p"/>
                    </m:rPr>
                    <m:t>cosh</m:t>
                  </m:r>
                  <m:r>
                    <m:t>β</m:t>
                  </m:r>
                  <m:d>
                    <m:dPr>
                      <m:begChr m:val="("/>
                      <m:endChr m:val=")"/>
                      <m:sepChr m:val=""/>
                      <m:grow/>
                    </m:dPr>
                    <m:e>
                      <m:acc>
                        <m:accPr>
                          <m:chr m:val="‾"/>
                        </m:accPr>
                        <m:e>
                          <m:r>
                            <m:t>x</m:t>
                          </m:r>
                        </m:e>
                      </m:acc>
                      <m:r>
                        <m:rPr>
                          <m:sty m:val="p"/>
                        </m:rPr>
                        <m:t>−</m:t>
                      </m:r>
                      <m:sSub>
                        <m:e>
                          <m:r>
                            <m:t>x</m:t>
                          </m:r>
                        </m:e>
                        <m:sub>
                          <m:r>
                            <m:t>c</m:t>
                          </m:r>
                        </m:sub>
                      </m:sSub>
                      <m:r>
                        <m:rPr>
                          <m:sty m:val="p"/>
                        </m:rPr>
                        <m:t>+</m:t>
                      </m:r>
                      <m:r>
                        <m:t>c</m:t>
                      </m:r>
                      <m:r>
                        <m:rPr>
                          <m:sty m:val="p"/>
                        </m:rPr>
                        <m:t>/</m:t>
                      </m:r>
                      <m:r>
                        <m:t>2</m:t>
                      </m:r>
                    </m:e>
                  </m:d>
                </m:num>
                <m:den>
                  <m:r>
                    <m:rPr>
                      <m:sty m:val="p"/>
                    </m:rPr>
                    <m:t>cosh</m:t>
                  </m:r>
                  <m:r>
                    <m:t>β</m:t>
                  </m:r>
                  <m:d>
                    <m:dPr>
                      <m:begChr m:val="("/>
                      <m:endChr m:val=")"/>
                      <m:sepChr m:val=""/>
                      <m:grow/>
                    </m:dPr>
                    <m:e>
                      <m:acc>
                        <m:accPr>
                          <m:chr m:val="‾"/>
                        </m:accPr>
                        <m:e>
                          <m:r>
                            <m:t>x</m:t>
                          </m:r>
                        </m:e>
                      </m:acc>
                      <m:r>
                        <m:rPr>
                          <m:sty m:val="p"/>
                        </m:rPr>
                        <m:t>−</m:t>
                      </m:r>
                      <m:sSub>
                        <m:e>
                          <m:r>
                            <m:t>x</m:t>
                          </m:r>
                        </m:e>
                        <m:sub>
                          <m:r>
                            <m:t>c</m:t>
                          </m:r>
                        </m:sub>
                      </m:sSub>
                      <m:r>
                        <m:rPr>
                          <m:sty m:val="p"/>
                        </m:rPr>
                        <m:t>−</m:t>
                      </m:r>
                      <m:r>
                        <m:t>c</m:t>
                      </m:r>
                      <m:r>
                        <m:rPr>
                          <m:sty m:val="p"/>
                        </m:rPr>
                        <m:t>/</m:t>
                      </m:r>
                      <m:r>
                        <m:t>2</m:t>
                      </m:r>
                    </m:e>
                  </m:d>
                </m:den>
              </m:f>
              <m:r>
                <m:t> </m:t>
              </m:r>
            </m:e>
          </m:d>
          <m:r>
            <m:rPr>
              <m:sty m:val="p"/>
            </m:rPr>
            <m:t>,</m:t>
          </m:r>
        </m:oMath>
      </m:oMathPara>
    </w:p>
    <w:p>
      <w:pPr>
        <w:pStyle w:val="FirstParagraph"/>
      </w:pPr>
      <w:r>
        <w:t xml:space="preserve">evaluated through an algebraically equivalent stable form and verified against adaptive quadrature to a relative</w:t>
      </w:r>
      <w:r>
        <w:t xml:space="preserve"> </w:t>
      </w:r>
      <m:oMath>
        <m:r>
          <m:t>4</m:t>
        </m:r>
        <m:r>
          <m:rPr>
            <m:sty m:val="p"/>
          </m:rPr>
          <m:t>×</m:t>
        </m:r>
        <m:sSup>
          <m:e>
            <m:r>
              <m:t>10</m:t>
            </m:r>
          </m:e>
          <m:sup>
            <m:r>
              <m:rPr>
                <m:sty m:val="p"/>
              </m:rPr>
              <m:t>−</m:t>
            </m:r>
            <m:r>
              <m:t>15</m:t>
            </m:r>
          </m:sup>
        </m:sSup>
      </m:oMath>
      <w:r>
        <w:t xml:space="preserve">. The point (non-integrated) downwind value is</w:t>
      </w:r>
      <w:r>
        <w:t xml:space="preserve"> </w:t>
      </w:r>
      <w:r>
        <w:rPr>
          <w:i/>
          <w:iCs/>
        </w:rPr>
        <w:t xml:space="preserve">not</w:t>
      </w:r>
      <w:r>
        <w:t xml:space="preserve"> </w:t>
      </w:r>
      <w:r>
        <w:t xml:space="preserve">used: it under-transports the sub-cell interface at finite Courant number, lagging a sharp contact by of order thirty cells (case 02). The reconstruction applies only where a case-blind indicator fires — neighbours straddling the half-value, steep local variation</w:t>
      </w:r>
      <w:r>
        <w:t xml:space="preserve"> </w:t>
      </w:r>
      <m:oMath>
        <m:d>
          <m:dPr>
            <m:begChr m:val="|"/>
            <m:endChr m:val="|"/>
            <m:sepChr m:val=""/>
            <m:grow/>
          </m:dPr>
          <m:e>
            <m:sSub>
              <m:e>
                <m:r>
                  <m:t>α</m:t>
                </m:r>
              </m:e>
              <m:sub>
                <m:r>
                  <m:t>i</m:t>
                </m:r>
                <m:r>
                  <m:rPr>
                    <m:sty m:val="p"/>
                  </m:rPr>
                  <m:t>+</m:t>
                </m:r>
                <m:r>
                  <m:t>1</m:t>
                </m:r>
              </m:sub>
            </m:sSub>
            <m:r>
              <m:rPr>
                <m:sty m:val="p"/>
              </m:rPr>
              <m:t>−</m:t>
            </m:r>
            <m:sSub>
              <m:e>
                <m:r>
                  <m:t>α</m:t>
                </m:r>
              </m:e>
              <m:sub>
                <m:r>
                  <m:t>i</m:t>
                </m:r>
                <m:r>
                  <m:rPr>
                    <m:sty m:val="p"/>
                  </m:rPr>
                  <m:t>−</m:t>
                </m:r>
                <m:r>
                  <m:t>1</m:t>
                </m:r>
              </m:sub>
            </m:sSub>
          </m:e>
        </m:d>
        <m:r>
          <m:rPr>
            <m:sty m:val="p"/>
          </m:rPr>
          <m:t>&gt;</m:t>
        </m:r>
        <m:r>
          <m:t>0.5</m:t>
        </m:r>
      </m:oMath>
      <w:r>
        <w:t xml:space="preserve">, monotone profile, genuinely mixed cell (</w:t>
      </w:r>
      <m:oMath>
        <m:sSup>
          <m:e>
            <m:r>
              <m:t>10</m:t>
            </m:r>
          </m:e>
          <m:sup>
            <m:r>
              <m:rPr>
                <m:sty m:val="p"/>
              </m:rPr>
              <m:t>−</m:t>
            </m:r>
            <m:r>
              <m:t>6</m:t>
            </m:r>
          </m:sup>
        </m:sSup>
        <m:r>
          <m:rPr>
            <m:sty m:val="p"/>
          </m:rPr>
          <m:t>&lt;</m:t>
        </m:r>
        <m:sSub>
          <m:e>
            <m:r>
              <m:t>α</m:t>
            </m:r>
          </m:e>
          <m:sub>
            <m:r>
              <m:t>i</m:t>
            </m:r>
          </m:sub>
        </m:sSub>
        <m:r>
          <m:rPr>
            <m:sty m:val="p"/>
          </m:rPr>
          <m:t>&lt;</m:t>
        </m:r>
        <m:r>
          <m:t>1</m:t>
        </m:r>
        <m:r>
          <m:rPr>
            <m:sty m:val="p"/>
          </m:rPr>
          <m:t>−</m:t>
        </m:r>
        <m:sSup>
          <m:e>
            <m:r>
              <m:t>10</m:t>
            </m:r>
          </m:e>
          <m:sup>
            <m:r>
              <m:rPr>
                <m:sty m:val="p"/>
              </m:rPr>
              <m:t>−</m:t>
            </m:r>
            <m:r>
              <m:t>6</m:t>
            </m:r>
          </m:sup>
        </m:sSup>
      </m:oMath>
      <w:r>
        <w:t xml:space="preserve">) — otherwise plain upwind. The steepness</w:t>
      </w:r>
      <w:r>
        <w:t xml:space="preserve"> </w:t>
      </w:r>
      <m:oMath>
        <m:r>
          <m:t>β</m:t>
        </m:r>
        <m:r>
          <m:rPr>
            <m:sty m:val="p"/>
          </m:rPr>
          <m:t>=</m:t>
        </m:r>
        <m:r>
          <m:t>3.5</m:t>
        </m:r>
      </m:oMath>
      <w:r>
        <w:t xml:space="preserve"> </w:t>
      </w:r>
      <w:r>
        <w:t xml:space="preserve">is the single global scheme constant.</w:t>
      </w:r>
    </w:p>
    <w:p>
      <w:pPr>
        <w:pStyle w:val="BodyText"/>
      </w:pPr>
      <w:r>
        <w:t xml:space="preserve">THINC sharpens the volume fraction while the convected pressure and temperature remain first-order, so the implied face mixture density can leave the range of the adjacent cells and oscillate. A parameter-free density-monotonicity guard of BVD type [46] suppresses this: the candidate face is accepted only if the mixture density it implies at the upwind state,</w:t>
      </w:r>
      <w:r>
        <w:t xml:space="preserve"> </w:t>
      </w:r>
      <m:oMath>
        <m:sSubSup>
          <m:e>
            <m:r>
              <m:t>ρ</m:t>
            </m:r>
          </m:e>
          <m:sub>
            <m:r>
              <m:t>f</m:t>
            </m:r>
          </m:sub>
          <m:sup>
            <m:r>
              <m:rPr>
                <m:sty m:val="p"/>
              </m:rPr>
              <m:t>i</m:t>
            </m:r>
            <m:r>
              <m:rPr>
                <m:sty m:val="p"/>
              </m:rPr>
              <m:t>m</m:t>
            </m:r>
            <m:r>
              <m:rPr>
                <m:sty m:val="p"/>
              </m:rPr>
              <m:t>p</m:t>
            </m:r>
          </m:sup>
        </m:sSubSup>
        <m:r>
          <m:rPr>
            <m:sty m:val="p"/>
          </m:rPr>
          <m:t>=</m:t>
        </m:r>
        <m:sSub>
          <m:e>
            <m:r>
              <m:t>α</m:t>
            </m:r>
          </m:e>
          <m:sub>
            <m:r>
              <m:t>f</m:t>
            </m:r>
          </m:sub>
        </m:sSub>
        <m:r>
          <m:t> </m:t>
        </m:r>
        <m:sSub>
          <m:e>
            <m:r>
              <m:t>ρ</m:t>
            </m:r>
          </m:e>
          <m:sub>
            <m:r>
              <m:t>1</m:t>
            </m:r>
          </m:sub>
        </m:sSub>
        <m:d>
          <m:dPr>
            <m:begChr m:val="("/>
            <m:endChr m:val=")"/>
            <m:sepChr m:val=""/>
            <m:grow/>
          </m:dPr>
          <m:e>
            <m:sSub>
              <m:e>
                <m:r>
                  <m:t>p</m:t>
                </m:r>
              </m:e>
              <m:sub>
                <m:r>
                  <m:rPr>
                    <m:sty m:val="p"/>
                  </m:rPr>
                  <m:t>u</m:t>
                </m:r>
                <m:r>
                  <m:rPr>
                    <m:sty m:val="p"/>
                  </m:rPr>
                  <m:t>p</m:t>
                </m:r>
              </m:sub>
            </m:sSub>
            <m:r>
              <m:rPr>
                <m:sty m:val="p"/>
              </m:rPr>
              <m:t>,</m:t>
            </m:r>
            <m:sSub>
              <m:e>
                <m:r>
                  <m:t>T</m:t>
                </m:r>
              </m:e>
              <m:sub>
                <m:r>
                  <m:rPr>
                    <m:sty m:val="p"/>
                  </m:rPr>
                  <m:t>u</m:t>
                </m:r>
                <m:r>
                  <m:rPr>
                    <m:sty m:val="p"/>
                  </m:rPr>
                  <m:t>p</m:t>
                </m:r>
              </m:sub>
            </m:sSub>
          </m:e>
        </m:d>
        <m:r>
          <m:rPr>
            <m:sty m:val="p"/>
          </m:rPr>
          <m:t>+</m:t>
        </m:r>
        <m:d>
          <m:dPr>
            <m:begChr m:val="("/>
            <m:endChr m:val=")"/>
            <m:sepChr m:val=""/>
            <m:grow/>
          </m:dPr>
          <m:e>
            <m:r>
              <m:t>1</m:t>
            </m:r>
            <m:r>
              <m:rPr>
                <m:sty m:val="p"/>
              </m:rPr>
              <m:t>−</m:t>
            </m:r>
            <m:sSub>
              <m:e>
                <m:r>
                  <m:t>α</m:t>
                </m:r>
              </m:e>
              <m:sub>
                <m:r>
                  <m:t>f</m:t>
                </m:r>
              </m:sub>
            </m:sSub>
          </m:e>
        </m:d>
        <m:r>
          <m:t> </m:t>
        </m:r>
        <m:sSub>
          <m:e>
            <m:r>
              <m:t>ρ</m:t>
            </m:r>
          </m:e>
          <m:sub>
            <m:r>
              <m:t>2</m:t>
            </m:r>
          </m:sub>
        </m:sSub>
        <m:d>
          <m:dPr>
            <m:begChr m:val="("/>
            <m:endChr m:val=")"/>
            <m:sepChr m:val=""/>
            <m:grow/>
          </m:dPr>
          <m:e>
            <m:sSub>
              <m:e>
                <m:r>
                  <m:t>p</m:t>
                </m:r>
              </m:e>
              <m:sub>
                <m:r>
                  <m:rPr>
                    <m:sty m:val="p"/>
                  </m:rPr>
                  <m:t>u</m:t>
                </m:r>
                <m:r>
                  <m:rPr>
                    <m:sty m:val="p"/>
                  </m:rPr>
                  <m:t>p</m:t>
                </m:r>
              </m:sub>
            </m:sSub>
            <m:r>
              <m:rPr>
                <m:sty m:val="p"/>
              </m:rPr>
              <m:t>,</m:t>
            </m:r>
            <m:sSub>
              <m:e>
                <m:r>
                  <m:t>T</m:t>
                </m:r>
              </m:e>
              <m:sub>
                <m:r>
                  <m:rPr>
                    <m:sty m:val="p"/>
                  </m:rPr>
                  <m:t>u</m:t>
                </m:r>
                <m:r>
                  <m:rPr>
                    <m:sty m:val="p"/>
                  </m:rPr>
                  <m:t>p</m:t>
                </m:r>
              </m:sub>
            </m:sSub>
          </m:e>
        </m:d>
      </m:oMath>
      <w:r>
        <w:t xml:space="preserve">, lies within the interval spanned by the two adjacent cell mixture densities; otherwise the face reverts to upwind. The bounds are neighbour values — no new constant. The guard acts only on the volume-fraction face value, never on the mass, momentum or energy fluxes, so it cannot perturb the discrete pressure-equilibrium property (Section 4.3); its measured effect is reported in Section 4.10.</w:t>
      </w:r>
    </w:p>
    <w:bookmarkEnd w:id="30"/>
    <w:bookmarkStart w:id="31" w:name="fully-coupled-newton-solution"/>
    <w:p>
      <w:pPr>
        <w:pStyle w:val="Heading2"/>
      </w:pPr>
      <w:r>
        <w:t xml:space="preserve">3.7 Fully-coupled Newton solution</w:t>
      </w:r>
    </w:p>
    <w:p>
      <w:pPr>
        <w:pStyle w:val="FirstParagraph"/>
      </w:pPr>
      <w:r>
        <w:t xml:space="preserve">The discretised equations are collected in the per-cell residual</w:t>
      </w:r>
      <w:r>
        <w:t xml:space="preserve"> </w:t>
      </w:r>
      <m:oMath>
        <m:sSub>
          <m:e>
            <m:r>
              <m:rPr>
                <m:sty m:val="b"/>
              </m:rPr>
              <m:t>R</m:t>
            </m:r>
          </m:e>
          <m:sub>
            <m:r>
              <m:t>i</m:t>
            </m:r>
          </m:sub>
        </m:sSub>
        <m:r>
          <m:rPr>
            <m:sty m:val="p"/>
          </m:rPr>
          <m:t>=</m:t>
        </m:r>
        <m:d>
          <m:dPr>
            <m:begChr m:val="("/>
            <m:endChr m:val=")"/>
            <m:sepChr m:val=""/>
            <m:grow/>
          </m:dPr>
          <m:e>
            <m:sSubSup>
              <m:e>
                <m:r>
                  <m:t>R</m:t>
                </m:r>
              </m:e>
              <m:sub>
                <m:r>
                  <m:t>i</m:t>
                </m:r>
              </m:sub>
              <m:sup>
                <m:r>
                  <m:t> </m:t>
                </m:r>
                <m:r>
                  <m:t>m</m:t>
                </m:r>
              </m:sup>
            </m:sSubSup>
            <m:r>
              <m:rPr>
                <m:sty m:val="p"/>
              </m:rPr>
              <m:t>,</m:t>
            </m:r>
            <m:sSubSup>
              <m:e>
                <m:r>
                  <m:t>R</m:t>
                </m:r>
              </m:e>
              <m:sub>
                <m:r>
                  <m:t>i</m:t>
                </m:r>
              </m:sub>
              <m:sup>
                <m:r>
                  <m:t> </m:t>
                </m:r>
                <m:r>
                  <m:t>c</m:t>
                </m:r>
              </m:sup>
            </m:sSubSup>
            <m:r>
              <m:rPr>
                <m:sty m:val="p"/>
              </m:rPr>
              <m:t>,</m:t>
            </m:r>
            <m:sSubSup>
              <m:e>
                <m:r>
                  <m:t>R</m:t>
                </m:r>
              </m:e>
              <m:sub>
                <m:r>
                  <m:t>i</m:t>
                </m:r>
              </m:sub>
              <m:sup>
                <m:r>
                  <m:t> </m:t>
                </m:r>
                <m:r>
                  <m:t>e</m:t>
                </m:r>
              </m:sup>
            </m:sSubSup>
          </m:e>
        </m:d>
      </m:oMath>
      <w:r>
        <w:t xml:space="preserve">:</w:t>
      </w:r>
    </w:p>
    <w:p>
      <w:pPr>
        <w:pStyle w:val="BodyText"/>
      </w:pPr>
      <m:oMathPara>
        <m:oMathParaPr>
          <m:jc m:val="center"/>
        </m:oMathParaPr>
        <m:oMath>
          <m:sSubSup>
            <m:e>
              <m:r>
                <m:t>R</m:t>
              </m:r>
            </m:e>
            <m:sub>
              <m:r>
                <m:t>i</m:t>
              </m:r>
            </m:sub>
            <m:sup>
              <m:r>
                <m:t> </m:t>
              </m:r>
              <m:r>
                <m:t>m</m:t>
              </m:r>
            </m:sup>
          </m:sSubSup>
          <m:r>
            <m:rPr>
              <m:sty m:val="p"/>
            </m:rPr>
            <m:t>=</m:t>
          </m:r>
          <m:f>
            <m:fPr>
              <m:type m:val="bar"/>
            </m:fPr>
            <m:num>
              <m:sSub>
                <m:e>
                  <m:r>
                    <m:t>c</m:t>
                  </m:r>
                </m:e>
                <m:sub>
                  <m:r>
                    <m:t>0</m:t>
                  </m:r>
                </m:sub>
              </m:sSub>
              <m:sSub>
                <m:e>
                  <m:r>
                    <m:t>ρ</m:t>
                  </m:r>
                </m:e>
                <m:sub>
                  <m:r>
                    <m:t>i</m:t>
                  </m:r>
                </m:sub>
              </m:sSub>
              <m:sSub>
                <m:e>
                  <m:r>
                    <m:t>u</m:t>
                  </m:r>
                </m:e>
                <m:sub>
                  <m:r>
                    <m:t>i</m:t>
                  </m:r>
                </m:sub>
              </m:sSub>
              <m:r>
                <m:rPr>
                  <m:sty m:val="p"/>
                </m:rPr>
                <m:t>−</m:t>
              </m:r>
              <m:sSubSup>
                <m:e>
                  <m:r>
                    <m:t>Φ</m:t>
                  </m:r>
                </m:e>
                <m:sub>
                  <m:r>
                    <m:t>m</m:t>
                  </m:r>
                  <m:r>
                    <m:rPr>
                      <m:sty m:val="p"/>
                    </m:rPr>
                    <m:t>,</m:t>
                  </m:r>
                  <m:r>
                    <m:t>i</m:t>
                  </m:r>
                </m:sub>
                <m:sup>
                  <m:r>
                    <m:rPr>
                      <m:sty m:val="p"/>
                    </m:rPr>
                    <m:t>o</m:t>
                  </m:r>
                  <m:r>
                    <m:rPr>
                      <m:sty m:val="p"/>
                    </m:rPr>
                    <m:t>l</m:t>
                  </m:r>
                  <m:r>
                    <m:rPr>
                      <m:sty m:val="p"/>
                    </m:rPr>
                    <m:t>d</m:t>
                  </m:r>
                </m:sup>
              </m:sSubSup>
            </m:num>
            <m:den>
              <m:r>
                <m:t>Δ</m:t>
              </m:r>
              <m:r>
                <m:t>t</m:t>
              </m:r>
            </m:den>
          </m:f>
          <m:r>
            <m:t>Δ</m:t>
          </m:r>
          <m:r>
            <m:t>x</m:t>
          </m:r>
          <m:r>
            <m:rPr>
              <m:sty m:val="p"/>
            </m:rPr>
            <m:t>+</m:t>
          </m:r>
          <m:d>
            <m:dPr>
              <m:begChr m:val="("/>
              <m:endChr m:val=")"/>
              <m:sepChr m:val=""/>
              <m:grow/>
            </m:dPr>
            <m:e>
              <m:sSub>
                <m:e>
                  <m:acc>
                    <m:accPr>
                      <m:chr m:val="̇"/>
                    </m:accPr>
                    <m:e>
                      <m:r>
                        <m:t>m</m:t>
                      </m:r>
                    </m:e>
                  </m:acc>
                </m:e>
                <m:sub>
                  <m:r>
                    <m:t>i</m:t>
                  </m:r>
                  <m:r>
                    <m:rPr>
                      <m:sty m:val="p"/>
                    </m:rPr>
                    <m:t>+</m:t>
                  </m:r>
                  <m:r>
                    <m:t>1</m:t>
                  </m:r>
                  <m:r>
                    <m:rPr>
                      <m:sty m:val="p"/>
                    </m:rPr>
                    <m:t>/</m:t>
                  </m:r>
                  <m:r>
                    <m:t>2</m:t>
                  </m:r>
                </m:sub>
              </m:sSub>
              <m:r>
                <m:t> </m:t>
              </m:r>
              <m:sSub>
                <m:e>
                  <m:acc>
                    <m:accPr>
                      <m:chr m:val="̃"/>
                    </m:accPr>
                    <m:e>
                      <m:r>
                        <m:t>u</m:t>
                      </m:r>
                    </m:e>
                  </m:acc>
                </m:e>
                <m:sub>
                  <m:r>
                    <m:t>i</m:t>
                  </m:r>
                  <m:r>
                    <m:rPr>
                      <m:sty m:val="p"/>
                    </m:rPr>
                    <m:t>+</m:t>
                  </m:r>
                  <m:r>
                    <m:t>1</m:t>
                  </m:r>
                  <m:r>
                    <m:rPr>
                      <m:sty m:val="p"/>
                    </m:rPr>
                    <m:t>/</m:t>
                  </m:r>
                  <m:r>
                    <m:t>2</m:t>
                  </m:r>
                </m:sub>
              </m:sSub>
              <m:r>
                <m:rPr>
                  <m:sty m:val="p"/>
                </m:rPr>
                <m:t>−</m:t>
              </m:r>
              <m:sSub>
                <m:e>
                  <m:acc>
                    <m:accPr>
                      <m:chr m:val="̇"/>
                    </m:accPr>
                    <m:e>
                      <m:r>
                        <m:t>m</m:t>
                      </m:r>
                    </m:e>
                  </m:acc>
                </m:e>
                <m:sub>
                  <m:r>
                    <m:t>i</m:t>
                  </m:r>
                  <m:r>
                    <m:rPr>
                      <m:sty m:val="p"/>
                    </m:rPr>
                    <m:t>−</m:t>
                  </m:r>
                  <m:r>
                    <m:t>1</m:t>
                  </m:r>
                  <m:r>
                    <m:rPr>
                      <m:sty m:val="p"/>
                    </m:rPr>
                    <m:t>/</m:t>
                  </m:r>
                  <m:r>
                    <m:t>2</m:t>
                  </m:r>
                </m:sub>
              </m:sSub>
              <m:r>
                <m:t> </m:t>
              </m:r>
              <m:sSub>
                <m:e>
                  <m:acc>
                    <m:accPr>
                      <m:chr m:val="̃"/>
                    </m:accPr>
                    <m:e>
                      <m:r>
                        <m:t>u</m:t>
                      </m:r>
                    </m:e>
                  </m:acc>
                </m:e>
                <m:sub>
                  <m:r>
                    <m:t>i</m:t>
                  </m:r>
                  <m:r>
                    <m:rPr>
                      <m:sty m:val="p"/>
                    </m:rPr>
                    <m:t>−</m:t>
                  </m:r>
                  <m:r>
                    <m:t>1</m:t>
                  </m:r>
                  <m:r>
                    <m:rPr>
                      <m:sty m:val="p"/>
                    </m:rPr>
                    <m:t>/</m:t>
                  </m:r>
                  <m:r>
                    <m:t>2</m:t>
                  </m:r>
                </m:sub>
              </m:sSub>
            </m:e>
          </m:d>
          <m:r>
            <m:rPr>
              <m:sty m:val="p"/>
            </m:rPr>
            <m:t>+</m:t>
          </m:r>
          <m:d>
            <m:dPr>
              <m:begChr m:val="("/>
              <m:endChr m:val=")"/>
              <m:sepChr m:val=""/>
              <m:grow/>
            </m:dPr>
            <m:e>
              <m:sSub>
                <m:e>
                  <m:acc>
                    <m:accPr>
                      <m:chr m:val="‾"/>
                    </m:accPr>
                    <m:e>
                      <m:r>
                        <m:t>p</m:t>
                      </m:r>
                    </m:e>
                  </m:acc>
                </m:e>
                <m:sub>
                  <m:r>
                    <m:t>i</m:t>
                  </m:r>
                  <m:r>
                    <m:rPr>
                      <m:sty m:val="p"/>
                    </m:rPr>
                    <m:t>+</m:t>
                  </m:r>
                  <m:r>
                    <m:t>1</m:t>
                  </m:r>
                  <m:r>
                    <m:rPr>
                      <m:sty m:val="p"/>
                    </m:rPr>
                    <m:t>/</m:t>
                  </m:r>
                  <m:r>
                    <m:t>2</m:t>
                  </m:r>
                </m:sub>
              </m:sSub>
              <m:r>
                <m:rPr>
                  <m:sty m:val="p"/>
                </m:rPr>
                <m:t>−</m:t>
              </m:r>
              <m:sSub>
                <m:e>
                  <m:acc>
                    <m:accPr>
                      <m:chr m:val="‾"/>
                    </m:accPr>
                    <m:e>
                      <m:r>
                        <m:t>p</m:t>
                      </m:r>
                    </m:e>
                  </m:acc>
                </m:e>
                <m:sub>
                  <m:r>
                    <m:t>i</m:t>
                  </m:r>
                  <m:r>
                    <m:rPr>
                      <m:sty m:val="p"/>
                    </m:rPr>
                    <m:t>−</m:t>
                  </m:r>
                  <m:r>
                    <m:t>1</m:t>
                  </m:r>
                  <m:r>
                    <m:rPr>
                      <m:sty m:val="p"/>
                    </m:rPr>
                    <m:t>/</m:t>
                  </m:r>
                  <m:r>
                    <m:t>2</m:t>
                  </m:r>
                </m:sub>
              </m:sSub>
            </m:e>
          </m:d>
          <m:r>
            <m:rPr>
              <m:sty m:val="p"/>
            </m:rPr>
            <m:t>,</m:t>
          </m:r>
        </m:oMath>
      </m:oMathPara>
    </w:p>
    <w:p>
      <w:pPr>
        <w:pStyle w:val="FirstParagraph"/>
      </w:pPr>
      <m:oMathPara>
        <m:oMathParaPr>
          <m:jc m:val="center"/>
        </m:oMathParaPr>
        <m:oMath>
          <m:sSubSup>
            <m:e>
              <m:r>
                <m:t>R</m:t>
              </m:r>
            </m:e>
            <m:sub>
              <m:r>
                <m:t>i</m:t>
              </m:r>
            </m:sub>
            <m:sup>
              <m:r>
                <m:t> </m:t>
              </m:r>
              <m:r>
                <m:t>c</m:t>
              </m:r>
            </m:sup>
          </m:sSubSup>
          <m:r>
            <m:rPr>
              <m:sty m:val="p"/>
            </m:rPr>
            <m:t>=</m:t>
          </m:r>
          <m:f>
            <m:fPr>
              <m:type m:val="bar"/>
            </m:fPr>
            <m:num>
              <m:sSub>
                <m:e>
                  <m:r>
                    <m:t>c</m:t>
                  </m:r>
                </m:e>
                <m:sub>
                  <m:r>
                    <m:t>0</m:t>
                  </m:r>
                </m:sub>
              </m:sSub>
              <m:sSub>
                <m:e>
                  <m:r>
                    <m:t>ρ</m:t>
                  </m:r>
                </m:e>
                <m:sub>
                  <m:r>
                    <m:t>i</m:t>
                  </m:r>
                </m:sub>
              </m:sSub>
              <m:r>
                <m:rPr>
                  <m:sty m:val="p"/>
                </m:rPr>
                <m:t>−</m:t>
              </m:r>
              <m:sSubSup>
                <m:e>
                  <m:r>
                    <m:t>Φ</m:t>
                  </m:r>
                </m:e>
                <m:sub>
                  <m:r>
                    <m:t>c</m:t>
                  </m:r>
                  <m:r>
                    <m:rPr>
                      <m:sty m:val="p"/>
                    </m:rPr>
                    <m:t>,</m:t>
                  </m:r>
                  <m:r>
                    <m:t>i</m:t>
                  </m:r>
                </m:sub>
                <m:sup>
                  <m:r>
                    <m:rPr>
                      <m:sty m:val="p"/>
                    </m:rPr>
                    <m:t>o</m:t>
                  </m:r>
                  <m:r>
                    <m:rPr>
                      <m:sty m:val="p"/>
                    </m:rPr>
                    <m:t>l</m:t>
                  </m:r>
                  <m:r>
                    <m:rPr>
                      <m:sty m:val="p"/>
                    </m:rPr>
                    <m:t>d</m:t>
                  </m:r>
                </m:sup>
              </m:sSubSup>
            </m:num>
            <m:den>
              <m:r>
                <m:t>Δ</m:t>
              </m:r>
              <m:r>
                <m:t>t</m:t>
              </m:r>
            </m:den>
          </m:f>
          <m:r>
            <m:t>Δ</m:t>
          </m:r>
          <m:r>
            <m:t>x</m:t>
          </m:r>
          <m:r>
            <m:rPr>
              <m:sty m:val="p"/>
            </m:rPr>
            <m:t>+</m:t>
          </m:r>
          <m:d>
            <m:dPr>
              <m:begChr m:val="("/>
              <m:endChr m:val=")"/>
              <m:sepChr m:val=""/>
              <m:grow/>
            </m:dPr>
            <m:e>
              <m:sSub>
                <m:e>
                  <m:acc>
                    <m:accPr>
                      <m:chr m:val="̇"/>
                    </m:accPr>
                    <m:e>
                      <m:r>
                        <m:t>m</m:t>
                      </m:r>
                    </m:e>
                  </m:acc>
                </m:e>
                <m:sub>
                  <m:r>
                    <m:t>i</m:t>
                  </m:r>
                  <m:r>
                    <m:rPr>
                      <m:sty m:val="p"/>
                    </m:rPr>
                    <m:t>+</m:t>
                  </m:r>
                  <m:r>
                    <m:t>1</m:t>
                  </m:r>
                  <m:r>
                    <m:rPr>
                      <m:sty m:val="p"/>
                    </m:rPr>
                    <m:t>/</m:t>
                  </m:r>
                  <m:r>
                    <m:t>2</m:t>
                  </m:r>
                </m:sub>
              </m:sSub>
              <m:r>
                <m:rPr>
                  <m:sty m:val="p"/>
                </m:rPr>
                <m:t>−</m:t>
              </m:r>
              <m:sSub>
                <m:e>
                  <m:acc>
                    <m:accPr>
                      <m:chr m:val="̇"/>
                    </m:accPr>
                    <m:e>
                      <m:r>
                        <m:t>m</m:t>
                      </m:r>
                    </m:e>
                  </m:acc>
                </m:e>
                <m:sub>
                  <m:r>
                    <m:t>i</m:t>
                  </m:r>
                  <m:r>
                    <m:rPr>
                      <m:sty m:val="p"/>
                    </m:rPr>
                    <m:t>−</m:t>
                  </m:r>
                  <m:r>
                    <m:t>1</m:t>
                  </m:r>
                  <m:r>
                    <m:rPr>
                      <m:sty m:val="p"/>
                    </m:rPr>
                    <m:t>/</m:t>
                  </m:r>
                  <m:r>
                    <m:t>2</m:t>
                  </m:r>
                </m:sub>
              </m:sSub>
            </m:e>
          </m:d>
          <m:r>
            <m:rPr>
              <m:sty m:val="p"/>
            </m:rPr>
            <m:t>,</m:t>
          </m:r>
        </m:oMath>
      </m:oMathPara>
    </w:p>
    <w:p>
      <w:pPr>
        <w:pStyle w:val="FirstParagraph"/>
      </w:pPr>
      <m:oMathPara>
        <m:oMathParaPr>
          <m:jc m:val="center"/>
        </m:oMathParaPr>
        <m:oMath>
          <m:sSubSup>
            <m:e>
              <m:r>
                <m:t>R</m:t>
              </m:r>
            </m:e>
            <m:sub>
              <m:r>
                <m:t>i</m:t>
              </m:r>
            </m:sub>
            <m:sup>
              <m:r>
                <m:t> </m:t>
              </m:r>
              <m:r>
                <m:t>e</m:t>
              </m:r>
            </m:sup>
          </m:sSubSup>
          <m:r>
            <m:rPr>
              <m:sty m:val="p"/>
            </m:rPr>
            <m:t>=</m:t>
          </m:r>
          <m:f>
            <m:fPr>
              <m:type m:val="bar"/>
            </m:fPr>
            <m:num>
              <m:sSub>
                <m:e>
                  <m:r>
                    <m:t>c</m:t>
                  </m:r>
                </m:e>
                <m:sub>
                  <m:r>
                    <m:t>0</m:t>
                  </m:r>
                </m:sub>
              </m:sSub>
              <m:sSub>
                <m:e>
                  <m:r>
                    <m:t>ρ</m:t>
                  </m:r>
                </m:e>
                <m:sub>
                  <m:r>
                    <m:t>i</m:t>
                  </m:r>
                </m:sub>
              </m:sSub>
              <m:sSub>
                <m:e>
                  <m:r>
                    <m:t>h</m:t>
                  </m:r>
                </m:e>
                <m:sub>
                  <m:r>
                    <m:t>i</m:t>
                  </m:r>
                </m:sub>
              </m:sSub>
              <m:r>
                <m:rPr>
                  <m:sty m:val="p"/>
                </m:rPr>
                <m:t>−</m:t>
              </m:r>
              <m:sSubSup>
                <m:e>
                  <m:r>
                    <m:t>Φ</m:t>
                  </m:r>
                </m:e>
                <m:sub>
                  <m:r>
                    <m:t>e</m:t>
                  </m:r>
                  <m:r>
                    <m:rPr>
                      <m:sty m:val="p"/>
                    </m:rPr>
                    <m:t>,</m:t>
                  </m:r>
                  <m:r>
                    <m:t>i</m:t>
                  </m:r>
                </m:sub>
                <m:sup>
                  <m:r>
                    <m:rPr>
                      <m:sty m:val="p"/>
                    </m:rPr>
                    <m:t>o</m:t>
                  </m:r>
                  <m:r>
                    <m:rPr>
                      <m:sty m:val="p"/>
                    </m:rPr>
                    <m:t>l</m:t>
                  </m:r>
                  <m:r>
                    <m:rPr>
                      <m:sty m:val="p"/>
                    </m:rPr>
                    <m:t>d</m:t>
                  </m:r>
                </m:sup>
              </m:sSubSup>
            </m:num>
            <m:den>
              <m:r>
                <m:t>Δ</m:t>
              </m:r>
              <m:r>
                <m:t>t</m:t>
              </m:r>
            </m:den>
          </m:f>
          <m:r>
            <m:t>Δ</m:t>
          </m:r>
          <m:r>
            <m:t>x</m:t>
          </m:r>
          <m:r>
            <m:rPr>
              <m:sty m:val="p"/>
            </m:rPr>
            <m:t>+</m:t>
          </m:r>
          <m:d>
            <m:dPr>
              <m:begChr m:val="("/>
              <m:endChr m:val=")"/>
              <m:sepChr m:val=""/>
              <m:grow/>
            </m:dPr>
            <m:e>
              <m:sSub>
                <m:e>
                  <m:acc>
                    <m:accPr>
                      <m:chr m:val="̇"/>
                    </m:accPr>
                    <m:e>
                      <m:r>
                        <m:t>m</m:t>
                      </m:r>
                    </m:e>
                  </m:acc>
                </m:e>
                <m:sub>
                  <m:r>
                    <m:t>i</m:t>
                  </m:r>
                  <m:r>
                    <m:rPr>
                      <m:sty m:val="p"/>
                    </m:rPr>
                    <m:t>+</m:t>
                  </m:r>
                  <m:r>
                    <m:t>1</m:t>
                  </m:r>
                  <m:r>
                    <m:rPr>
                      <m:sty m:val="p"/>
                    </m:rPr>
                    <m:t>/</m:t>
                  </m:r>
                  <m:r>
                    <m:t>2</m:t>
                  </m:r>
                </m:sub>
              </m:sSub>
              <m:sSub>
                <m:e>
                  <m:acc>
                    <m:accPr>
                      <m:chr m:val="̃"/>
                    </m:accPr>
                    <m:e>
                      <m:r>
                        <m:t>h</m:t>
                      </m:r>
                    </m:e>
                  </m:acc>
                </m:e>
                <m:sub>
                  <m:r>
                    <m:t>i</m:t>
                  </m:r>
                  <m:r>
                    <m:rPr>
                      <m:sty m:val="p"/>
                    </m:rPr>
                    <m:t>+</m:t>
                  </m:r>
                  <m:r>
                    <m:t>1</m:t>
                  </m:r>
                  <m:r>
                    <m:rPr>
                      <m:sty m:val="p"/>
                    </m:rPr>
                    <m:t>/</m:t>
                  </m:r>
                  <m:r>
                    <m:t>2</m:t>
                  </m:r>
                </m:sub>
              </m:sSub>
              <m:r>
                <m:rPr>
                  <m:sty m:val="p"/>
                </m:rPr>
                <m:t>−</m:t>
              </m:r>
              <m:sSub>
                <m:e>
                  <m:acc>
                    <m:accPr>
                      <m:chr m:val="̇"/>
                    </m:accPr>
                    <m:e>
                      <m:r>
                        <m:t>m</m:t>
                      </m:r>
                    </m:e>
                  </m:acc>
                </m:e>
                <m:sub>
                  <m:r>
                    <m:t>i</m:t>
                  </m:r>
                  <m:r>
                    <m:rPr>
                      <m:sty m:val="p"/>
                    </m:rPr>
                    <m:t>−</m:t>
                  </m:r>
                  <m:r>
                    <m:t>1</m:t>
                  </m:r>
                  <m:r>
                    <m:rPr>
                      <m:sty m:val="p"/>
                    </m:rPr>
                    <m:t>/</m:t>
                  </m:r>
                  <m:r>
                    <m:t>2</m:t>
                  </m:r>
                </m:sub>
              </m:sSub>
              <m:sSub>
                <m:e>
                  <m:acc>
                    <m:accPr>
                      <m:chr m:val="̃"/>
                    </m:accPr>
                    <m:e>
                      <m:r>
                        <m:t>h</m:t>
                      </m:r>
                    </m:e>
                  </m:acc>
                </m:e>
                <m:sub>
                  <m:r>
                    <m:t>i</m:t>
                  </m:r>
                  <m:r>
                    <m:rPr>
                      <m:sty m:val="p"/>
                    </m:rPr>
                    <m:t>−</m:t>
                  </m:r>
                  <m:r>
                    <m:t>1</m:t>
                  </m:r>
                  <m:r>
                    <m:rPr>
                      <m:sty m:val="p"/>
                    </m:rPr>
                    <m:t>/</m:t>
                  </m:r>
                  <m:r>
                    <m:t>2</m:t>
                  </m:r>
                </m:sub>
              </m:sSub>
            </m:e>
          </m:d>
          <m:r>
            <m:rPr>
              <m:sty m:val="p"/>
            </m:rPr>
            <m:t>−</m:t>
          </m:r>
          <m:f>
            <m:fPr>
              <m:type m:val="bar"/>
            </m:fPr>
            <m:num>
              <m:sSub>
                <m:e>
                  <m:r>
                    <m:t>p</m:t>
                  </m:r>
                </m:e>
                <m:sub>
                  <m:r>
                    <m:t>i</m:t>
                  </m:r>
                </m:sub>
              </m:sSub>
              <m:r>
                <m:rPr>
                  <m:sty m:val="p"/>
                </m:rPr>
                <m:t>−</m:t>
              </m:r>
              <m:sSubSup>
                <m:e>
                  <m:r>
                    <m:t>p</m:t>
                  </m:r>
                </m:e>
                <m:sub>
                  <m:r>
                    <m:t>i</m:t>
                  </m:r>
                </m:sub>
                <m:sup>
                  <m:r>
                    <m:t> </m:t>
                  </m:r>
                  <m:r>
                    <m:t>n</m:t>
                  </m:r>
                </m:sup>
              </m:sSubSup>
            </m:num>
            <m:den>
              <m:r>
                <m:t>Δ</m:t>
              </m:r>
              <m:r>
                <m:t>t</m:t>
              </m:r>
            </m:den>
          </m:f>
          <m:r>
            <m:t>Δ</m:t>
          </m:r>
          <m:r>
            <m:t>x</m:t>
          </m:r>
          <m:r>
            <m:rPr>
              <m:sty m:val="p"/>
            </m:rPr>
            <m:t>,</m:t>
          </m:r>
        </m:oMath>
      </m:oMathPara>
    </w:p>
    <w:p>
      <w:pPr>
        <w:pStyle w:val="FirstParagraph"/>
      </w:pPr>
      <w:r>
        <w:t xml:space="preserve">with the ACID mass flux</w:t>
      </w:r>
      <w:r>
        <w:t xml:space="preserve"> </w:t>
      </w:r>
      <m:oMath>
        <m:sSub>
          <m:e>
            <m:acc>
              <m:accPr>
                <m:chr m:val="̇"/>
              </m:accPr>
              <m:e>
                <m:r>
                  <m:t>m</m:t>
                </m:r>
              </m:e>
            </m:acc>
          </m:e>
          <m:sub>
            <m:r>
              <m:t>f</m:t>
            </m:r>
          </m:sub>
        </m:sSub>
        <m:r>
          <m:rPr>
            <m:sty m:val="p"/>
          </m:rPr>
          <m:t>=</m:t>
        </m:r>
        <m:sSubSup>
          <m:e>
            <m:acc>
              <m:accPr>
                <m:chr m:val="̃"/>
              </m:accPr>
              <m:e>
                <m:r>
                  <m:t>ρ</m:t>
                </m:r>
              </m:e>
            </m:acc>
          </m:e>
          <m:sub>
            <m:r>
              <m:t>f</m:t>
            </m:r>
          </m:sub>
          <m:sup>
            <m:d>
              <m:dPr>
                <m:begChr m:val="("/>
                <m:endChr m:val=")"/>
                <m:sepChr m:val=""/>
                <m:grow/>
              </m:dPr>
              <m:e>
                <m:r>
                  <m:t>i</m:t>
                </m:r>
              </m:e>
            </m:d>
          </m:sup>
        </m:sSubSup>
        <m:sSub>
          <m:e>
            <m:r>
              <m:t>ϑ</m:t>
            </m:r>
          </m:e>
          <m:sub>
            <m:r>
              <m:t>f</m:t>
            </m:r>
          </m:sub>
        </m:sSub>
      </m:oMath>
      <w:r>
        <w:t xml:space="preserve">. In the acoustic regime the energy residual takes the conservative total-energy form of Section 3.2, removing the explicit pressure-work source; the shock-capturing regime retains the enthalpy form. The mixture density</w:t>
      </w:r>
      <w:r>
        <w:t xml:space="preserve"> </w:t>
      </w:r>
      <m:oMath>
        <m:sSub>
          <m:e>
            <m:r>
              <m:t>ρ</m:t>
            </m:r>
          </m:e>
          <m:sub>
            <m:r>
              <m:t>i</m:t>
            </m:r>
          </m:sub>
        </m:sSub>
        <m:r>
          <m:rPr>
            <m:sty m:val="p"/>
          </m:rPr>
          <m:t>=</m:t>
        </m:r>
        <m:r>
          <m:t>ρ</m:t>
        </m:r>
        <m:d>
          <m:dPr>
            <m:begChr m:val="("/>
            <m:endChr m:val=")"/>
            <m:sepChr m:val=""/>
            <m:grow/>
          </m:dPr>
          <m:e>
            <m:sSub>
              <m:e>
                <m:r>
                  <m:t>p</m:t>
                </m:r>
              </m:e>
              <m:sub>
                <m:r>
                  <m:t>i</m:t>
                </m:r>
              </m:sub>
            </m:sSub>
            <m:r>
              <m:rPr>
                <m:sty m:val="p"/>
              </m:rPr>
              <m:t>,</m:t>
            </m:r>
            <m:sSub>
              <m:e>
                <m:r>
                  <m:t>T</m:t>
                </m:r>
              </m:e>
              <m:sub>
                <m:r>
                  <m:t>i</m:t>
                </m:r>
              </m:sub>
            </m:sSub>
            <m:r>
              <m:rPr>
                <m:sty m:val="p"/>
              </m:rPr>
              <m:t>,</m:t>
            </m:r>
            <m:sSub>
              <m:e>
                <m:r>
                  <m:t>α</m:t>
                </m:r>
              </m:e>
              <m:sub>
                <m:r>
                  <m:t>i</m:t>
                </m:r>
              </m:sub>
            </m:sSub>
          </m:e>
        </m:d>
      </m:oMath>
      <w:r>
        <w:t xml:space="preserve"> </w:t>
      </w:r>
      <w:r>
        <w:t xml:space="preserve">comes from the equation of state, rendering the continuity equation an implicit constraint on the pressure — the defining property of a pressure-based method [15, 19]. The temperature is recovered at every nonlinear iteration by inverting</w:t>
      </w:r>
    </w:p>
    <w:p>
      <w:pPr>
        <w:pStyle w:val="BodyText"/>
      </w:pPr>
      <m:oMathPara>
        <m:oMathParaPr>
          <m:jc m:val="center"/>
        </m:oMathParaPr>
        <m:oMath>
          <m:sSub>
            <m:e>
              <m:r>
                <m:t>T</m:t>
              </m:r>
            </m:e>
            <m:sub>
              <m:r>
                <m:t>i</m:t>
              </m:r>
            </m:sub>
          </m:sSub>
          <m:r>
            <m:rPr>
              <m:sty m:val="p"/>
            </m:rPr>
            <m:t>=</m:t>
          </m:r>
          <m:f>
            <m:fPr>
              <m:type m:val="bar"/>
            </m:fPr>
            <m:num>
              <m:sSub>
                <m:e>
                  <m:r>
                    <m:t>ρ</m:t>
                  </m:r>
                </m:e>
                <m:sub>
                  <m:r>
                    <m:t>i</m:t>
                  </m:r>
                </m:sub>
              </m:sSub>
              <m:sSub>
                <m:e>
                  <m:r>
                    <m:t>h</m:t>
                  </m:r>
                </m:e>
                <m:sub>
                  <m:r>
                    <m:t>i</m:t>
                  </m:r>
                </m:sub>
              </m:sSub>
              <m:r>
                <m:rPr>
                  <m:sty m:val="p"/>
                </m:rPr>
                <m:t>−</m:t>
              </m:r>
              <m:f>
                <m:fPr>
                  <m:type m:val="lin"/>
                </m:fPr>
                <m:num>
                  <m:r>
                    <m:t>1</m:t>
                  </m:r>
                </m:num>
                <m:den>
                  <m:r>
                    <m:t>2</m:t>
                  </m:r>
                </m:den>
              </m:f>
              <m:sSub>
                <m:e>
                  <m:r>
                    <m:t>ρ</m:t>
                  </m:r>
                </m:e>
                <m:sub>
                  <m:r>
                    <m:t>i</m:t>
                  </m:r>
                </m:sub>
              </m:sSub>
              <m:sSubSup>
                <m:e>
                  <m:r>
                    <m:t>u</m:t>
                  </m:r>
                </m:e>
                <m:sub>
                  <m:r>
                    <m:t>i</m:t>
                  </m:r>
                </m:sub>
                <m:sup>
                  <m:r>
                    <m:t>2</m:t>
                  </m:r>
                </m:sup>
              </m:sSubSup>
              <m:r>
                <m:rPr>
                  <m:sty m:val="p"/>
                </m:rPr>
                <m:t>−</m:t>
              </m:r>
              <m:nary>
                <m:naryPr>
                  <m:chr m:val="∑"/>
                  <m:limLoc m:val="undOvr"/>
                  <m:subHide m:val="off"/>
                  <m:supHide m:val="on"/>
                </m:naryPr>
                <m:sub>
                  <m:r>
                    <m:t>k</m:t>
                  </m:r>
                </m:sub>
                <m:sup>
                  <m:r>
                    <m:t>​</m:t>
                  </m:r>
                </m:sup>
                <m:e>
                  <m:sSub>
                    <m:e>
                      <m:r>
                        <m:t>α</m:t>
                      </m:r>
                    </m:e>
                    <m:sub>
                      <m:r>
                        <m:t>k</m:t>
                      </m:r>
                    </m:sub>
                  </m:sSub>
                </m:e>
              </m:nary>
              <m:sSub>
                <m:e>
                  <m:r>
                    <m:t>ρ</m:t>
                  </m:r>
                </m:e>
                <m:sub>
                  <m:r>
                    <m:t>k</m:t>
                  </m:r>
                </m:sub>
              </m:sSub>
              <m:d>
                <m:dPr>
                  <m:begChr m:val="("/>
                  <m:endChr m:val=")"/>
                  <m:sepChr m:val=""/>
                  <m:grow/>
                </m:dPr>
                <m:e>
                  <m:sSub>
                    <m:e>
                      <m:r>
                        <m:t>b</m:t>
                      </m:r>
                    </m:e>
                    <m:sub>
                      <m:r>
                        <m:t>k</m:t>
                      </m:r>
                    </m:sub>
                  </m:sSub>
                  <m:sSub>
                    <m:e>
                      <m:r>
                        <m:t>p</m:t>
                      </m:r>
                    </m:e>
                    <m:sub>
                      <m:r>
                        <m:t>i</m:t>
                      </m:r>
                    </m:sub>
                  </m:sSub>
                  <m:r>
                    <m:rPr>
                      <m:sty m:val="p"/>
                    </m:rPr>
                    <m:t>+</m:t>
                  </m:r>
                  <m:sSub>
                    <m:e>
                      <m:r>
                        <m:t>η</m:t>
                      </m:r>
                    </m:e>
                    <m:sub>
                      <m:r>
                        <m:t>k</m:t>
                      </m:r>
                    </m:sub>
                  </m:sSub>
                </m:e>
              </m:d>
            </m:num>
            <m:den>
              <m:nary>
                <m:naryPr>
                  <m:chr m:val="∑"/>
                  <m:limLoc m:val="undOvr"/>
                  <m:subHide m:val="off"/>
                  <m:supHide m:val="on"/>
                </m:naryPr>
                <m:sub>
                  <m:r>
                    <m:t>k</m:t>
                  </m:r>
                </m:sub>
                <m:sup>
                  <m:r>
                    <m:t>​</m:t>
                  </m:r>
                </m:sup>
                <m:e>
                  <m:sSub>
                    <m:e>
                      <m:r>
                        <m:t>α</m:t>
                      </m:r>
                    </m:e>
                    <m:sub>
                      <m:r>
                        <m:t>k</m:t>
                      </m:r>
                    </m:sub>
                  </m:sSub>
                </m:e>
              </m:nary>
              <m:sSub>
                <m:e>
                  <m:r>
                    <m:t>ρ</m:t>
                  </m:r>
                </m:e>
                <m:sub>
                  <m:r>
                    <m:t>k</m:t>
                  </m:r>
                </m:sub>
              </m:sSub>
              <m:sSub>
                <m:e>
                  <m:r>
                    <m:t>γ</m:t>
                  </m:r>
                </m:e>
                <m:sub>
                  <m:r>
                    <m:t>k</m:t>
                  </m:r>
                </m:sub>
              </m:sSub>
              <m:sSub>
                <m:e>
                  <m:r>
                    <m:t>c</m:t>
                  </m:r>
                </m:e>
                <m:sub>
                  <m:r>
                    <m:t>v</m:t>
                  </m:r>
                  <m:r>
                    <m:rPr>
                      <m:sty m:val="p"/>
                    </m:rPr>
                    <m:t>,</m:t>
                  </m:r>
                  <m:r>
                    <m:t>k</m:t>
                  </m:r>
                </m:sub>
              </m:sSub>
            </m:den>
          </m:f>
          <m:r>
            <m:rPr>
              <m:sty m:val="p"/>
            </m:rPr>
            <m:t>,</m:t>
          </m:r>
        </m:oMath>
      </m:oMathPara>
    </w:p>
    <w:p>
      <w:pPr>
        <w:pStyle w:val="FirstParagraph"/>
      </w:pPr>
      <w:r>
        <w:t xml:space="preserve">under-relaxed by 1/2 with rejection of transiently non-physical iterates — necessary for robustness in the strong-shock cases; at convergence the relation holds exactly. Each Newton iteration solves</w:t>
      </w:r>
      <w:r>
        <w:t xml:space="preserve"> </w:t>
      </w:r>
      <m:oMath>
        <m:r>
          <m:rPr>
            <m:sty m:val="b"/>
          </m:rPr>
          <m:t>J</m:t>
        </m:r>
        <m:r>
          <m:t> </m:t>
        </m:r>
        <m:r>
          <m:t>δ</m:t>
        </m:r>
        <m:r>
          <m:rPr>
            <m:sty m:val="b"/>
          </m:rPr>
          <m:t>q</m:t>
        </m:r>
        <m:r>
          <m:rPr>
            <m:sty m:val="p"/>
          </m:rPr>
          <m:t>=</m:t>
        </m:r>
        <m:r>
          <m:rPr>
            <m:sty m:val="p"/>
          </m:rPr>
          <m:t>−</m:t>
        </m:r>
        <m:r>
          <m:rPr>
            <m:sty m:val="b"/>
          </m:rPr>
          <m:t>R</m:t>
        </m:r>
        <m:d>
          <m:dPr>
            <m:begChr m:val="("/>
            <m:endChr m:val=")"/>
            <m:sepChr m:val=""/>
            <m:grow/>
          </m:dPr>
          <m:e>
            <m:sSup>
              <m:e>
                <m:r>
                  <m:rPr>
                    <m:sty m:val="b"/>
                  </m:rPr>
                  <m:t>q</m:t>
                </m:r>
              </m:e>
              <m:sup>
                <m:d>
                  <m:dPr>
                    <m:begChr m:val="("/>
                    <m:endChr m:val=")"/>
                    <m:sepChr m:val=""/>
                    <m:grow/>
                  </m:dPr>
                  <m:e>
                    <m:r>
                      <m:t>k</m:t>
                    </m:r>
                  </m:e>
                </m:d>
              </m:sup>
            </m:sSup>
          </m:e>
        </m:d>
      </m:oMath>
      <w:r>
        <w:t xml:space="preserve">,</w:t>
      </w:r>
      <w:r>
        <w:t xml:space="preserve"> </w:t>
      </w:r>
      <m:oMath>
        <m:sSup>
          <m:e>
            <m:r>
              <m:rPr>
                <m:sty m:val="b"/>
              </m:rPr>
              <m:t>q</m:t>
            </m:r>
          </m:e>
          <m:sup>
            <m:d>
              <m:dPr>
                <m:begChr m:val="("/>
                <m:endChr m:val=")"/>
                <m:sepChr m:val=""/>
                <m:grow/>
              </m:dPr>
              <m:e>
                <m:r>
                  <m:t>k</m:t>
                </m:r>
                <m:r>
                  <m:rPr>
                    <m:sty m:val="p"/>
                  </m:rPr>
                  <m:t>+</m:t>
                </m:r>
                <m:r>
                  <m:t>1</m:t>
                </m:r>
              </m:e>
            </m:d>
          </m:sup>
        </m:sSup>
        <m:r>
          <m:rPr>
            <m:sty m:val="p"/>
          </m:rPr>
          <m:t>=</m:t>
        </m:r>
        <m:sSup>
          <m:e>
            <m:r>
              <m:rPr>
                <m:sty m:val="b"/>
              </m:rPr>
              <m:t>q</m:t>
            </m:r>
          </m:e>
          <m:sup>
            <m:d>
              <m:dPr>
                <m:begChr m:val="("/>
                <m:endChr m:val=")"/>
                <m:sepChr m:val=""/>
                <m:grow/>
              </m:dPr>
              <m:e>
                <m:r>
                  <m:t>k</m:t>
                </m:r>
              </m:e>
            </m:d>
          </m:sup>
        </m:sSup>
        <m:r>
          <m:rPr>
            <m:sty m:val="p"/>
          </m:rPr>
          <m:t>+</m:t>
        </m:r>
        <m:r>
          <m:t>λ</m:t>
        </m:r>
        <m:r>
          <m:t> </m:t>
        </m:r>
        <m:r>
          <m:t>δ</m:t>
        </m:r>
        <m:r>
          <m:rPr>
            <m:sty m:val="b"/>
          </m:rPr>
          <m:t>q</m:t>
        </m:r>
      </m:oMath>
      <w:r>
        <w:t xml:space="preserve">, with</w:t>
      </w:r>
      <w:r>
        <w:t xml:space="preserve"> </w:t>
      </w:r>
      <m:oMath>
        <m:r>
          <m:t>λ</m:t>
        </m:r>
      </m:oMath>
      <w:r>
        <w:t xml:space="preserve"> </w:t>
      </w:r>
      <w:r>
        <w:t xml:space="preserve">from the line search of Section 3.9. The iteration is in defect-correction form:</w:t>
      </w:r>
      <w:r>
        <w:t xml:space="preserve"> </w:t>
      </w:r>
      <m:oMath>
        <m:r>
          <m:rPr>
            <m:sty m:val="b"/>
          </m:rPr>
          <m:t>R</m:t>
        </m:r>
      </m:oMath>
      <w:r>
        <w:t xml:space="preserve"> </w:t>
      </w:r>
      <w:r>
        <w:t xml:space="preserve">is always evaluated exactly, so the converged solution is independent of any approximation in</w:t>
      </w:r>
      <w:r>
        <w:t xml:space="preserve"> </w:t>
      </w:r>
      <m:oMath>
        <m:r>
          <m:rPr>
            <m:sty m:val="b"/>
          </m:rPr>
          <m:t>J</m:t>
        </m:r>
      </m:oMath>
      <w:r>
        <w:t xml:space="preserve">. Convergence requires</w:t>
      </w:r>
      <w:r>
        <w:t xml:space="preserve"> </w:t>
      </w:r>
      <m:oMath>
        <m:r>
          <m:rPr>
            <m:sty m:val="p"/>
          </m:rPr>
          <m:t>∥</m:t>
        </m:r>
        <m:r>
          <m:t>δ</m:t>
        </m:r>
        <m:r>
          <m:t>u</m:t>
        </m:r>
        <m:sSub>
          <m:e>
            <m:r>
              <m:rPr>
                <m:sty m:val="p"/>
              </m:rPr>
              <m:t>∥</m:t>
            </m:r>
          </m:e>
          <m:sub>
            <m:r>
              <m:rPr>
                <m:sty m:val="p"/>
              </m:rPr>
              <m:t>∞</m:t>
            </m:r>
          </m:sub>
        </m:sSub>
        <m:r>
          <m:rPr>
            <m:sty m:val="p"/>
          </m:rPr>
          <m:t>&lt;</m:t>
        </m:r>
        <m:sSup>
          <m:e>
            <m:r>
              <m:t>10</m:t>
            </m:r>
          </m:e>
          <m:sup>
            <m:r>
              <m:rPr>
                <m:sty m:val="p"/>
              </m:rPr>
              <m:t>−</m:t>
            </m:r>
            <m:r>
              <m:t>8</m:t>
            </m:r>
          </m:sup>
        </m:sSup>
        <m:r>
          <m:t> </m:t>
        </m:r>
        <m:sSub>
          <m:e>
            <m:r>
              <m:t>λ</m:t>
            </m:r>
          </m:e>
          <m:sub>
            <m:r>
              <m:rPr>
                <m:sty m:val="p"/>
              </m:rPr>
              <m:t>max</m:t>
            </m:r>
          </m:sub>
        </m:sSub>
      </m:oMath>
      <w:r>
        <w:t xml:space="preserve"> </w:t>
      </w:r>
      <w:r>
        <w:t xml:space="preserve">and</w:t>
      </w:r>
      <w:r>
        <w:t xml:space="preserve"> </w:t>
      </w:r>
      <m:oMath>
        <m:r>
          <m:rPr>
            <m:sty m:val="p"/>
          </m:rPr>
          <m:t>∥</m:t>
        </m:r>
        <m:r>
          <m:t>δ</m:t>
        </m:r>
        <m:r>
          <m:t>p</m:t>
        </m:r>
        <m:sSub>
          <m:e>
            <m:r>
              <m:rPr>
                <m:sty m:val="p"/>
              </m:rPr>
              <m:t>∥</m:t>
            </m:r>
          </m:e>
          <m:sub>
            <m:r>
              <m:rPr>
                <m:sty m:val="p"/>
              </m:rPr>
              <m:t>∞</m:t>
            </m:r>
          </m:sub>
        </m:sSub>
        <m:r>
          <m:rPr>
            <m:sty m:val="p"/>
          </m:rPr>
          <m:t>&lt;</m:t>
        </m:r>
        <m:sSup>
          <m:e>
            <m:r>
              <m:t>10</m:t>
            </m:r>
          </m:e>
          <m:sup>
            <m:r>
              <m:rPr>
                <m:sty m:val="p"/>
              </m:rPr>
              <m:t>−</m:t>
            </m:r>
            <m:r>
              <m:t>8</m:t>
            </m:r>
          </m:sup>
        </m:sSup>
        <m:r>
          <m:t> </m:t>
        </m:r>
        <m:sSub>
          <m:e>
            <m:r>
              <m:t>p</m:t>
            </m:r>
          </m:e>
          <m:sub>
            <m:r>
              <m:rPr>
                <m:sty m:val="p"/>
              </m:rPr>
              <m:t>max</m:t>
            </m:r>
          </m:sub>
        </m:sSub>
      </m:oMath>
      <w:r>
        <w:t xml:space="preserve">, with an analogous test on the enthalpy.</w:t>
      </w:r>
    </w:p>
    <w:bookmarkEnd w:id="31"/>
    <w:bookmarkStart w:id="32" w:name="exact-analytical-jacobian"/>
    <w:p>
      <w:pPr>
        <w:pStyle w:val="Heading2"/>
      </w:pPr>
      <w:r>
        <w:t xml:space="preserve">3.8 Exact analytical Jacobian</w:t>
      </w:r>
    </w:p>
    <w:p>
      <w:pPr>
        <w:pStyle w:val="FirstParagraph"/>
      </w:pPr>
      <w:r>
        <w:t xml:space="preserve">The Jacobian has, in one dimension, the block-pentadiagonal structure</w:t>
      </w:r>
      <w:r>
        <w:t xml:space="preserve"> </w:t>
      </w:r>
      <m:oMath>
        <m:r>
          <m:rPr>
            <m:sty m:val="b"/>
          </m:rPr>
          <m:t>J</m:t>
        </m:r>
        <m:r>
          <m:rPr>
            <m:sty m:val="p"/>
          </m:rPr>
          <m:t>=</m:t>
        </m:r>
        <m:r>
          <m:rPr>
            <m:sty m:val="p"/>
          </m:rPr>
          <m:t>p</m:t>
        </m:r>
        <m:r>
          <m:rPr>
            <m:sty m:val="p"/>
          </m:rPr>
          <m:t>e</m:t>
        </m:r>
        <m:r>
          <m:rPr>
            <m:sty m:val="p"/>
          </m:rPr>
          <m:t>n</m:t>
        </m:r>
        <m:r>
          <m:rPr>
            <m:sty m:val="p"/>
          </m:rPr>
          <m:t>t</m:t>
        </m:r>
        <m:r>
          <m:rPr>
            <m:sty m:val="p"/>
          </m:rPr>
          <m:t>a</m:t>
        </m:r>
        <m:d>
          <m:dPr>
            <m:begChr m:val="("/>
            <m:endChr m:val=")"/>
            <m:sepChr m:val=""/>
            <m:grow/>
          </m:dPr>
          <m:e>
            <m:sSub>
              <m:e>
                <m:r>
                  <m:rPr>
                    <m:sty m:val="b"/>
                  </m:rPr>
                  <m:t>E</m:t>
                </m:r>
              </m:e>
              <m:sub>
                <m:r>
                  <m:t>i</m:t>
                </m:r>
              </m:sub>
            </m:sSub>
            <m:r>
              <m:rPr>
                <m:sty m:val="p"/>
              </m:rPr>
              <m:t>,</m:t>
            </m:r>
            <m:sSub>
              <m:e>
                <m:r>
                  <m:rPr>
                    <m:sty m:val="b"/>
                  </m:rPr>
                  <m:t>A</m:t>
                </m:r>
              </m:e>
              <m:sub>
                <m:r>
                  <m:t>i</m:t>
                </m:r>
              </m:sub>
            </m:sSub>
            <m:r>
              <m:rPr>
                <m:sty m:val="p"/>
              </m:rPr>
              <m:t>,</m:t>
            </m:r>
            <m:sSub>
              <m:e>
                <m:r>
                  <m:rPr>
                    <m:sty m:val="b"/>
                  </m:rPr>
                  <m:t>B</m:t>
                </m:r>
              </m:e>
              <m:sub>
                <m:r>
                  <m:t>i</m:t>
                </m:r>
              </m:sub>
            </m:sSub>
            <m:r>
              <m:rPr>
                <m:sty m:val="p"/>
              </m:rPr>
              <m:t>,</m:t>
            </m:r>
            <m:sSub>
              <m:e>
                <m:r>
                  <m:rPr>
                    <m:sty m:val="b"/>
                  </m:rPr>
                  <m:t>C</m:t>
                </m:r>
              </m:e>
              <m:sub>
                <m:r>
                  <m:t>i</m:t>
                </m:r>
              </m:sub>
            </m:sSub>
            <m:r>
              <m:rPr>
                <m:sty m:val="p"/>
              </m:rPr>
              <m:t>,</m:t>
            </m:r>
            <m:sSub>
              <m:e>
                <m:r>
                  <m:rPr>
                    <m:sty m:val="b"/>
                  </m:rPr>
                  <m:t>F</m:t>
                </m:r>
              </m:e>
              <m:sub>
                <m:r>
                  <m:t>i</m:t>
                </m:r>
              </m:sub>
            </m:sSub>
          </m:e>
        </m:d>
      </m:oMath>
      <w:r>
        <w:t xml:space="preserve"> </w:t>
      </w:r>
      <w:r>
        <w:t xml:space="preserve">with</w:t>
      </w:r>
      <w:r>
        <w:t xml:space="preserve"> </w:t>
      </w:r>
      <m:oMath>
        <m:sSub>
          <m:e>
            <m:r>
              <m:rPr>
                <m:sty m:val="b"/>
              </m:rPr>
              <m:t>B</m:t>
            </m:r>
          </m:e>
          <m:sub>
            <m:r>
              <m:t>i</m:t>
            </m:r>
          </m:sub>
        </m:sSub>
        <m:r>
          <m:rPr>
            <m:sty m:val="p"/>
          </m:rPr>
          <m:t>=</m:t>
        </m:r>
        <m:r>
          <m:rPr>
            <m:sty m:val="p"/>
          </m:rPr>
          <m:t>∂</m:t>
        </m:r>
        <m:sSub>
          <m:e>
            <m:r>
              <m:rPr>
                <m:sty m:val="b"/>
              </m:rPr>
              <m:t>R</m:t>
            </m:r>
          </m:e>
          <m:sub>
            <m:r>
              <m:t>i</m:t>
            </m:r>
          </m:sub>
        </m:sSub>
        <m:r>
          <m:rPr>
            <m:sty m:val="p"/>
          </m:rPr>
          <m:t>/</m:t>
        </m:r>
        <m:r>
          <m:rPr>
            <m:sty m:val="p"/>
          </m:rPr>
          <m:t>∂</m:t>
        </m:r>
        <m:sSub>
          <m:e>
            <m:r>
              <m:rPr>
                <m:sty m:val="b"/>
              </m:rPr>
              <m:t>q</m:t>
            </m:r>
          </m:e>
          <m:sub>
            <m:r>
              <m:t>i</m:t>
            </m:r>
          </m:sub>
        </m:sSub>
        <m:r>
          <m:rPr>
            <m:sty m:val="p"/>
          </m:rPr>
          <m:t>∈</m:t>
        </m:r>
        <m:sSup>
          <m:e>
            <m:r>
              <m:rPr>
                <m:sty m:val="p"/>
                <m:scr m:val="double-struck"/>
              </m:rPr>
              <m:t>R</m:t>
            </m:r>
          </m:e>
          <m:sup>
            <m:r>
              <m:t>3</m:t>
            </m:r>
            <m:r>
              <m:rPr>
                <m:sty m:val="p"/>
              </m:rPr>
              <m:t>×</m:t>
            </m:r>
            <m:r>
              <m:t>3</m:t>
            </m:r>
          </m:sup>
        </m:sSup>
      </m:oMath>
      <w:r>
        <w:t xml:space="preserve">, the second off-diagonals arising from the wide MWI pressure-gradient stencil and the fourth-order face interpolation. The blocks are assembled in closed form from four groups: (i)</w:t>
      </w:r>
      <w:r>
        <w:t xml:space="preserve"> </w:t>
      </w:r>
      <w:r>
        <w:rPr>
          <w:i/>
          <w:iCs/>
        </w:rPr>
        <w:t xml:space="preserve">transient terms</w:t>
      </w:r>
      <w:r>
        <w:t xml:space="preserve">, e.g. </w:t>
      </w:r>
      <m:oMath>
        <m:r>
          <m:rPr>
            <m:sty m:val="p"/>
          </m:rPr>
          <m:t>∂</m:t>
        </m:r>
        <m:sSubSup>
          <m:e>
            <m:r>
              <m:t>R</m:t>
            </m:r>
          </m:e>
          <m:sub>
            <m:r>
              <m:t>i</m:t>
            </m:r>
          </m:sub>
          <m:sup>
            <m:r>
              <m:t> </m:t>
            </m:r>
            <m:r>
              <m:t>c</m:t>
            </m:r>
          </m:sup>
        </m:sSubSup>
        <m:r>
          <m:rPr>
            <m:sty m:val="p"/>
          </m:rPr>
          <m:t>/</m:t>
        </m:r>
        <m:r>
          <m:rPr>
            <m:sty m:val="p"/>
          </m:rPr>
          <m:t>∂</m:t>
        </m:r>
        <m:sSub>
          <m:e>
            <m:r>
              <m:t>p</m:t>
            </m:r>
          </m:e>
          <m:sub>
            <m:r>
              <m:t>i</m:t>
            </m:r>
          </m:sub>
        </m:sSub>
        <m:r>
          <m:rPr>
            <m:sty m:val="p"/>
          </m:rPr>
          <m:t>=</m:t>
        </m:r>
        <m:sSub>
          <m:e>
            <m:r>
              <m:t>c</m:t>
            </m:r>
          </m:e>
          <m:sub>
            <m:r>
              <m:t>0</m:t>
            </m:r>
          </m:sub>
        </m:sSub>
        <m:sSub>
          <m:e>
            <m:d>
              <m:dPr>
                <m:begChr m:val="("/>
                <m:endChr m:val=")"/>
                <m:sepChr m:val=""/>
                <m:grow/>
              </m:dPr>
              <m:e>
                <m:r>
                  <m:rPr>
                    <m:sty m:val="p"/>
                  </m:rPr>
                  <m:t>∂</m:t>
                </m:r>
                <m:r>
                  <m:t>ρ</m:t>
                </m:r>
                <m:r>
                  <m:rPr>
                    <m:sty m:val="p"/>
                  </m:rPr>
                  <m:t>/</m:t>
                </m:r>
                <m:r>
                  <m:rPr>
                    <m:sty m:val="p"/>
                  </m:rPr>
                  <m:t>∂</m:t>
                </m:r>
                <m:r>
                  <m:t>p</m:t>
                </m:r>
              </m:e>
            </m:d>
          </m:e>
          <m:sub>
            <m:r>
              <m:t>T</m:t>
            </m:r>
          </m:sub>
        </m:sSub>
        <m:r>
          <m:t> </m:t>
        </m:r>
        <m:r>
          <m:t>Δ</m:t>
        </m:r>
        <m:r>
          <m:t>x</m:t>
        </m:r>
        <m:r>
          <m:rPr>
            <m:sty m:val="p"/>
          </m:rPr>
          <m:t>/</m:t>
        </m:r>
        <m:r>
          <m:t>Δ</m:t>
        </m:r>
        <m:r>
          <m:t>t</m:t>
        </m:r>
      </m:oMath>
      <w:r>
        <w:t xml:space="preserve"> </w:t>
      </w:r>
      <w:r>
        <w:t xml:space="preserve">with the NASG derivatives of Appendix A; (ii)</w:t>
      </w:r>
      <w:r>
        <w:t xml:space="preserve"> </w:t>
      </w:r>
      <w:r>
        <w:rPr>
          <w:i/>
          <w:iCs/>
        </w:rPr>
        <w:t xml:space="preserve">convective fluxes via the upwind chain</w:t>
      </w:r>
      <w:r>
        <w:t xml:space="preserve">, where the temperature recovery contributes the factor</w:t>
      </w:r>
      <w:r>
        <w:t xml:space="preserve"> </w:t>
      </w:r>
      <m:oMath>
        <m:r>
          <m:rPr>
            <m:sty m:val="p"/>
          </m:rPr>
          <m:t>∂</m:t>
        </m:r>
        <m:r>
          <m:t>T</m:t>
        </m:r>
        <m:r>
          <m:rPr>
            <m:sty m:val="p"/>
          </m:rPr>
          <m:t>/</m:t>
        </m:r>
        <m:r>
          <m:rPr>
            <m:sty m:val="p"/>
          </m:rPr>
          <m:t>∂</m:t>
        </m:r>
        <m:r>
          <m:t>h</m:t>
        </m:r>
        <m:r>
          <m:rPr>
            <m:sty m:val="p"/>
          </m:rPr>
          <m:t>=</m:t>
        </m:r>
        <m:r>
          <m:t>ρ</m:t>
        </m:r>
        <m:r>
          <m:rPr>
            <m:sty m:val="p"/>
          </m:rPr>
          <m:t>/</m:t>
        </m:r>
        <m:nary>
          <m:naryPr>
            <m:chr m:val="∑"/>
            <m:limLoc m:val="undOvr"/>
            <m:subHide m:val="off"/>
            <m:supHide m:val="on"/>
          </m:naryPr>
          <m:sub>
            <m:r>
              <m:t>k</m:t>
            </m:r>
          </m:sub>
          <m:sup>
            <m:r>
              <m:t>​</m:t>
            </m:r>
          </m:sup>
          <m:e>
            <m:sSub>
              <m:e>
                <m:r>
                  <m:t>α</m:t>
                </m:r>
              </m:e>
              <m:sub>
                <m:r>
                  <m:t>k</m:t>
                </m:r>
              </m:sub>
            </m:sSub>
          </m:e>
        </m:nary>
        <m:sSub>
          <m:e>
            <m:r>
              <m:t>ρ</m:t>
            </m:r>
          </m:e>
          <m:sub>
            <m:r>
              <m:t>k</m:t>
            </m:r>
          </m:sub>
        </m:sSub>
        <m:sSub>
          <m:e>
            <m:r>
              <m:t>γ</m:t>
            </m:r>
          </m:e>
          <m:sub>
            <m:r>
              <m:t>k</m:t>
            </m:r>
          </m:sub>
        </m:sSub>
        <m:sSub>
          <m:e>
            <m:r>
              <m:t>c</m:t>
            </m:r>
          </m:e>
          <m:sub>
            <m:r>
              <m:t>v</m:t>
            </m:r>
            <m:r>
              <m:rPr>
                <m:sty m:val="p"/>
              </m:rPr>
              <m:t>,</m:t>
            </m:r>
            <m:r>
              <m:t>k</m:t>
            </m:r>
          </m:sub>
        </m:sSub>
      </m:oMath>
      <w:r>
        <w:t xml:space="preserve"> </w:t>
      </w:r>
      <w:r>
        <w:t xml:space="preserve">so that e.g. </w:t>
      </w:r>
      <m:oMath>
        <m:r>
          <m:rPr>
            <m:sty m:val="p"/>
          </m:rPr>
          <m:t>∂</m:t>
        </m:r>
        <m:sSub>
          <m:e>
            <m:acc>
              <m:accPr>
                <m:chr m:val="̇"/>
              </m:accPr>
              <m:e>
                <m:r>
                  <m:t>m</m:t>
                </m:r>
              </m:e>
            </m:acc>
          </m:e>
          <m:sub>
            <m:r>
              <m:t>f</m:t>
            </m:r>
          </m:sub>
        </m:sSub>
        <m:r>
          <m:rPr>
            <m:sty m:val="p"/>
          </m:rPr>
          <m:t>/</m:t>
        </m:r>
        <m:r>
          <m:rPr>
            <m:sty m:val="p"/>
          </m:rPr>
          <m:t>∂</m:t>
        </m:r>
        <m:sSub>
          <m:e>
            <m:r>
              <m:t>p</m:t>
            </m:r>
          </m:e>
          <m:sub>
            <m:r>
              <m:rPr>
                <m:sty m:val="p"/>
              </m:rPr>
              <m:t>u</m:t>
            </m:r>
            <m:r>
              <m:rPr>
                <m:sty m:val="p"/>
              </m:rPr>
              <m:t>p</m:t>
            </m:r>
          </m:sub>
        </m:sSub>
        <m:r>
          <m:rPr>
            <m:sty m:val="p"/>
          </m:rPr>
          <m:t>=</m:t>
        </m:r>
        <m:sSub>
          <m:e>
            <m:r>
              <m:t>ϑ</m:t>
            </m:r>
          </m:e>
          <m:sub>
            <m:r>
              <m:t>f</m:t>
            </m:r>
          </m:sub>
        </m:sSub>
        <m:r>
          <m:t> </m:t>
        </m:r>
        <m:r>
          <m:rPr>
            <m:sty m:val="p"/>
          </m:rPr>
          <m:t>∂</m:t>
        </m:r>
        <m:sSub>
          <m:e>
            <m:acc>
              <m:accPr>
                <m:chr m:val="̃"/>
              </m:accPr>
              <m:e>
                <m:r>
                  <m:t>ρ</m:t>
                </m:r>
              </m:e>
            </m:acc>
          </m:e>
          <m:sub>
            <m:r>
              <m:t>f</m:t>
            </m:r>
          </m:sub>
        </m:sSub>
        <m:r>
          <m:rPr>
            <m:sty m:val="p"/>
          </m:rPr>
          <m:t>/</m:t>
        </m:r>
        <m:r>
          <m:rPr>
            <m:sty m:val="p"/>
          </m:rPr>
          <m:t>∂</m:t>
        </m:r>
        <m:sSub>
          <m:e>
            <m:r>
              <m:t>p</m:t>
            </m:r>
          </m:e>
          <m:sub>
            <m:r>
              <m:rPr>
                <m:sty m:val="p"/>
              </m:rPr>
              <m:t>u</m:t>
            </m:r>
            <m:r>
              <m:rPr>
                <m:sty m:val="p"/>
              </m:rPr>
              <m:t>p</m:t>
            </m:r>
          </m:sub>
        </m:sSub>
      </m:oMath>
      <w:r>
        <w:t xml:space="preserve"> </w:t>
      </w:r>
      <w:r>
        <w:t xml:space="preserve">is closed-form; (iii)</w:t>
      </w:r>
      <w:r>
        <w:t xml:space="preserve"> </w:t>
      </w:r>
      <w:r>
        <w:rPr>
          <w:i/>
          <w:iCs/>
        </w:rPr>
        <w:t xml:space="preserve">pressure-force terms</w:t>
      </w:r>
      <w:r>
        <w:t xml:space="preserve"> </w:t>
      </w:r>
      <w:r>
        <w:t xml:space="preserve">through the central or fourth-order face weights,</w:t>
      </w:r>
      <w:r>
        <w:t xml:space="preserve"> </w:t>
      </w:r>
      <m:oMath>
        <m:r>
          <m:t>j</m:t>
        </m:r>
        <m:r>
          <m:rPr>
            <m:sty m:val="p"/>
          </m:rPr>
          <m:t>=</m:t>
        </m:r>
        <m:r>
          <m:t>i</m:t>
        </m:r>
        <m:r>
          <m:rPr>
            <m:sty m:val="p"/>
          </m:rPr>
          <m:t>−</m:t>
        </m:r>
        <m:r>
          <m:t>2</m:t>
        </m:r>
        <m:r>
          <m:rPr>
            <m:sty m:val="p"/>
          </m:rPr>
          <m:t>,</m:t>
        </m:r>
        <m:r>
          <m:rPr>
            <m:sty m:val="p"/>
          </m:rPr>
          <m:t>…</m:t>
        </m:r>
        <m:r>
          <m:rPr>
            <m:sty m:val="p"/>
          </m:rPr>
          <m:t>,</m:t>
        </m:r>
        <m:r>
          <m:t>i</m:t>
        </m:r>
        <m:r>
          <m:rPr>
            <m:sty m:val="p"/>
          </m:rPr>
          <m:t>+</m:t>
        </m:r>
        <m:r>
          <m:t>2</m:t>
        </m:r>
      </m:oMath>
      <w:r>
        <w:t xml:space="preserve">; and (iv)</w:t>
      </w:r>
      <w:r>
        <w:t xml:space="preserve"> </w:t>
      </w:r>
      <w:r>
        <w:rPr>
          <w:i/>
          <w:iCs/>
        </w:rPr>
        <w:t xml:space="preserve">MWI cross-coupling</w:t>
      </w:r>
      <w:r>
        <w:t xml:space="preserve">: the advecting velocity depends on up to four cells’ pressures,</w:t>
      </w:r>
    </w:p>
    <w:p>
      <w:pPr>
        <w:pStyle w:val="BodyText"/>
      </w:pPr>
      <m:oMathPara>
        <m:oMathParaPr>
          <m:jc m:val="center"/>
        </m:oMathParaPr>
        <m:oMath>
          <m:f>
            <m:fPr>
              <m:type m:val="bar"/>
            </m:fPr>
            <m:num>
              <m:r>
                <m:rPr>
                  <m:sty m:val="p"/>
                </m:rPr>
                <m:t>∂</m:t>
              </m:r>
              <m:sSub>
                <m:e>
                  <m:r>
                    <m:t>ϑ</m:t>
                  </m:r>
                </m:e>
                <m:sub>
                  <m:r>
                    <m:t>f</m:t>
                  </m:r>
                </m:sub>
              </m:sSub>
            </m:num>
            <m:den>
              <m:r>
                <m:rPr>
                  <m:sty m:val="p"/>
                </m:rPr>
                <m:t>∂</m:t>
              </m:r>
              <m:sSub>
                <m:e>
                  <m:r>
                    <m:t>p</m:t>
                  </m:r>
                </m:e>
                <m:sub>
                  <m:r>
                    <m:t>j</m:t>
                  </m:r>
                </m:sub>
              </m:sSub>
            </m:den>
          </m:f>
          <m:r>
            <m:rPr>
              <m:sty m:val="p"/>
            </m:rPr>
            <m:t>=</m:t>
          </m:r>
          <m:r>
            <m:rPr>
              <m:sty m:val="p"/>
            </m:rPr>
            <m:t>−</m:t>
          </m:r>
          <m:sSub>
            <m:e>
              <m:acc>
                <m:accPr>
                  <m:chr m:val="̂"/>
                </m:accPr>
                <m:e>
                  <m:r>
                    <m:t>d</m:t>
                  </m:r>
                </m:e>
              </m:acc>
            </m:e>
            <m:sub>
              <m:r>
                <m:t>f</m:t>
              </m:r>
            </m:sub>
          </m:sSub>
          <m:d>
            <m:dPr>
              <m:begChr m:val="("/>
              <m:endChr m:val=")"/>
              <m:sepChr m:val=""/>
              <m:grow/>
            </m:dPr>
            <m:e>
              <m:f>
                <m:fPr>
                  <m:type m:val="bar"/>
                </m:fPr>
                <m:num>
                  <m:r>
                    <m:rPr>
                      <m:sty m:val="p"/>
                    </m:rPr>
                    <m:t>∂</m:t>
                  </m:r>
                </m:num>
                <m:den>
                  <m:r>
                    <m:rPr>
                      <m:sty m:val="p"/>
                    </m:rPr>
                    <m:t>∂</m:t>
                  </m:r>
                  <m:sSub>
                    <m:e>
                      <m:r>
                        <m:t>p</m:t>
                      </m:r>
                    </m:e>
                    <m:sub>
                      <m:r>
                        <m:t>j</m:t>
                      </m:r>
                    </m:sub>
                  </m:sSub>
                </m:den>
              </m:f>
              <m:d>
                <m:dPr>
                  <m:begChr m:val="["/>
                  <m:endChr m:val="]"/>
                  <m:sepChr m:val=""/>
                  <m:grow/>
                </m:dPr>
                <m:e>
                  <m:f>
                    <m:fPr>
                      <m:type m:val="bar"/>
                    </m:fPr>
                    <m:num>
                      <m:sSub>
                        <m:e>
                          <m:r>
                            <m:t>p</m:t>
                          </m:r>
                        </m:e>
                        <m:sub>
                          <m:r>
                            <m:t>i</m:t>
                          </m:r>
                          <m:r>
                            <m:rPr>
                              <m:sty m:val="p"/>
                            </m:rPr>
                            <m:t>+</m:t>
                          </m:r>
                          <m:r>
                            <m:t>1</m:t>
                          </m:r>
                        </m:sub>
                      </m:sSub>
                      <m:r>
                        <m:rPr>
                          <m:sty m:val="p"/>
                        </m:rPr>
                        <m:t>−</m:t>
                      </m:r>
                      <m:sSub>
                        <m:e>
                          <m:r>
                            <m:t>p</m:t>
                          </m:r>
                        </m:e>
                        <m:sub>
                          <m:r>
                            <m:t>i</m:t>
                          </m:r>
                        </m:sub>
                      </m:sSub>
                    </m:num>
                    <m:den>
                      <m:r>
                        <m:t>Δ</m:t>
                      </m:r>
                      <m:r>
                        <m:t>x</m:t>
                      </m:r>
                    </m:den>
                  </m:f>
                </m:e>
              </m:d>
              <m:r>
                <m:rPr>
                  <m:sty m:val="p"/>
                </m:rPr>
                <m:t>−</m:t>
              </m:r>
              <m:f>
                <m:fPr>
                  <m:type m:val="bar"/>
                </m:fPr>
                <m:num>
                  <m:r>
                    <m:rPr>
                      <m:sty m:val="p"/>
                    </m:rPr>
                    <m:t>∂</m:t>
                  </m:r>
                </m:num>
                <m:den>
                  <m:r>
                    <m:rPr>
                      <m:sty m:val="p"/>
                    </m:rPr>
                    <m:t>∂</m:t>
                  </m:r>
                  <m:sSub>
                    <m:e>
                      <m:r>
                        <m:t>p</m:t>
                      </m:r>
                    </m:e>
                    <m:sub>
                      <m:r>
                        <m:t>j</m:t>
                      </m:r>
                    </m:sub>
                  </m:sSub>
                </m:den>
              </m:f>
              <m:sSub>
                <m:e>
                  <m:bar>
                    <m:barPr>
                      <m:pos m:val="top"/>
                    </m:barPr>
                    <m:e>
                      <m:d>
                        <m:dPr>
                          <m:begChr m:val="("/>
                          <m:endChr m:val=")"/>
                          <m:sepChr m:val=""/>
                          <m:grow/>
                        </m:dPr>
                        <m:e>
                          <m:f>
                            <m:fPr>
                              <m:type m:val="bar"/>
                            </m:fPr>
                            <m:num>
                              <m:r>
                                <m:rPr>
                                  <m:sty m:val="p"/>
                                </m:rPr>
                                <m:t>∂</m:t>
                              </m:r>
                              <m:r>
                                <m:t>p</m:t>
                              </m:r>
                            </m:num>
                            <m:den>
                              <m:r>
                                <m:rPr>
                                  <m:sty m:val="p"/>
                                </m:rPr>
                                <m:t>∂</m:t>
                              </m:r>
                              <m:r>
                                <m:t>x</m:t>
                              </m:r>
                            </m:den>
                          </m:f>
                        </m:e>
                      </m:d>
                    </m:e>
                  </m:bar>
                </m:e>
                <m:sub>
                  <m:r>
                    <m:t>f</m:t>
                  </m:r>
                </m:sub>
              </m:sSub>
            </m:e>
          </m:d>
          <m:r>
            <m:rPr>
              <m:sty m:val="p"/>
            </m:rPr>
            <m:t>⋅</m:t>
          </m:r>
          <m:sSub>
            <m:e>
              <m:r>
                <m:t>χ</m:t>
              </m:r>
            </m:e>
            <m:sub>
              <m:r>
                <m:t>f</m:t>
              </m:r>
            </m:sub>
          </m:sSub>
          <m:r>
            <m:rPr>
              <m:sty m:val="p"/>
            </m:rPr>
            <m:t>,</m:t>
          </m:r>
        </m:oMath>
      </m:oMathPara>
    </w:p>
    <w:p>
      <w:pPr>
        <w:pStyle w:val="FirstParagraph"/>
      </w:pPr>
      <w:r>
        <w:t xml:space="preserve">with</w:t>
      </w:r>
      <w:r>
        <w:t xml:space="preserve"> </w:t>
      </w:r>
      <m:oMath>
        <m:sSub>
          <m:e>
            <m:r>
              <m:t>χ</m:t>
            </m:r>
          </m:e>
          <m:sub>
            <m:r>
              <m:t>f</m:t>
            </m:r>
          </m:sub>
        </m:sSub>
        <m:r>
          <m:rPr>
            <m:sty m:val="p"/>
          </m:rPr>
          <m:t>∈</m:t>
        </m:r>
        <m:r>
          <m:rPr>
            <m:sty m:val="p"/>
          </m:rPr>
          <m:t>{</m:t>
        </m:r>
        <m:r>
          <m:t>0</m:t>
        </m:r>
        <m:r>
          <m:rPr>
            <m:sty m:val="p"/>
          </m:rPr>
          <m:t>,</m:t>
        </m:r>
        <m:r>
          <m:t>1</m:t>
        </m:r>
        <m:r>
          <m:rPr>
            <m:sty m:val="p"/>
          </m:rPr>
          <m:t>}</m:t>
        </m:r>
      </m:oMath>
      <w:r>
        <w:t xml:space="preserve"> </w:t>
      </w:r>
      <w:r>
        <w:t xml:space="preserve">deactivating the derivative where the sound-speed bound is active, and on the densities through the interpolation coefficient,</w:t>
      </w:r>
    </w:p>
    <w:p>
      <w:pPr>
        <w:pStyle w:val="BodyText"/>
      </w:pPr>
      <m:oMathPara>
        <m:oMathParaPr>
          <m:jc m:val="center"/>
        </m:oMathParaPr>
        <m:oMath>
          <m:f>
            <m:fPr>
              <m:type m:val="bar"/>
            </m:fPr>
            <m:num>
              <m:r>
                <m:rPr>
                  <m:sty m:val="p"/>
                </m:rPr>
                <m:t>∂</m:t>
              </m:r>
              <m:sSub>
                <m:e>
                  <m:r>
                    <m:t>ϑ</m:t>
                  </m:r>
                </m:e>
                <m:sub>
                  <m:r>
                    <m:t>f</m:t>
                  </m:r>
                </m:sub>
              </m:sSub>
            </m:num>
            <m:den>
              <m:r>
                <m:rPr>
                  <m:sty m:val="p"/>
                </m:rPr>
                <m:t>∂</m:t>
              </m:r>
              <m:sSub>
                <m:e>
                  <m:r>
                    <m:t>ρ</m:t>
                  </m:r>
                </m:e>
                <m:sub>
                  <m:r>
                    <m:t>j</m:t>
                  </m:r>
                </m:sub>
              </m:sSub>
            </m:den>
          </m:f>
          <m:r>
            <m:rPr>
              <m:sty m:val="p"/>
            </m:rPr>
            <m:t>=</m:t>
          </m:r>
          <m:r>
            <m:rPr>
              <m:sty m:val="p"/>
            </m:rPr>
            <m:t>−</m:t>
          </m:r>
          <m:d>
            <m:dPr>
              <m:begChr m:val="("/>
              <m:endChr m:val=")"/>
              <m:sepChr m:val=""/>
              <m:grow/>
            </m:dPr>
            <m:e>
              <m:f>
                <m:fPr>
                  <m:type m:val="bar"/>
                </m:fPr>
                <m:num>
                  <m:r>
                    <m:rPr>
                      <m:sty m:val="p"/>
                    </m:rPr>
                    <m:t>∂</m:t>
                  </m:r>
                  <m:sSub>
                    <m:e>
                      <m:acc>
                        <m:accPr>
                          <m:chr m:val="̂"/>
                        </m:accPr>
                        <m:e>
                          <m:r>
                            <m:t>d</m:t>
                          </m:r>
                        </m:e>
                      </m:acc>
                    </m:e>
                    <m:sub>
                      <m:r>
                        <m:t>f</m:t>
                      </m:r>
                    </m:sub>
                  </m:sSub>
                </m:num>
                <m:den>
                  <m:r>
                    <m:rPr>
                      <m:sty m:val="p"/>
                    </m:rPr>
                    <m:t>∂</m:t>
                  </m:r>
                  <m:sSub>
                    <m:e>
                      <m:r>
                        <m:t>ρ</m:t>
                      </m:r>
                    </m:e>
                    <m:sub>
                      <m:r>
                        <m:t>j</m:t>
                      </m:r>
                    </m:sub>
                  </m:sSub>
                </m:den>
              </m:f>
            </m:e>
          </m:d>
          <m:d>
            <m:dPr>
              <m:begChr m:val="["/>
              <m:endChr m:val="]"/>
              <m:sepChr m:val=""/>
              <m:grow/>
            </m:dPr>
            <m:e>
              <m:sSubSup>
                <m:e>
                  <m:d>
                    <m:dPr>
                      <m:begChr m:val="("/>
                      <m:endChr m:val=")"/>
                      <m:sepChr m:val=""/>
                      <m:grow/>
                    </m:dPr>
                    <m:e>
                      <m:f>
                        <m:fPr>
                          <m:type m:val="bar"/>
                        </m:fPr>
                        <m:num>
                          <m:r>
                            <m:rPr>
                              <m:sty m:val="p"/>
                            </m:rPr>
                            <m:t>∂</m:t>
                          </m:r>
                          <m:r>
                            <m:t>p</m:t>
                          </m:r>
                        </m:num>
                        <m:den>
                          <m:r>
                            <m:rPr>
                              <m:sty m:val="p"/>
                            </m:rPr>
                            <m:t>∂</m:t>
                          </m:r>
                          <m:r>
                            <m:t>x</m:t>
                          </m:r>
                        </m:den>
                      </m:f>
                    </m:e>
                  </m:d>
                </m:e>
                <m:sub>
                  <m:r>
                    <m:t>f</m:t>
                  </m:r>
                </m:sub>
                <m:sup>
                  <m:r>
                    <m:rPr>
                      <m:sty m:val="p"/>
                    </m:rPr>
                    <m:t>c</m:t>
                  </m:r>
                  <m:r>
                    <m:rPr>
                      <m:sty m:val="p"/>
                    </m:rPr>
                    <m:t>o</m:t>
                  </m:r>
                  <m:r>
                    <m:rPr>
                      <m:sty m:val="p"/>
                    </m:rPr>
                    <m:t>m</m:t>
                  </m:r>
                  <m:r>
                    <m:rPr>
                      <m:sty m:val="p"/>
                    </m:rPr>
                    <m:t>p</m:t>
                  </m:r>
                  <m:r>
                    <m:rPr>
                      <m:sty m:val="p"/>
                    </m:rPr>
                    <m:t>a</m:t>
                  </m:r>
                  <m:r>
                    <m:rPr>
                      <m:sty m:val="p"/>
                    </m:rPr>
                    <m:t>c</m:t>
                  </m:r>
                  <m:r>
                    <m:rPr>
                      <m:sty m:val="p"/>
                    </m:rPr>
                    <m:t>t</m:t>
                  </m:r>
                </m:sup>
              </m:sSubSup>
              <m:r>
                <m:rPr>
                  <m:sty m:val="p"/>
                </m:rPr>
                <m:t>−</m:t>
              </m:r>
              <m:sSub>
                <m:e>
                  <m:bar>
                    <m:barPr>
                      <m:pos m:val="top"/>
                    </m:barPr>
                    <m:e>
                      <m:d>
                        <m:dPr>
                          <m:begChr m:val="("/>
                          <m:endChr m:val=")"/>
                          <m:sepChr m:val=""/>
                          <m:grow/>
                        </m:dPr>
                        <m:e>
                          <m:f>
                            <m:fPr>
                              <m:type m:val="bar"/>
                            </m:fPr>
                            <m:num>
                              <m:r>
                                <m:rPr>
                                  <m:sty m:val="p"/>
                                </m:rPr>
                                <m:t>∂</m:t>
                              </m:r>
                              <m:r>
                                <m:t>p</m:t>
                              </m:r>
                            </m:num>
                            <m:den>
                              <m:r>
                                <m:rPr>
                                  <m:sty m:val="p"/>
                                </m:rPr>
                                <m:t>∂</m:t>
                              </m:r>
                              <m:r>
                                <m:t>x</m:t>
                              </m:r>
                            </m:den>
                          </m:f>
                        </m:e>
                      </m:d>
                    </m:e>
                  </m:bar>
                </m:e>
                <m:sub>
                  <m:r>
                    <m:t>f</m:t>
                  </m:r>
                </m:sub>
              </m:sSub>
            </m:e>
          </m:d>
          <m:r>
            <m:rPr>
              <m:sty m:val="p"/>
            </m:rPr>
            <m:t>,</m:t>
          </m:r>
        </m:oMath>
      </m:oMathPara>
    </w:p>
    <w:p>
      <w:pPr>
        <w:pStyle w:val="FirstParagraph"/>
      </w:pPr>
      <w:r>
        <w:t xml:space="preserve">with the gradient difference frozen at the current iterate. These terms propagate into all three residuals through the mass flux and are, to our knowledge, those most commonly replaced by deferred evaluation; the complete block entries are listed in Appendix C.</w:t>
      </w:r>
    </w:p>
    <w:p>
      <w:pPr>
        <w:pStyle w:val="BodyText"/>
      </w:pPr>
      <w:r>
        <w:t xml:space="preserve">The analytical assembly requires one pass over the faces; the baseline graph-coloured finite-difference (FD) Jacobian requires 15 perturbed residual evaluations per assembly (pentadiagonal coupling, three variables), optionally reused over</w:t>
      </w:r>
      <w:r>
        <w:t xml:space="preserve"> </w:t>
      </w:r>
      <m:oMath>
        <m:r>
          <m:t>K</m:t>
        </m:r>
      </m:oMath>
      <w:r>
        <w:t xml:space="preserve"> </w:t>
      </w:r>
      <w:r>
        <w:t xml:space="preserve">iterations (modified Newton). The residual being exact, all variants converge to identical solutions, permitting a controlled cost comparison (Section 4.17). The linear solve is a direct block-pentadiagonal factorisation, linear in</w:t>
      </w:r>
      <w:r>
        <w:t xml:space="preserve"> </w:t>
      </w:r>
      <m:oMath>
        <m:r>
          <m:t>N</m:t>
        </m:r>
      </m:oMath>
      <w:r>
        <w:t xml:space="preserve">. The acoustic (TR-BDF2) regime presently uses the FD assembly — by defect-correction invariance the converged solution is unchanged, and restoring the analytical assembly there is straightforward.</w:t>
      </w:r>
    </w:p>
    <w:bookmarkEnd w:id="32"/>
    <w:bookmarkStart w:id="33" w:name="globalisation"/>
    <w:p>
      <w:pPr>
        <w:pStyle w:val="Heading2"/>
      </w:pPr>
      <w:r>
        <w:t xml:space="preserve">3.9 Globalisation</w:t>
      </w:r>
    </w:p>
    <w:p>
      <w:pPr>
        <w:pStyle w:val="FirstParagraph"/>
      </w:pPr>
      <w:r>
        <w:t xml:space="preserve">Newton’s method on the strong-shock and near-vacuum cases requires safeguards; the following, with all thresholds fixed once for all cases, proved sufficient: (i) a</w:t>
      </w:r>
      <w:r>
        <w:t xml:space="preserve"> </w:t>
      </w:r>
      <w:r>
        <w:rPr>
          <w:i/>
          <w:iCs/>
        </w:rPr>
        <w:t xml:space="preserve">backtracking line search</w:t>
      </w:r>
      <w:r>
        <w:t xml:space="preserve"> </w:t>
      </w:r>
      <w:r>
        <w:t xml:space="preserve">(</w:t>
      </w:r>
      <m:oMath>
        <m:r>
          <m:t>λ</m:t>
        </m:r>
      </m:oMath>
      <w:r>
        <w:t xml:space="preserve"> </w:t>
      </w:r>
      <w:r>
        <w:t xml:space="preserve">halved until the residual norm decreases); (ii) a</w:t>
      </w:r>
      <w:r>
        <w:t xml:space="preserve"> </w:t>
      </w:r>
      <w:r>
        <w:rPr>
          <w:i/>
          <w:iCs/>
        </w:rPr>
        <w:t xml:space="preserve">best-iterate fallback</w:t>
      </w:r>
      <w:r>
        <w:t xml:space="preserve"> </w:t>
      </w:r>
      <w:r>
        <w:t xml:space="preserve">(the lowest-residual iterate is accepted if the tolerance is not met); (iii)</w:t>
      </w:r>
      <w:r>
        <w:t xml:space="preserve"> </w:t>
      </w:r>
      <w:r>
        <w:rPr>
          <w:i/>
          <w:iCs/>
        </w:rPr>
        <w:t xml:space="preserve">stall detection</w:t>
      </w:r>
      <w:r>
        <w:t xml:space="preserve"> </w:t>
      </w:r>
      <w:r>
        <w:t xml:space="preserve">(no improvement over five iterations terminates early — the near-vacuum situation, where the line search pins at the volume-fraction admissibility limit); (iv)</w:t>
      </w:r>
      <w:r>
        <w:t xml:space="preserve"> </w:t>
      </w:r>
      <w:r>
        <w:rPr>
          <w:i/>
          <w:iCs/>
        </w:rPr>
        <w:t xml:space="preserve">progress-based step control</w:t>
      </w:r>
      <w:r>
        <w:t xml:space="preserve"> </w:t>
      </w:r>
      <w:r>
        <w:t xml:space="preserve">(an unconverged, no-progress step halves the time-step and retries, with a persistent scale factor on the CFL step recovering geometrically, factor 1.5 per clean step); (v) an</w:t>
      </w:r>
      <w:r>
        <w:t xml:space="preserve"> </w:t>
      </w:r>
      <w:r>
        <w:rPr>
          <w:i/>
          <w:iCs/>
        </w:rPr>
        <w:t xml:space="preserve">admissibility guard</w:t>
      </w:r>
      <w:r>
        <w:t xml:space="preserve"> </w:t>
      </w:r>
      <w:r>
        <w:t xml:space="preserve">(non-finite states or velocities an order of magnitude beyond the problem scale reject the step). The time step follows the acoustic CFL condition</w:t>
      </w:r>
      <w:r>
        <w:t xml:space="preserve"> </w:t>
      </w:r>
      <m:oMath>
        <m:r>
          <m:t>Δ</m:t>
        </m:r>
        <m:r>
          <m:t>t</m:t>
        </m:r>
        <m:r>
          <m:rPr>
            <m:sty m:val="p"/>
          </m:rPr>
          <m:t>=</m:t>
        </m:r>
        <m:r>
          <m:rPr>
            <m:sty m:val="p"/>
          </m:rPr>
          <m:t>C</m:t>
        </m:r>
        <m:r>
          <m:rPr>
            <m:sty m:val="p"/>
          </m:rPr>
          <m:t>o</m:t>
        </m:r>
        <m:r>
          <m:t> </m:t>
        </m:r>
        <m:r>
          <m:t>Δ</m:t>
        </m:r>
        <m:r>
          <m:t>x</m:t>
        </m:r>
        <m:r>
          <m:rPr>
            <m:sty m:val="p"/>
          </m:rPr>
          <m:t>/</m:t>
        </m:r>
        <m:sSub>
          <m:e>
            <m:r>
              <m:rPr>
                <m:sty m:val="p"/>
              </m:rPr>
              <m:t>max</m:t>
            </m:r>
          </m:e>
          <m:sub>
            <m:r>
              <m:t>i</m:t>
            </m:r>
          </m:sub>
        </m:sSub>
        <m:d>
          <m:dPr>
            <m:begChr m:val="("/>
            <m:endChr m:val=")"/>
            <m:sepChr m:val=""/>
            <m:grow/>
          </m:dPr>
          <m:e>
            <m:d>
              <m:dPr>
                <m:begChr m:val="|"/>
                <m:endChr m:val="|"/>
                <m:sepChr m:val=""/>
                <m:grow/>
              </m:dPr>
              <m:e>
                <m:sSub>
                  <m:e>
                    <m:r>
                      <m:t>u</m:t>
                    </m:r>
                  </m:e>
                  <m:sub>
                    <m:r>
                      <m:t>i</m:t>
                    </m:r>
                  </m:sub>
                </m:sSub>
              </m:e>
            </m:d>
            <m:r>
              <m:rPr>
                <m:sty m:val="p"/>
              </m:rPr>
              <m:t>+</m:t>
            </m:r>
            <m:sSub>
              <m:e>
                <m:r>
                  <m:t>c</m:t>
                </m:r>
              </m:e>
              <m:sub>
                <m:r>
                  <m:t>i</m:t>
                </m:r>
              </m:sub>
            </m:sSub>
          </m:e>
        </m:d>
      </m:oMath>
      <w:r>
        <w:t xml:space="preserve">; the algorithm is acoustically implicit, so Co is an accuracy rather than a stability parameter.</w:t>
      </w:r>
    </w:p>
    <w:bookmarkEnd w:id="33"/>
    <w:bookmarkStart w:id="34" w:name="summary-of-the-algorithm"/>
    <w:p>
      <w:pPr>
        <w:pStyle w:val="Heading2"/>
      </w:pPr>
      <w:r>
        <w:t xml:space="preserve">3.10 Summary of the algorithm</w:t>
      </w:r>
    </w:p>
    <w:p>
      <w:pPr>
        <w:pStyle w:val="FirstParagraph"/>
      </w:pPr>
      <w:r>
        <w:t xml:space="preserve">Per time step: (1) select</w:t>
      </w:r>
      <w:r>
        <w:t xml:space="preserve"> </w:t>
      </w:r>
      <m:oMath>
        <m:r>
          <m:t>Δ</m:t>
        </m:r>
        <m:r>
          <m:t>t</m:t>
        </m:r>
      </m:oMath>
      <w:r>
        <w:t xml:space="preserve">; (2) advance</w:t>
      </w:r>
      <w:r>
        <w:t xml:space="preserve"> </w:t>
      </w:r>
      <m:oMath>
        <m:r>
          <m:t>α</m:t>
        </m:r>
      </m:oMath>
      <w:r>
        <w:t xml:space="preserve"> </w:t>
      </w:r>
      <w:r>
        <w:t xml:space="preserve">(Section 3.6) and re-evaluate the old-level mixture quantities with the new</w:t>
      </w:r>
      <w:r>
        <w:t xml:space="preserve"> </w:t>
      </w:r>
      <m:oMath>
        <m:r>
          <m:t>α</m:t>
        </m:r>
      </m:oMath>
      <w:r>
        <w:t xml:space="preserve">; (3) assemble transient coefficients and regime indicators; (4) Newton iterations on</w:t>
      </w:r>
      <w:r>
        <w:t xml:space="preserve"> </w:t>
      </w:r>
      <m:oMath>
        <m:d>
          <m:dPr>
            <m:begChr m:val="("/>
            <m:endChr m:val=")"/>
            <m:sepChr m:val=""/>
            <m:grow/>
          </m:dPr>
          <m:e>
            <m:r>
              <m:t>u</m:t>
            </m:r>
            <m:r>
              <m:rPr>
                <m:sty m:val="p"/>
              </m:rPr>
              <m:t>,</m:t>
            </m:r>
            <m:r>
              <m:t>p</m:t>
            </m:r>
            <m:r>
              <m:rPr>
                <m:sty m:val="p"/>
              </m:rPr>
              <m:t>,</m:t>
            </m:r>
            <m:r>
              <m:t>h</m:t>
            </m:r>
          </m:e>
        </m:d>
      </m:oMath>
      <w:r>
        <w:t xml:space="preserve"> </w:t>
      </w:r>
      <w:r>
        <w:t xml:space="preserve">— two TR-BDF2 stages in the acoustic regime — with residual evaluation, Jacobian assembly, pentadiagonal solve, line search and temperature recovery; (5) accept subject to the admissibility guard, else halve</w:t>
      </w:r>
      <w:r>
        <w:t xml:space="preserve"> </w:t>
      </w:r>
      <m:oMath>
        <m:r>
          <m:t>Δ</m:t>
        </m:r>
        <m:r>
          <m:t>t</m:t>
        </m:r>
      </m:oMath>
      <w:r>
        <w:t xml:space="preserve"> </w:t>
      </w:r>
      <w:r>
        <w:t xml:space="preserve">and return to (2); (6) store the MWI memory.</w:t>
      </w:r>
    </w:p>
    <w:bookmarkEnd w:id="34"/>
    <w:bookmarkStart w:id="35" w:name="parameter-policy"/>
    <w:p>
      <w:pPr>
        <w:pStyle w:val="Heading2"/>
      </w:pPr>
      <w:r>
        <w:t xml:space="preserve">3.11 Parameter policy</w:t>
      </w:r>
    </w:p>
    <w:p>
      <w:pPr>
        <w:pStyle w:val="FirstParagraph"/>
      </w:pPr>
      <w:r>
        <w:t xml:space="preserve">One global parameter set is used for every case: acoustic Courant number</w:t>
      </w:r>
      <w:r>
        <w:t xml:space="preserve"> </w:t>
      </w:r>
      <m:oMath>
        <m:r>
          <m:rPr>
            <m:sty m:val="p"/>
          </m:rPr>
          <m:t>C</m:t>
        </m:r>
        <m:r>
          <m:rPr>
            <m:sty m:val="p"/>
          </m:rPr>
          <m:t>o</m:t>
        </m:r>
        <m:r>
          <m:rPr>
            <m:sty m:val="p"/>
          </m:rPr>
          <m:t>=</m:t>
        </m:r>
        <m:r>
          <m:t>0.45</m:t>
        </m:r>
      </m:oMath>
      <w:r>
        <w:t xml:space="preserve">, THINC steepness</w:t>
      </w:r>
      <w:r>
        <w:t xml:space="preserve"> </w:t>
      </w:r>
      <m:oMath>
        <m:r>
          <m:t>β</m:t>
        </m:r>
        <m:r>
          <m:rPr>
            <m:sty m:val="p"/>
          </m:rPr>
          <m:t>=</m:t>
        </m:r>
        <m:r>
          <m:t>3.5</m:t>
        </m:r>
      </m:oMath>
      <w:r>
        <w:t xml:space="preserve">, and the TR-BDF2 constant</w:t>
      </w:r>
      <w:r>
        <w:t xml:space="preserve"> </w:t>
      </w:r>
      <m:oMath>
        <m:r>
          <m:t>γ</m:t>
        </m:r>
        <m:r>
          <m:rPr>
            <m:sty m:val="p"/>
          </m:rPr>
          <m:t>=</m:t>
        </m:r>
        <m:r>
          <m:t>2</m:t>
        </m:r>
        <m:r>
          <m:rPr>
            <m:sty m:val="p"/>
          </m:rPr>
          <m:t>−</m:t>
        </m:r>
        <m:rad>
          <m:radPr>
            <m:degHide m:val="on"/>
          </m:radPr>
          <m:deg/>
          <m:e>
            <m:r>
              <m:t>2</m:t>
            </m:r>
          </m:e>
        </m:rad>
      </m:oMath>
      <w:r>
        <w:t xml:space="preserve"> </w:t>
      </w:r>
      <w:r>
        <w:t xml:space="preserve">(mathematically fixed). Regime selection — BE versus TR-BDF2, first-order versus high-order reconstruction, material versus acoustic time-step — is made from local physical indicators (pressure ratio, time-harmonic-source detector, local velocity), never from the case identity; in particular the material step of a purely advected contact is auto-detected from near-uniform pressure with no acoustic source. All per-case numerical coefficients, advection-coefficient switches and tuned dissipation multipliers of earlier versions of this work have been removed; the entire suite runs on these defaults.</w:t>
      </w:r>
    </w:p>
    <w:bookmarkEnd w:id="35"/>
    <w:bookmarkEnd w:id="36"/>
    <w:bookmarkStart w:id="117" w:name="verification-suite-and-results"/>
    <w:p>
      <w:pPr>
        <w:pStyle w:val="Heading1"/>
      </w:pPr>
      <w:r>
        <w:t xml:space="preserve">4. Verification suite and results</w:t>
      </w:r>
    </w:p>
    <w:bookmarkStart w:id="37" w:name="test-matrix-and-references"/>
    <w:p>
      <w:pPr>
        <w:pStyle w:val="Heading2"/>
      </w:pPr>
      <w:r>
        <w:t xml:space="preserve">4.1 Test matrix and references</w:t>
      </w:r>
    </w:p>
    <w:p>
      <w:pPr>
        <w:pStyle w:val="FirstParagraph"/>
      </w:pPr>
      <w:r>
        <w:t xml:space="preserve">Table 2 summarises the nineteen benchmarks; solver case identifiers are used throughout. Cases 01–15 follow the verification programme of Ref. [17]; cases 26–36 add the single-phase strong shocks (Mach 10 and 100), the Mach 1.22 shock–interface interactions, the mixture Hugoniot at two further volume fractions, and two further acoustic reflection/transmission pairs. References are exact where available: two-material NASG Riemann solutions (Appendix B), single-phase Hugoniot states, the mixture Rankine–Hugoniot relations of Ref. [17] (Eqs. 57–62), linear-acoustic d’Alembert/impedance solutions, and exact advection. The double rarefaction has no exact solution and is assessed as a grid-self-consistency and robustness test; without a phase-change model its core pressure is set by the admissibility floor of the closure, not a physical vapour pressure, so no cavitation validation is claimed [38–40].</w:t>
      </w:r>
    </w:p>
    <w:p>
      <w:pPr>
        <w:pStyle w:val="BodyText"/>
      </w:pPr>
      <w:r>
        <w:t xml:space="preserve">Two implemented cases are excluded for documented blockers: the Mach 100</w:t>
      </w:r>
      <w:r>
        <w:t xml:space="preserve"> </w:t>
      </w:r>
      <w:r>
        <w:rPr>
          <w:i/>
          <w:iCs/>
        </w:rPr>
        <w:t xml:space="preserve">water</w:t>
      </w:r>
      <w:r>
        <w:t xml:space="preserve"> </w:t>
      </w:r>
      <w:r>
        <w:t xml:space="preserve">shock (case 29), whose acoustic time step collapses to</w:t>
      </w:r>
      <w:r>
        <w:t xml:space="preserve"> </w:t>
      </w:r>
      <m:oMath>
        <m:r>
          <m:rPr>
            <m:sty m:val="p"/>
            <m:scr m:val="script"/>
          </m:rPr>
          <m:t>O</m:t>
        </m:r>
        <m:d>
          <m:dPr>
            <m:begChr m:val="("/>
            <m:endChr m:val=")"/>
            <m:sepChr m:val=""/>
            <m:grow/>
          </m:dPr>
          <m:e>
            <m:sSup>
              <m:e>
                <m:r>
                  <m:t>10</m:t>
                </m:r>
              </m:e>
              <m:sup>
                <m:r>
                  <m:rPr>
                    <m:sty m:val="p"/>
                  </m:rPr>
                  <m:t>−</m:t>
                </m:r>
                <m:r>
                  <m:t>9</m:t>
                </m:r>
              </m:sup>
            </m:sSup>
          </m:e>
        </m:d>
      </m:oMath>
      <w:r>
        <w:t xml:space="preserve"> </w:t>
      </w:r>
      <w:r>
        <w:t xml:space="preserve">s at the global settings, leaving the front under-resolved (measured pressure amplitude ratio</w:t>
      </w:r>
      <w:r>
        <w:t xml:space="preserve"> </w:t>
      </w:r>
      <m:oMath>
        <m:r>
          <m:t>0.35</m:t>
        </m:r>
      </m:oMath>
      <w:r>
        <w:t xml:space="preserve"> </w:t>
      </w:r>
      <w:r>
        <w:t xml:space="preserve">against the exact</w:t>
      </w:r>
      <w:r>
        <w:t xml:space="preserve"> </w:t>
      </w:r>
      <m:oMath>
        <m:r>
          <m:t>7.08</m:t>
        </m:r>
        <m:r>
          <m:rPr>
            <m:sty m:val="p"/>
          </m:rPr>
          <m:t>×</m:t>
        </m:r>
        <m:sSup>
          <m:e>
            <m:r>
              <m:t>10</m:t>
            </m:r>
          </m:e>
          <m:sup>
            <m:r>
              <m:t>7</m:t>
            </m:r>
          </m:sup>
        </m:sSup>
      </m:oMath>
      <w:r>
        <w:t xml:space="preserve"> </w:t>
      </w:r>
      <w:r>
        <w:t xml:space="preserve">post-shock ratio); and the Woodward–Colella blast interaction (case 32), whose middle-state pressure of</w:t>
      </w:r>
      <w:r>
        <w:t xml:space="preserve"> </w:t>
      </w:r>
      <m:oMath>
        <m:r>
          <m:t>0.01</m:t>
        </m:r>
      </m:oMath>
      <w:r>
        <w:t xml:space="preserve"> </w:t>
      </w:r>
      <w:r>
        <w:t xml:space="preserve">Pa lies below the solver’s</w:t>
      </w:r>
      <w:r>
        <w:t xml:space="preserve"> </w:t>
      </w:r>
      <m:oMath>
        <m:r>
          <m:t>1.0</m:t>
        </m:r>
      </m:oMath>
      <w:r>
        <w:t xml:space="preserve"> </w:t>
      </w:r>
      <w:r>
        <w:t xml:space="preserve">Pa floor, so the initial condition is not representable. Both retain their configurations and reference machinery in the code.</w:t>
      </w:r>
    </w:p>
    <w:p>
      <w:pPr>
        <w:pStyle w:val="BodyText"/>
      </w:pPr>
      <w:r>
        <w:t xml:space="preserve">The suite spans the acoustic-Courant range the all-speed claim requires: shocks and acoustics at</w:t>
      </w:r>
      <w:r>
        <w:t xml:space="preserve"> </w:t>
      </w:r>
      <m:oMath>
        <m:r>
          <m:rPr>
            <m:sty m:val="p"/>
          </m:rPr>
          <m:t>C</m:t>
        </m:r>
        <m:r>
          <m:rPr>
            <m:sty m:val="p"/>
          </m:rPr>
          <m:t>o</m:t>
        </m:r>
        <m:r>
          <m:rPr>
            <m:sty m:val="p"/>
          </m:rPr>
          <m:t>=</m:t>
        </m:r>
        <m:r>
          <m:t>0.45</m:t>
        </m:r>
      </m:oMath>
      <w:r>
        <w:t xml:space="preserve"> </w:t>
      </w:r>
      <w:r>
        <w:t xml:space="preserve">on</w:t>
      </w:r>
      <w:r>
        <w:t xml:space="preserve"> </w:t>
      </w:r>
      <m:oMath>
        <m:d>
          <m:dPr>
            <m:begChr m:val="|"/>
            <m:endChr m:val="|"/>
            <m:sepChr m:val=""/>
            <m:grow/>
          </m:dPr>
          <m:e>
            <m:r>
              <m:t>u</m:t>
            </m:r>
          </m:e>
        </m:d>
        <m:r>
          <m:rPr>
            <m:sty m:val="p"/>
          </m:rPr>
          <m:t>+</m:t>
        </m:r>
        <m:r>
          <m:t>c</m:t>
        </m:r>
      </m:oMath>
      <w:r>
        <w:t xml:space="preserve">, while the contact case (02) advances on the auto-detected material step whose</w:t>
      </w:r>
      <w:r>
        <w:t xml:space="preserve"> </w:t>
      </w:r>
      <w:r>
        <w:rPr>
          <w:i/>
          <w:iCs/>
        </w:rPr>
        <w:t xml:space="preserve">acoustic</w:t>
      </w:r>
      <w:r>
        <w:t xml:space="preserve"> </w:t>
      </w:r>
      <w:r>
        <w:t xml:space="preserve">Courant number</w:t>
      </w:r>
      <w:r>
        <w:t xml:space="preserve"> </w:t>
      </w:r>
      <m:oMath>
        <m:sSub>
          <m:e>
            <m:r>
              <m:rPr>
                <m:sty m:val="p"/>
              </m:rPr>
              <m:t>C</m:t>
            </m:r>
            <m:r>
              <m:rPr>
                <m:sty m:val="p"/>
              </m:rPr>
              <m:t>o</m:t>
            </m:r>
          </m:e>
          <m:sub>
            <m:r>
              <m:t>a</m:t>
            </m:r>
          </m:sub>
        </m:sSub>
        <m:r>
          <m:rPr>
            <m:sty m:val="p"/>
          </m:rPr>
          <m:t>=</m:t>
        </m:r>
        <m:r>
          <m:t>0.45</m:t>
        </m:r>
        <m:r>
          <m:t> </m:t>
        </m:r>
        <m:r>
          <m:t>a</m:t>
        </m:r>
        <m:r>
          <m:rPr>
            <m:sty m:val="p"/>
          </m:rPr>
          <m:t>/</m:t>
        </m:r>
        <m:d>
          <m:dPr>
            <m:begChr m:val="|"/>
            <m:endChr m:val="|"/>
            <m:sepChr m:val=""/>
            <m:grow/>
          </m:dPr>
          <m:e>
            <m:r>
              <m:t>u</m:t>
            </m:r>
          </m:e>
        </m:d>
      </m:oMath>
      <w:r>
        <w:t xml:space="preserve"> </w:t>
      </w:r>
      <w:r>
        <w:t xml:space="preserve">is of order</w:t>
      </w:r>
      <w:r>
        <w:t xml:space="preserve"> </w:t>
      </w:r>
      <m:oMath>
        <m:sSup>
          <m:e>
            <m:r>
              <m:t>10</m:t>
            </m:r>
          </m:e>
          <m:sup>
            <m:r>
              <m:t>2</m:t>
            </m:r>
          </m:sup>
        </m:sSup>
      </m:oMath>
      <w:r>
        <w:t xml:space="preserve">–</w:t>
      </w:r>
      <m:oMath>
        <m:sSup>
          <m:e>
            <m:r>
              <m:t>10</m:t>
            </m:r>
          </m:e>
          <m:sup>
            <m:r>
              <m:t>3</m:t>
            </m:r>
          </m:sup>
        </m:sSup>
      </m:oMath>
      <w:r>
        <w:t xml:space="preserve"> </w:t>
      </w:r>
      <w:r>
        <w:t xml:space="preserve">(about 157 in air,</w:t>
      </w:r>
      <w:r>
        <w:t xml:space="preserve"> </w:t>
      </w:r>
      <m:oMath>
        <m:r>
          <m:t>a</m:t>
        </m:r>
        <m:r>
          <m:rPr>
            <m:sty m:val="p"/>
          </m:rPr>
          <m:t>≈</m:t>
        </m:r>
        <m:r>
          <m:t>349</m:t>
        </m:r>
      </m:oMath>
      <w:r>
        <w:t xml:space="preserve"> </w:t>
      </w:r>
      <w:r>
        <w:t xml:space="preserve">m/s; 450 in the light gas,</w:t>
      </w:r>
      <w:r>
        <w:t xml:space="preserve"> </w:t>
      </w:r>
      <m:oMath>
        <m:r>
          <m:t>a</m:t>
        </m:r>
        <m:r>
          <m:rPr>
            <m:sty m:val="p"/>
          </m:rPr>
          <m:t>≈</m:t>
        </m:r>
        <m:r>
          <m:t>1000</m:t>
        </m:r>
      </m:oMath>
      <w:r>
        <w:t xml:space="preserve"> </w:t>
      </w:r>
      <w:r>
        <w:t xml:space="preserve">m/s;</w:t>
      </w:r>
      <w:r>
        <w:t xml:space="preserve"> </w:t>
      </w:r>
      <m:oMath>
        <m:d>
          <m:dPr>
            <m:begChr m:val="|"/>
            <m:endChr m:val="|"/>
            <m:sepChr m:val=""/>
            <m:grow/>
          </m:dPr>
          <m:e>
            <m:r>
              <m:t>u</m:t>
            </m:r>
          </m:e>
        </m:d>
        <m:r>
          <m:rPr>
            <m:sty m:val="p"/>
          </m:rPr>
          <m:t>=</m:t>
        </m:r>
        <m:r>
          <m:t>1</m:t>
        </m:r>
      </m:oMath>
      <w:r>
        <w:t xml:space="preserve"> </w:t>
      </w:r>
      <w:r>
        <w:t xml:space="preserve">m/s), carried stably by the acoustic implicitness — one algorithm from</w:t>
      </w:r>
      <w:r>
        <w:t xml:space="preserve"> </w:t>
      </w:r>
      <m:oMath>
        <m:sSub>
          <m:e>
            <m:r>
              <m:rPr>
                <m:sty m:val="p"/>
              </m:rPr>
              <m:t>C</m:t>
            </m:r>
            <m:r>
              <m:rPr>
                <m:sty m:val="p"/>
              </m:rPr>
              <m:t>o</m:t>
            </m:r>
          </m:e>
          <m:sub>
            <m:r>
              <m:t>a</m:t>
            </m:r>
          </m:sub>
        </m:sSub>
        <m:r>
          <m:rPr>
            <m:sty m:val="p"/>
          </m:rPr>
          <m:t>=</m:t>
        </m:r>
        <m:r>
          <m:rPr>
            <m:sty m:val="p"/>
            <m:scr m:val="script"/>
          </m:rPr>
          <m:t>O</m:t>
        </m:r>
        <m:d>
          <m:dPr>
            <m:begChr m:val="("/>
            <m:endChr m:val=")"/>
            <m:sepChr m:val=""/>
            <m:grow/>
          </m:dPr>
          <m:e>
            <m:r>
              <m:t>1</m:t>
            </m:r>
          </m:e>
        </m:d>
      </m:oMath>
      <w:r>
        <w:t xml:space="preserve"> </w:t>
      </w:r>
      <w:r>
        <w:t xml:space="preserve">to several hundred.</w:t>
      </w:r>
    </w:p>
    <w:p>
      <w:pPr>
        <w:pStyle w:val="BodyText"/>
      </w:pPr>
      <w:r>
        <w:rPr>
          <w:b/>
          <w:bCs/>
        </w:rPr>
        <w:t xml:space="preserve">Table 2.</w:t>
      </w:r>
      <w:r>
        <w:t xml:space="preserve"> </w:t>
      </w:r>
      <w:r>
        <w:t xml:space="preserve">Verification matrix. Co is the acoustic Courant number based on</w:t>
      </w:r>
      <w:r>
        <w:t xml:space="preserve"> </w:t>
      </w:r>
      <m:oMath>
        <m:r>
          <m:rPr>
            <m:sty m:val="p"/>
          </m:rPr>
          <m:t>max</m:t>
        </m:r>
        <m:d>
          <m:dPr>
            <m:begChr m:val="("/>
            <m:endChr m:val=")"/>
            <m:sepChr m:val=""/>
            <m:grow/>
          </m:dPr>
          <m:e>
            <m:d>
              <m:dPr>
                <m:begChr m:val="|"/>
                <m:endChr m:val="|"/>
                <m:sepChr m:val=""/>
                <m:grow/>
              </m:dPr>
              <m:e>
                <m:r>
                  <m:t>u</m:t>
                </m:r>
              </m:e>
            </m:d>
            <m:r>
              <m:rPr>
                <m:sty m:val="p"/>
              </m:rPr>
              <m:t>+</m:t>
            </m:r>
            <m:r>
              <m:t>c</m:t>
            </m:r>
          </m:e>
        </m:d>
      </m:oMath>
      <w:r>
        <w:t xml:space="preserve">; the contact-advection case (02) additionally advances the volume fraction on the auto-detected material step. References: E = exact two-material Riemann or exact advection; H = single-phase Hugoniot; RH = mixture Rankine–Hugoniot; dA = d’Alembert / linear-acoustic; SC = self-consistency.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Case</w:t>
            </w:r>
          </w:p>
        </w:tc>
        <w:tc>
          <w:tcPr/>
          <w:p>
            <w:pPr>
              <w:pStyle w:val="Compact"/>
              <w:jc w:val="left"/>
            </w:pPr>
            <w:r>
              <w:t xml:space="preserve">Description</w:t>
            </w:r>
          </w:p>
        </w:tc>
        <w:tc>
          <w:tcPr/>
          <w:p>
            <w:pPr>
              <w:pStyle w:val="Compact"/>
              <w:jc w:val="left"/>
            </w:pPr>
            <w:r>
              <w:t xml:space="preserve">Fluids</w:t>
            </w:r>
          </w:p>
        </w:tc>
        <w:tc>
          <w:tcPr/>
          <w:p>
            <w:pPr>
              <w:pStyle w:val="Compact"/>
              <w:jc w:val="left"/>
            </w:pPr>
            <m:oMath>
              <m:r>
                <m:t>N</m:t>
              </m:r>
            </m:oMath>
          </w:p>
        </w:tc>
        <w:tc>
          <w:tcPr/>
          <w:p>
            <w:pPr>
              <w:pStyle w:val="Compact"/>
              <w:jc w:val="left"/>
            </w:pPr>
            <w:r>
              <w:t xml:space="preserve">Co</w:t>
            </w:r>
          </w:p>
        </w:tc>
        <w:tc>
          <w:tcPr/>
          <w:p>
            <w:pPr>
              <w:pStyle w:val="Compact"/>
              <w:jc w:val="left"/>
            </w:pPr>
            <w:r>
              <w:t xml:space="preserve">Ref.</w:t>
            </w:r>
          </w:p>
        </w:tc>
      </w:tr>
      <w:tr>
        <w:tc>
          <w:tcPr/>
          <w:p>
            <w:pPr>
              <w:pStyle w:val="Compact"/>
              <w:jc w:val="left"/>
            </w:pPr>
            <w:r>
              <w:t xml:space="preserve">01</w:t>
            </w:r>
          </w:p>
        </w:tc>
        <w:tc>
          <w:tcPr/>
          <w:p>
            <w:pPr>
              <w:pStyle w:val="Compact"/>
              <w:jc w:val="left"/>
            </w:pPr>
            <w:r>
              <w:t xml:space="preserve">Static interface,</w:t>
            </w:r>
            <w:r>
              <w:t xml:space="preserve"> </w:t>
            </w:r>
            <m:oMath>
              <m:r>
                <m:t>Δ</m:t>
              </m:r>
              <m:r>
                <m:t>p</m:t>
              </m:r>
              <m:r>
                <m:rPr>
                  <m:sty m:val="p"/>
                </m:rPr>
                <m:t>=</m:t>
              </m:r>
              <m:r>
                <m:t>0</m:t>
              </m:r>
            </m:oMath>
          </w:p>
        </w:tc>
        <w:tc>
          <w:tcPr/>
          <w:p>
            <w:pPr>
              <w:pStyle w:val="Compact"/>
              <w:jc w:val="left"/>
            </w:pPr>
            <w:r>
              <w:t xml:space="preserve">air / water(SG)</w:t>
            </w:r>
          </w:p>
        </w:tc>
        <w:tc>
          <w:tcPr/>
          <w:p>
            <w:pPr>
              <w:pStyle w:val="Compact"/>
              <w:jc w:val="left"/>
            </w:pPr>
            <w:r>
              <w:t xml:space="preserve">200</w:t>
            </w:r>
          </w:p>
        </w:tc>
        <w:tc>
          <w:tcPr/>
          <w:p>
            <w:pPr>
              <w:pStyle w:val="Compact"/>
              <w:jc w:val="left"/>
            </w:pPr>
            <w:r>
              <w:t xml:space="preserve">0.45</w:t>
            </w:r>
          </w:p>
        </w:tc>
        <w:tc>
          <w:tcPr/>
          <w:p>
            <w:pPr>
              <w:pStyle w:val="Compact"/>
              <w:jc w:val="left"/>
            </w:pPr>
            <w:r>
              <w:t xml:space="preserve">E</w:t>
            </w:r>
          </w:p>
        </w:tc>
      </w:tr>
      <w:tr>
        <w:tc>
          <w:tcPr/>
          <w:p>
            <w:pPr>
              <w:pStyle w:val="Compact"/>
              <w:jc w:val="left"/>
            </w:pPr>
            <w:r>
              <w:t xml:space="preserve">02</w:t>
            </w:r>
          </w:p>
        </w:tc>
        <w:tc>
          <w:tcPr/>
          <w:p>
            <w:pPr>
              <w:pStyle w:val="Compact"/>
              <w:jc w:val="left"/>
            </w:pPr>
            <w:r>
              <w:t xml:space="preserve">Contact advection (</w:t>
            </w:r>
            <m:oMath>
              <m:sSub>
                <m:e>
                  <m:r>
                    <m:t>u</m:t>
                  </m:r>
                </m:e>
                <m:sub>
                  <m:r>
                    <m:t>0</m:t>
                  </m:r>
                </m:sub>
              </m:sSub>
              <m:r>
                <m:rPr>
                  <m:sty m:val="p"/>
                </m:rPr>
                <m:t>=</m:t>
              </m:r>
              <m:r>
                <m:t>1</m:t>
              </m:r>
            </m:oMath>
            <w:r>
              <w:t xml:space="preserve"> </w:t>
            </w:r>
            <w:r>
              <w:t xml:space="preserve">m/s)</w:t>
            </w:r>
          </w:p>
        </w:tc>
        <w:tc>
          <w:tcPr/>
          <w:p>
            <w:pPr>
              <w:pStyle w:val="Compact"/>
              <w:jc w:val="left"/>
            </w:pPr>
            <w:r>
              <w:t xml:space="preserve">gas / gas</w:t>
            </w:r>
          </w:p>
        </w:tc>
        <w:tc>
          <w:tcPr/>
          <w:p>
            <w:pPr>
              <w:pStyle w:val="Compact"/>
              <w:jc w:val="left"/>
            </w:pPr>
            <w:r>
              <w:t xml:space="preserve">500</w:t>
            </w:r>
          </w:p>
        </w:tc>
        <w:tc>
          <w:tcPr/>
          <w:p>
            <w:pPr>
              <w:pStyle w:val="Compact"/>
              <w:jc w:val="left"/>
            </w:pPr>
            <w:r>
              <w:t xml:space="preserve">0.45 (material)</w:t>
            </w:r>
          </w:p>
        </w:tc>
        <w:tc>
          <w:tcPr/>
          <w:p>
            <w:pPr>
              <w:pStyle w:val="Compact"/>
              <w:jc w:val="left"/>
            </w:pPr>
            <w:r>
              <w:t xml:space="preserve">E</w:t>
            </w:r>
          </w:p>
        </w:tc>
      </w:tr>
      <w:tr>
        <w:tc>
          <w:tcPr/>
          <w:p>
            <w:pPr>
              <w:pStyle w:val="Compact"/>
              <w:jc w:val="left"/>
            </w:pPr>
            <w:r>
              <w:t xml:space="preserve">04</w:t>
            </w:r>
          </w:p>
        </w:tc>
        <w:tc>
          <w:tcPr/>
          <w:p>
            <w:pPr>
              <w:pStyle w:val="Compact"/>
              <w:jc w:val="left"/>
            </w:pPr>
            <w:r>
              <w:t xml:space="preserve">Acoustic wave in air (</w:t>
            </w:r>
            <m:oMath>
              <m:r>
                <m:t>f</m:t>
              </m:r>
              <m:r>
                <m:rPr>
                  <m:sty m:val="p"/>
                </m:rPr>
                <m:t>=</m:t>
              </m:r>
              <m:r>
                <m:t>2</m:t>
              </m:r>
            </m:oMath>
            <w:r>
              <w:t xml:space="preserve"> </w:t>
            </w:r>
            <w:r>
              <w:t xml:space="preserve">kHz)</w:t>
            </w:r>
          </w:p>
        </w:tc>
        <w:tc>
          <w:tcPr/>
          <w:p>
            <w:pPr>
              <w:pStyle w:val="Compact"/>
              <w:jc w:val="left"/>
            </w:pPr>
            <w:r>
              <w:t xml:space="preserve">air</w:t>
            </w:r>
          </w:p>
        </w:tc>
        <w:tc>
          <w:tcPr/>
          <w:p>
            <w:pPr>
              <w:pStyle w:val="Compact"/>
              <w:jc w:val="left"/>
            </w:pPr>
            <w:r>
              <w:t xml:space="preserve">500</w:t>
            </w:r>
          </w:p>
        </w:tc>
        <w:tc>
          <w:tcPr/>
          <w:p>
            <w:pPr>
              <w:pStyle w:val="Compact"/>
              <w:jc w:val="left"/>
            </w:pPr>
            <w:r>
              <w:t xml:space="preserve">0.45</w:t>
            </w:r>
          </w:p>
        </w:tc>
        <w:tc>
          <w:tcPr/>
          <w:p>
            <w:pPr>
              <w:pStyle w:val="Compact"/>
              <w:jc w:val="left"/>
            </w:pPr>
            <w:r>
              <w:t xml:space="preserve">dA</w:t>
            </w:r>
          </w:p>
        </w:tc>
      </w:tr>
      <w:tr>
        <w:tc>
          <w:tcPr/>
          <w:p>
            <w:pPr>
              <w:pStyle w:val="Compact"/>
              <w:jc w:val="left"/>
            </w:pPr>
            <w:r>
              <w:t xml:space="preserve">05</w:t>
            </w:r>
          </w:p>
        </w:tc>
        <w:tc>
          <w:tcPr/>
          <w:p>
            <w:pPr>
              <w:pStyle w:val="Compact"/>
              <w:jc w:val="left"/>
            </w:pPr>
            <w:r>
              <w:t xml:space="preserve">Acoustic wave in water (</w:t>
            </w:r>
            <m:oMath>
              <m:r>
                <m:t>f</m:t>
              </m:r>
              <m:r>
                <m:rPr>
                  <m:sty m:val="p"/>
                </m:rPr>
                <m:t>=</m:t>
              </m:r>
              <m:r>
                <m:t>6</m:t>
              </m:r>
            </m:oMath>
            <w:r>
              <w:t xml:space="preserve"> </w:t>
            </w:r>
            <w:r>
              <w:t xml:space="preserve">kHz)</w:t>
            </w:r>
          </w:p>
        </w:tc>
        <w:tc>
          <w:tcPr/>
          <w:p>
            <w:pPr>
              <w:pStyle w:val="Compact"/>
              <w:jc w:val="left"/>
            </w:pPr>
            <w:r>
              <w:t xml:space="preserve">water(SG)</w:t>
            </w:r>
          </w:p>
        </w:tc>
        <w:tc>
          <w:tcPr/>
          <w:p>
            <w:pPr>
              <w:pStyle w:val="Compact"/>
              <w:jc w:val="left"/>
            </w:pPr>
            <w:r>
              <w:t xml:space="preserve">400</w:t>
            </w:r>
          </w:p>
        </w:tc>
        <w:tc>
          <w:tcPr/>
          <w:p>
            <w:pPr>
              <w:pStyle w:val="Compact"/>
              <w:jc w:val="left"/>
            </w:pPr>
            <w:r>
              <w:t xml:space="preserve">0.45</w:t>
            </w:r>
          </w:p>
        </w:tc>
        <w:tc>
          <w:tcPr/>
          <w:p>
            <w:pPr>
              <w:pStyle w:val="Compact"/>
              <w:jc w:val="left"/>
            </w:pPr>
            <w:r>
              <w:t xml:space="preserve">dA</w:t>
            </w:r>
          </w:p>
        </w:tc>
      </w:tr>
      <w:tr>
        <w:tc>
          <w:tcPr/>
          <w:p>
            <w:pPr>
              <w:pStyle w:val="Compact"/>
              <w:jc w:val="left"/>
            </w:pPr>
            <w:r>
              <w:t xml:space="preserve">07</w:t>
            </w:r>
          </w:p>
        </w:tc>
        <w:tc>
          <w:tcPr/>
          <w:p>
            <w:pPr>
              <w:pStyle w:val="Compact"/>
              <w:jc w:val="left"/>
            </w:pPr>
            <w:r>
              <w:t xml:space="preserve">Acoustic reflection–transmission</w:t>
            </w:r>
          </w:p>
        </w:tc>
        <w:tc>
          <w:tcPr/>
          <w:p>
            <w:pPr>
              <w:pStyle w:val="Compact"/>
              <w:jc w:val="left"/>
            </w:pPr>
            <w:r>
              <w:t xml:space="preserve">air / water(SG)</w:t>
            </w:r>
          </w:p>
        </w:tc>
        <w:tc>
          <w:tcPr/>
          <w:p>
            <w:pPr>
              <w:pStyle w:val="Compact"/>
              <w:jc w:val="left"/>
            </w:pPr>
            <w:r>
              <w:t xml:space="preserve">750</w:t>
            </w:r>
          </w:p>
        </w:tc>
        <w:tc>
          <w:tcPr/>
          <w:p>
            <w:pPr>
              <w:pStyle w:val="Compact"/>
              <w:jc w:val="left"/>
            </w:pPr>
            <w:r>
              <w:t xml:space="preserve">0.45</w:t>
            </w:r>
          </w:p>
        </w:tc>
        <w:tc>
          <w:tcPr/>
          <w:p>
            <w:pPr>
              <w:pStyle w:val="Compact"/>
              <w:jc w:val="left"/>
            </w:pPr>
            <w:r>
              <w:t xml:space="preserve">dA</w:t>
            </w:r>
          </w:p>
        </w:tc>
      </w:tr>
      <w:tr>
        <w:tc>
          <w:tcPr/>
          <w:p>
            <w:pPr>
              <w:pStyle w:val="Compact"/>
              <w:jc w:val="left"/>
            </w:pPr>
            <w:r>
              <w:t xml:space="preserve">13</w:t>
            </w:r>
          </w:p>
        </w:tc>
        <w:tc>
          <w:tcPr/>
          <w:p>
            <w:pPr>
              <w:pStyle w:val="Compact"/>
              <w:jc w:val="left"/>
            </w:pPr>
            <w:r>
              <w:t xml:space="preserve">Shock tube 10</w:t>
            </w:r>
            <w:r>
              <w:rPr>
                <w:vertAlign w:val="superscript"/>
              </w:rPr>
              <w:t xml:space="preserve">9</w:t>
            </w:r>
            <w:r>
              <w:t xml:space="preserve">/10</w:t>
            </w:r>
            <w:r>
              <w:rPr>
                <w:vertAlign w:val="superscript"/>
              </w:rPr>
              <w:t xml:space="preserve">4</w:t>
            </w:r>
            <w:r>
              <w:t xml:space="preserve"> </w:t>
            </w:r>
            <w:r>
              <w:t xml:space="preserve">Pa</w:t>
            </w:r>
          </w:p>
        </w:tc>
        <w:tc>
          <w:tcPr/>
          <w:p>
            <w:pPr>
              <w:pStyle w:val="Compact"/>
              <w:jc w:val="left"/>
            </w:pPr>
            <w:r>
              <w:t xml:space="preserve">air / water(SG)</w:t>
            </w:r>
          </w:p>
        </w:tc>
        <w:tc>
          <w:tcPr/>
          <w:p>
            <w:pPr>
              <w:pStyle w:val="Compact"/>
              <w:jc w:val="left"/>
            </w:pPr>
            <w:r>
              <w:t xml:space="preserve">400</w:t>
            </w:r>
          </w:p>
        </w:tc>
        <w:tc>
          <w:tcPr/>
          <w:p>
            <w:pPr>
              <w:pStyle w:val="Compact"/>
              <w:jc w:val="left"/>
            </w:pPr>
            <w:r>
              <w:t xml:space="preserve">0.45</w:t>
            </w:r>
          </w:p>
        </w:tc>
        <w:tc>
          <w:tcPr/>
          <w:p>
            <w:pPr>
              <w:pStyle w:val="Compact"/>
              <w:jc w:val="left"/>
            </w:pPr>
            <w:r>
              <w:t xml:space="preserve">E</w:t>
            </w:r>
          </w:p>
        </w:tc>
      </w:tr>
      <w:tr>
        <w:tc>
          <w:tcPr/>
          <w:p>
            <w:pPr>
              <w:pStyle w:val="Compact"/>
              <w:jc w:val="left"/>
            </w:pPr>
            <w:r>
              <w:t xml:space="preserve">14</w:t>
            </w:r>
          </w:p>
        </w:tc>
        <w:tc>
          <w:tcPr/>
          <w:p>
            <w:pPr>
              <w:pStyle w:val="Compact"/>
              <w:jc w:val="left"/>
            </w:pPr>
            <w:r>
              <w:t xml:space="preserve">Shock tube (reversed) 10</w:t>
            </w:r>
            <w:r>
              <w:rPr>
                <w:vertAlign w:val="superscript"/>
              </w:rPr>
              <w:t xml:space="preserve">9</w:t>
            </w:r>
            <w:r>
              <w:t xml:space="preserve">/10</w:t>
            </w:r>
            <w:r>
              <w:rPr>
                <w:vertAlign w:val="superscript"/>
              </w:rPr>
              <w:t xml:space="preserve">5</w:t>
            </w:r>
            <w:r>
              <w:t xml:space="preserve"> </w:t>
            </w:r>
            <w:r>
              <w:t xml:space="preserve">Pa</w:t>
            </w:r>
          </w:p>
        </w:tc>
        <w:tc>
          <w:tcPr/>
          <w:p>
            <w:pPr>
              <w:pStyle w:val="Compact"/>
              <w:jc w:val="left"/>
            </w:pPr>
            <w:r>
              <w:t xml:space="preserve">water(NASG) / air</w:t>
            </w:r>
          </w:p>
        </w:tc>
        <w:tc>
          <w:tcPr/>
          <w:p>
            <w:pPr>
              <w:pStyle w:val="Compact"/>
              <w:jc w:val="left"/>
            </w:pPr>
            <w:r>
              <w:t xml:space="preserve">400</w:t>
            </w:r>
          </w:p>
        </w:tc>
        <w:tc>
          <w:tcPr/>
          <w:p>
            <w:pPr>
              <w:pStyle w:val="Compact"/>
              <w:jc w:val="left"/>
            </w:pPr>
            <w:r>
              <w:t xml:space="preserve">0.45</w:t>
            </w:r>
          </w:p>
        </w:tc>
        <w:tc>
          <w:tcPr/>
          <w:p>
            <w:pPr>
              <w:pStyle w:val="Compact"/>
              <w:jc w:val="left"/>
            </w:pPr>
            <w:r>
              <w:t xml:space="preserve">E</w:t>
            </w:r>
          </w:p>
        </w:tc>
      </w:tr>
      <w:tr>
        <w:tc>
          <w:tcPr/>
          <w:p>
            <w:pPr>
              <w:pStyle w:val="Compact"/>
              <w:jc w:val="left"/>
            </w:pPr>
            <w:r>
              <w:t xml:space="preserve">15</w:t>
            </w:r>
          </w:p>
        </w:tc>
        <w:tc>
          <w:tcPr/>
          <w:p>
            <w:pPr>
              <w:pStyle w:val="Compact"/>
              <w:jc w:val="left"/>
            </w:pPr>
            <w:r>
              <w:t xml:space="preserve">Double rarefaction (</w:t>
            </w:r>
            <m:oMath>
              <m:d>
                <m:dPr>
                  <m:begChr m:val="|"/>
                  <m:endChr m:val="|"/>
                  <m:sepChr m:val=""/>
                  <m:grow/>
                </m:dPr>
                <m:e>
                  <m:r>
                    <m:t>u</m:t>
                  </m:r>
                </m:e>
              </m:d>
              <m:r>
                <m:rPr>
                  <m:sty m:val="p"/>
                </m:rPr>
                <m:t>≤</m:t>
              </m:r>
              <m:r>
                <m:t>100</m:t>
              </m:r>
            </m:oMath>
            <w:r>
              <w:t xml:space="preserve"> </w:t>
            </w:r>
            <w:r>
              <w:t xml:space="preserve">m/s)</w:t>
            </w:r>
          </w:p>
        </w:tc>
        <w:tc>
          <w:tcPr/>
          <w:p>
            <w:pPr>
              <w:pStyle w:val="Compact"/>
              <w:jc w:val="left"/>
            </w:pPr>
            <w:r>
              <w:t xml:space="preserve">air / water(NASG)</w:t>
            </w:r>
          </w:p>
        </w:tc>
        <w:tc>
          <w:tcPr/>
          <w:p>
            <w:pPr>
              <w:pStyle w:val="Compact"/>
              <w:jc w:val="left"/>
            </w:pPr>
            <w:r>
              <w:t xml:space="preserve">400</w:t>
            </w:r>
          </w:p>
        </w:tc>
        <w:tc>
          <w:tcPr/>
          <w:p>
            <w:pPr>
              <w:pStyle w:val="Compact"/>
              <w:jc w:val="left"/>
            </w:pPr>
            <w:r>
              <w:t xml:space="preserve">0.45</w:t>
            </w:r>
          </w:p>
        </w:tc>
        <w:tc>
          <w:tcPr/>
          <w:p>
            <w:pPr>
              <w:pStyle w:val="Compact"/>
              <w:jc w:val="left"/>
            </w:pPr>
            <w:r>
              <w:t xml:space="preserve">SC</w:t>
            </w:r>
          </w:p>
        </w:tc>
      </w:tr>
      <w:tr>
        <w:tc>
          <w:tcPr/>
          <w:p>
            <w:pPr>
              <w:pStyle w:val="Compact"/>
              <w:jc w:val="left"/>
            </w:pPr>
            <w:r>
              <w:t xml:space="preserve">24</w:t>
            </w:r>
          </w:p>
        </w:tc>
        <w:tc>
          <w:tcPr/>
          <w:p>
            <w:pPr>
              <w:pStyle w:val="Compact"/>
              <w:jc w:val="left"/>
            </w:pPr>
            <w:r>
              <w:t xml:space="preserve">Ms = 10 homogeneous-mixture shock,</w:t>
            </w:r>
            <w:r>
              <w:t xml:space="preserve"> </w:t>
            </w:r>
            <m:oMath>
              <m:sSub>
                <m:e>
                  <m:r>
                    <m:t>ψ</m:t>
                  </m:r>
                </m:e>
                <m:sub>
                  <m:r>
                    <m:t>w</m:t>
                  </m:r>
                </m:sub>
              </m:sSub>
              <m:r>
                <m:rPr>
                  <m:sty m:val="p"/>
                </m:rPr>
                <m:t>=</m:t>
              </m:r>
              <m:r>
                <m:t>0.5</m:t>
              </m:r>
            </m:oMath>
          </w:p>
        </w:tc>
        <w:tc>
          <w:tcPr/>
          <w:p>
            <w:pPr>
              <w:pStyle w:val="Compact"/>
              <w:jc w:val="left"/>
            </w:pPr>
            <w:r>
              <w:t xml:space="preserve">air–water mixture</w:t>
            </w:r>
          </w:p>
        </w:tc>
        <w:tc>
          <w:tcPr/>
          <w:p>
            <w:pPr>
              <w:pStyle w:val="Compact"/>
              <w:jc w:val="left"/>
            </w:pPr>
            <w:r>
              <w:t xml:space="preserve">800</w:t>
            </w:r>
          </w:p>
        </w:tc>
        <w:tc>
          <w:tcPr/>
          <w:p>
            <w:pPr>
              <w:pStyle w:val="Compact"/>
              <w:jc w:val="left"/>
            </w:pPr>
            <w:r>
              <w:t xml:space="preserve">0.45</w:t>
            </w:r>
          </w:p>
        </w:tc>
        <w:tc>
          <w:tcPr/>
          <w:p>
            <w:pPr>
              <w:pStyle w:val="Compact"/>
              <w:jc w:val="left"/>
            </w:pPr>
            <w:r>
              <w:t xml:space="preserve">RH</w:t>
            </w:r>
          </w:p>
        </w:tc>
      </w:tr>
      <w:tr>
        <w:tc>
          <w:tcPr/>
          <w:p>
            <w:pPr>
              <w:pStyle w:val="Compact"/>
              <w:jc w:val="left"/>
            </w:pPr>
            <w:r>
              <w:t xml:space="preserve">25</w:t>
            </w:r>
          </w:p>
        </w:tc>
        <w:tc>
          <w:tcPr/>
          <w:p>
            <w:pPr>
              <w:pStyle w:val="Compact"/>
              <w:jc w:val="left"/>
            </w:pPr>
            <w:r>
              <w:t xml:space="preserve">Ms = 10 shock / water interface</w:t>
            </w:r>
          </w:p>
        </w:tc>
        <w:tc>
          <w:tcPr/>
          <w:p>
            <w:pPr>
              <w:pStyle w:val="Compact"/>
              <w:jc w:val="left"/>
            </w:pPr>
            <w:r>
              <w:t xml:space="preserve">air / water(SG)</w:t>
            </w:r>
          </w:p>
        </w:tc>
        <w:tc>
          <w:tcPr/>
          <w:p>
            <w:pPr>
              <w:pStyle w:val="Compact"/>
              <w:jc w:val="left"/>
            </w:pPr>
            <w:r>
              <w:t xml:space="preserve">400</w:t>
            </w:r>
          </w:p>
        </w:tc>
        <w:tc>
          <w:tcPr/>
          <w:p>
            <w:pPr>
              <w:pStyle w:val="Compact"/>
              <w:jc w:val="left"/>
            </w:pPr>
            <w:r>
              <w:t xml:space="preserve">0.45</w:t>
            </w:r>
          </w:p>
        </w:tc>
        <w:tc>
          <w:tcPr/>
          <w:p>
            <w:pPr>
              <w:pStyle w:val="Compact"/>
              <w:jc w:val="left"/>
            </w:pPr>
            <w:r>
              <w:t xml:space="preserve">E</w:t>
            </w:r>
          </w:p>
        </w:tc>
      </w:tr>
      <w:tr>
        <w:tc>
          <w:tcPr/>
          <w:p>
            <w:pPr>
              <w:pStyle w:val="Compact"/>
              <w:jc w:val="left"/>
            </w:pPr>
            <w:r>
              <w:t xml:space="preserve">26</w:t>
            </w:r>
          </w:p>
        </w:tc>
        <w:tc>
          <w:tcPr/>
          <w:p>
            <w:pPr>
              <w:pStyle w:val="Compact"/>
              <w:jc w:val="left"/>
            </w:pPr>
            <w:r>
              <w:t xml:space="preserve">Ms = 10 single-phase shock</w:t>
            </w:r>
          </w:p>
        </w:tc>
        <w:tc>
          <w:tcPr/>
          <w:p>
            <w:pPr>
              <w:pStyle w:val="Compact"/>
              <w:jc w:val="left"/>
            </w:pPr>
            <w:r>
              <w:t xml:space="preserve">air</w:t>
            </w:r>
          </w:p>
        </w:tc>
        <w:tc>
          <w:tcPr/>
          <w:p>
            <w:pPr>
              <w:pStyle w:val="Compact"/>
              <w:jc w:val="left"/>
            </w:pPr>
            <w:r>
              <w:t xml:space="preserve">1000</w:t>
            </w:r>
          </w:p>
        </w:tc>
        <w:tc>
          <w:tcPr/>
          <w:p>
            <w:pPr>
              <w:pStyle w:val="Compact"/>
              <w:jc w:val="left"/>
            </w:pPr>
            <w:r>
              <w:t xml:space="preserve">0.45</w:t>
            </w:r>
          </w:p>
        </w:tc>
        <w:tc>
          <w:tcPr/>
          <w:p>
            <w:pPr>
              <w:pStyle w:val="Compact"/>
              <w:jc w:val="left"/>
            </w:pPr>
            <w:r>
              <w:t xml:space="preserve">H</w:t>
            </w:r>
          </w:p>
        </w:tc>
      </w:tr>
      <w:tr>
        <w:tc>
          <w:tcPr/>
          <w:p>
            <w:pPr>
              <w:pStyle w:val="Compact"/>
              <w:jc w:val="left"/>
            </w:pPr>
            <w:r>
              <w:t xml:space="preserve">27</w:t>
            </w:r>
          </w:p>
        </w:tc>
        <w:tc>
          <w:tcPr/>
          <w:p>
            <w:pPr>
              <w:pStyle w:val="Compact"/>
              <w:jc w:val="left"/>
            </w:pPr>
            <w:r>
              <w:t xml:space="preserve">Ms = 10 single-phase shock</w:t>
            </w:r>
          </w:p>
        </w:tc>
        <w:tc>
          <w:tcPr/>
          <w:p>
            <w:pPr>
              <w:pStyle w:val="Compact"/>
              <w:jc w:val="left"/>
            </w:pPr>
            <w:r>
              <w:t xml:space="preserve">water(SG)</w:t>
            </w:r>
          </w:p>
        </w:tc>
        <w:tc>
          <w:tcPr/>
          <w:p>
            <w:pPr>
              <w:pStyle w:val="Compact"/>
              <w:jc w:val="left"/>
            </w:pPr>
            <w:r>
              <w:t xml:space="preserve">1000</w:t>
            </w:r>
          </w:p>
        </w:tc>
        <w:tc>
          <w:tcPr/>
          <w:p>
            <w:pPr>
              <w:pStyle w:val="Compact"/>
              <w:jc w:val="left"/>
            </w:pPr>
            <w:r>
              <w:t xml:space="preserve">0.45</w:t>
            </w:r>
          </w:p>
        </w:tc>
        <w:tc>
          <w:tcPr/>
          <w:p>
            <w:pPr>
              <w:pStyle w:val="Compact"/>
              <w:jc w:val="left"/>
            </w:pPr>
            <w:r>
              <w:t xml:space="preserve">H</w:t>
            </w:r>
          </w:p>
        </w:tc>
      </w:tr>
      <w:tr>
        <w:tc>
          <w:tcPr/>
          <w:p>
            <w:pPr>
              <w:pStyle w:val="Compact"/>
              <w:jc w:val="left"/>
            </w:pPr>
            <w:r>
              <w:t xml:space="preserve">28</w:t>
            </w:r>
          </w:p>
        </w:tc>
        <w:tc>
          <w:tcPr/>
          <w:p>
            <w:pPr>
              <w:pStyle w:val="Compact"/>
              <w:jc w:val="left"/>
            </w:pPr>
            <w:r>
              <w:t xml:space="preserve">Ms = 100 single-phase shock</w:t>
            </w:r>
          </w:p>
        </w:tc>
        <w:tc>
          <w:tcPr/>
          <w:p>
            <w:pPr>
              <w:pStyle w:val="Compact"/>
              <w:jc w:val="left"/>
            </w:pPr>
            <w:r>
              <w:t xml:space="preserve">air</w:t>
            </w:r>
          </w:p>
        </w:tc>
        <w:tc>
          <w:tcPr/>
          <w:p>
            <w:pPr>
              <w:pStyle w:val="Compact"/>
              <w:jc w:val="left"/>
            </w:pPr>
            <w:r>
              <w:t xml:space="preserve">1000</w:t>
            </w:r>
          </w:p>
        </w:tc>
        <w:tc>
          <w:tcPr/>
          <w:p>
            <w:pPr>
              <w:pStyle w:val="Compact"/>
              <w:jc w:val="left"/>
            </w:pPr>
            <w:r>
              <w:t xml:space="preserve">0.45</w:t>
            </w:r>
          </w:p>
        </w:tc>
        <w:tc>
          <w:tcPr/>
          <w:p>
            <w:pPr>
              <w:pStyle w:val="Compact"/>
              <w:jc w:val="left"/>
            </w:pPr>
            <w:r>
              <w:t xml:space="preserve">H</w:t>
            </w:r>
          </w:p>
        </w:tc>
      </w:tr>
      <w:tr>
        <w:tc>
          <w:tcPr/>
          <w:p>
            <w:pPr>
              <w:pStyle w:val="Compact"/>
              <w:jc w:val="left"/>
            </w:pPr>
            <w:r>
              <w:t xml:space="preserve">30</w:t>
            </w:r>
          </w:p>
        </w:tc>
        <w:tc>
          <w:tcPr/>
          <w:p>
            <w:pPr>
              <w:pStyle w:val="Compact"/>
              <w:jc w:val="left"/>
            </w:pPr>
            <w:r>
              <w:t xml:space="preserve">Ms = 1.22 shock–interface</w:t>
            </w:r>
          </w:p>
        </w:tc>
        <w:tc>
          <w:tcPr/>
          <w:p>
            <w:pPr>
              <w:pStyle w:val="Compact"/>
              <w:jc w:val="left"/>
            </w:pPr>
            <w:r>
              <w:t xml:space="preserve">air / helium</w:t>
            </w:r>
          </w:p>
        </w:tc>
        <w:tc>
          <w:tcPr/>
          <w:p>
            <w:pPr>
              <w:pStyle w:val="Compact"/>
              <w:jc w:val="left"/>
            </w:pPr>
            <w:r>
              <w:t xml:space="preserve">400</w:t>
            </w:r>
          </w:p>
        </w:tc>
        <w:tc>
          <w:tcPr/>
          <w:p>
            <w:pPr>
              <w:pStyle w:val="Compact"/>
              <w:jc w:val="left"/>
            </w:pPr>
            <w:r>
              <w:t xml:space="preserve">0.45</w:t>
            </w:r>
          </w:p>
        </w:tc>
        <w:tc>
          <w:tcPr/>
          <w:p>
            <w:pPr>
              <w:pStyle w:val="Compact"/>
              <w:jc w:val="left"/>
            </w:pPr>
            <w:r>
              <w:t xml:space="preserve">E</w:t>
            </w:r>
          </w:p>
        </w:tc>
      </w:tr>
      <w:tr>
        <w:tc>
          <w:tcPr/>
          <w:p>
            <w:pPr>
              <w:pStyle w:val="Compact"/>
              <w:jc w:val="left"/>
            </w:pPr>
            <w:r>
              <w:t xml:space="preserve">31</w:t>
            </w:r>
          </w:p>
        </w:tc>
        <w:tc>
          <w:tcPr/>
          <w:p>
            <w:pPr>
              <w:pStyle w:val="Compact"/>
              <w:jc w:val="left"/>
            </w:pPr>
            <w:r>
              <w:t xml:space="preserve">Ms = 1.22 shock–interface</w:t>
            </w:r>
          </w:p>
        </w:tc>
        <w:tc>
          <w:tcPr/>
          <w:p>
            <w:pPr>
              <w:pStyle w:val="Compact"/>
              <w:jc w:val="left"/>
            </w:pPr>
            <w:r>
              <w:t xml:space="preserve">air / matched gas</w:t>
            </w:r>
          </w:p>
        </w:tc>
        <w:tc>
          <w:tcPr/>
          <w:p>
            <w:pPr>
              <w:pStyle w:val="Compact"/>
              <w:jc w:val="left"/>
            </w:pPr>
            <w:r>
              <w:t xml:space="preserve">400</w:t>
            </w:r>
          </w:p>
        </w:tc>
        <w:tc>
          <w:tcPr/>
          <w:p>
            <w:pPr>
              <w:pStyle w:val="Compact"/>
              <w:jc w:val="left"/>
            </w:pPr>
            <w:r>
              <w:t xml:space="preserve">0.45</w:t>
            </w:r>
          </w:p>
        </w:tc>
        <w:tc>
          <w:tcPr/>
          <w:p>
            <w:pPr>
              <w:pStyle w:val="Compact"/>
              <w:jc w:val="left"/>
            </w:pPr>
            <w:r>
              <w:t xml:space="preserve">E</w:t>
            </w:r>
          </w:p>
        </w:tc>
      </w:tr>
      <w:tr>
        <w:tc>
          <w:tcPr/>
          <w:p>
            <w:pPr>
              <w:pStyle w:val="Compact"/>
              <w:jc w:val="left"/>
            </w:pPr>
            <w:r>
              <w:t xml:space="preserve">33</w:t>
            </w:r>
          </w:p>
        </w:tc>
        <w:tc>
          <w:tcPr/>
          <w:p>
            <w:pPr>
              <w:pStyle w:val="Compact"/>
              <w:jc w:val="left"/>
            </w:pPr>
            <w:r>
              <w:t xml:space="preserve">Ms = 10 mixture shock,</w:t>
            </w:r>
            <w:r>
              <w:t xml:space="preserve"> </w:t>
            </w:r>
            <m:oMath>
              <m:sSub>
                <m:e>
                  <m:r>
                    <m:t>ψ</m:t>
                  </m:r>
                </m:e>
                <m:sub>
                  <m:r>
                    <m:t>w</m:t>
                  </m:r>
                </m:sub>
              </m:sSub>
              <m:r>
                <m:rPr>
                  <m:sty m:val="p"/>
                </m:rPr>
                <m:t>=</m:t>
              </m:r>
              <m:r>
                <m:t>0.25</m:t>
              </m:r>
            </m:oMath>
          </w:p>
        </w:tc>
        <w:tc>
          <w:tcPr/>
          <w:p>
            <w:pPr>
              <w:pStyle w:val="Compact"/>
              <w:jc w:val="left"/>
            </w:pPr>
            <w:r>
              <w:t xml:space="preserve">air–water mixture</w:t>
            </w:r>
          </w:p>
        </w:tc>
        <w:tc>
          <w:tcPr/>
          <w:p>
            <w:pPr>
              <w:pStyle w:val="Compact"/>
              <w:jc w:val="left"/>
            </w:pPr>
            <w:r>
              <w:t xml:space="preserve">800</w:t>
            </w:r>
          </w:p>
        </w:tc>
        <w:tc>
          <w:tcPr/>
          <w:p>
            <w:pPr>
              <w:pStyle w:val="Compact"/>
              <w:jc w:val="left"/>
            </w:pPr>
            <w:r>
              <w:t xml:space="preserve">0.45</w:t>
            </w:r>
          </w:p>
        </w:tc>
        <w:tc>
          <w:tcPr/>
          <w:p>
            <w:pPr>
              <w:pStyle w:val="Compact"/>
              <w:jc w:val="left"/>
            </w:pPr>
            <w:r>
              <w:t xml:space="preserve">RH</w:t>
            </w:r>
          </w:p>
        </w:tc>
      </w:tr>
      <w:tr>
        <w:tc>
          <w:tcPr/>
          <w:p>
            <w:pPr>
              <w:pStyle w:val="Compact"/>
              <w:jc w:val="left"/>
            </w:pPr>
            <w:r>
              <w:t xml:space="preserve">34</w:t>
            </w:r>
          </w:p>
        </w:tc>
        <w:tc>
          <w:tcPr/>
          <w:p>
            <w:pPr>
              <w:pStyle w:val="Compact"/>
              <w:jc w:val="left"/>
            </w:pPr>
            <w:r>
              <w:t xml:space="preserve">Ms = 10 mixture shock,</w:t>
            </w:r>
            <w:r>
              <w:t xml:space="preserve"> </w:t>
            </w:r>
            <m:oMath>
              <m:sSub>
                <m:e>
                  <m:r>
                    <m:t>ψ</m:t>
                  </m:r>
                </m:e>
                <m:sub>
                  <m:r>
                    <m:t>w</m:t>
                  </m:r>
                </m:sub>
              </m:sSub>
              <m:r>
                <m:rPr>
                  <m:sty m:val="p"/>
                </m:rPr>
                <m:t>=</m:t>
              </m:r>
              <m:r>
                <m:t>0.75</m:t>
              </m:r>
            </m:oMath>
          </w:p>
        </w:tc>
        <w:tc>
          <w:tcPr/>
          <w:p>
            <w:pPr>
              <w:pStyle w:val="Compact"/>
              <w:jc w:val="left"/>
            </w:pPr>
            <w:r>
              <w:t xml:space="preserve">air–water mixture</w:t>
            </w:r>
          </w:p>
        </w:tc>
        <w:tc>
          <w:tcPr/>
          <w:p>
            <w:pPr>
              <w:pStyle w:val="Compact"/>
              <w:jc w:val="left"/>
            </w:pPr>
            <w:r>
              <w:t xml:space="preserve">800</w:t>
            </w:r>
          </w:p>
        </w:tc>
        <w:tc>
          <w:tcPr/>
          <w:p>
            <w:pPr>
              <w:pStyle w:val="Compact"/>
              <w:jc w:val="left"/>
            </w:pPr>
            <w:r>
              <w:t xml:space="preserve">0.45</w:t>
            </w:r>
          </w:p>
        </w:tc>
        <w:tc>
          <w:tcPr/>
          <w:p>
            <w:pPr>
              <w:pStyle w:val="Compact"/>
              <w:jc w:val="left"/>
            </w:pPr>
            <w:r>
              <w:t xml:space="preserve">RH</w:t>
            </w:r>
          </w:p>
        </w:tc>
      </w:tr>
      <w:tr>
        <w:tc>
          <w:tcPr/>
          <w:p>
            <w:pPr>
              <w:pStyle w:val="Compact"/>
              <w:jc w:val="left"/>
            </w:pPr>
            <w:r>
              <w:t xml:space="preserve">35</w:t>
            </w:r>
          </w:p>
        </w:tc>
        <w:tc>
          <w:tcPr/>
          <w:p>
            <w:pPr>
              <w:pStyle w:val="Compact"/>
              <w:jc w:val="left"/>
            </w:pPr>
            <w:r>
              <w:t xml:space="preserve">Acoustic reflection–transmission</w:t>
            </w:r>
          </w:p>
        </w:tc>
        <w:tc>
          <w:tcPr/>
          <w:p>
            <w:pPr>
              <w:pStyle w:val="Compact"/>
              <w:jc w:val="left"/>
            </w:pPr>
            <w:r>
              <w:t xml:space="preserve">helium / air</w:t>
            </w:r>
          </w:p>
        </w:tc>
        <w:tc>
          <w:tcPr/>
          <w:p>
            <w:pPr>
              <w:pStyle w:val="Compact"/>
              <w:jc w:val="left"/>
            </w:pPr>
            <w:r>
              <w:t xml:space="preserve">750</w:t>
            </w:r>
          </w:p>
        </w:tc>
        <w:tc>
          <w:tcPr/>
          <w:p>
            <w:pPr>
              <w:pStyle w:val="Compact"/>
              <w:jc w:val="left"/>
            </w:pPr>
            <w:r>
              <w:t xml:space="preserve">0.45</w:t>
            </w:r>
          </w:p>
        </w:tc>
        <w:tc>
          <w:tcPr/>
          <w:p>
            <w:pPr>
              <w:pStyle w:val="Compact"/>
              <w:jc w:val="left"/>
            </w:pPr>
            <w:r>
              <w:t xml:space="preserve">dA</w:t>
            </w:r>
          </w:p>
        </w:tc>
      </w:tr>
      <w:tr>
        <w:tc>
          <w:tcPr/>
          <w:p>
            <w:pPr>
              <w:pStyle w:val="Compact"/>
              <w:jc w:val="left"/>
            </w:pPr>
            <w:r>
              <w:t xml:space="preserve">36</w:t>
            </w:r>
          </w:p>
        </w:tc>
        <w:tc>
          <w:tcPr/>
          <w:p>
            <w:pPr>
              <w:pStyle w:val="Compact"/>
              <w:jc w:val="left"/>
            </w:pPr>
            <w:r>
              <w:t xml:space="preserve">Acoustic reflection–transmission</w:t>
            </w:r>
          </w:p>
        </w:tc>
        <w:tc>
          <w:tcPr/>
          <w:p>
            <w:pPr>
              <w:pStyle w:val="Compact"/>
              <w:jc w:val="left"/>
            </w:pPr>
            <w:r>
              <w:t xml:space="preserve">argon / air</w:t>
            </w:r>
          </w:p>
        </w:tc>
        <w:tc>
          <w:tcPr/>
          <w:p>
            <w:pPr>
              <w:pStyle w:val="Compact"/>
              <w:jc w:val="left"/>
            </w:pPr>
            <w:r>
              <w:t xml:space="preserve">750</w:t>
            </w:r>
          </w:p>
        </w:tc>
        <w:tc>
          <w:tcPr/>
          <w:p>
            <w:pPr>
              <w:pStyle w:val="Compact"/>
              <w:jc w:val="left"/>
            </w:pPr>
            <w:r>
              <w:t xml:space="preserve">0.45</w:t>
            </w:r>
          </w:p>
        </w:tc>
        <w:tc>
          <w:tcPr/>
          <w:p>
            <w:pPr>
              <w:pStyle w:val="Compact"/>
              <w:jc w:val="left"/>
            </w:pPr>
            <w:r>
              <w:t xml:space="preserve">dA</w:t>
            </w:r>
          </w:p>
        </w:tc>
      </w:tr>
    </w:tbl>
    <w:bookmarkEnd w:id="37"/>
    <w:bookmarkStart w:id="38" w:name="error-metrics"/>
    <w:p>
      <w:pPr>
        <w:pStyle w:val="Heading2"/>
      </w:pPr>
      <w:r>
        <w:t xml:space="preserve">4.2 Error metrics</w:t>
      </w:r>
    </w:p>
    <w:p>
      <w:pPr>
        <w:pStyle w:val="FirstParagraph"/>
      </w:pPr>
      <w:r>
        <w:t xml:space="preserve">Full-field metrics are computed against the reference sampled on the computational grid: range-normalised</w:t>
      </w:r>
      <w:r>
        <w:t xml:space="preserve"> </w:t>
      </w:r>
      <m:oMath>
        <m:sSub>
          <m:e>
            <m:r>
              <m:t>L</m:t>
            </m:r>
          </m:e>
          <m:sub>
            <m:r>
              <m:t>2</m:t>
            </m:r>
          </m:sub>
        </m:sSub>
      </m:oMath>
      <w:r>
        <w:t xml:space="preserve"> </w:t>
      </w:r>
      <w:r>
        <w:t xml:space="preserve">error, Pearson correlation, amplitude ratio (solver to reference peak-to-peak), discontinuity-position error (in cells, by steepest gradient), and a spectral high-frequency indicator — the fraction of deviation energy above one quarter of the Nyquist wavenumber — which discriminates smooth error from cell-scale oscillation that amplitude comparisons alone [17] do not constrain. All numbers below are measured with the single parameter set of Section 3.11.</w:t>
      </w:r>
    </w:p>
    <w:bookmarkEnd w:id="38"/>
    <w:bookmarkStart w:id="51" w:name="X90dda5f1a9fec981a401801ef65f7d04b8d85d1"/>
    <w:p>
      <w:pPr>
        <w:pStyle w:val="Heading2"/>
      </w:pPr>
      <w:r>
        <w:t xml:space="preserve">4.3 Pressure-equilibrium preservation (cases 01, 02)</w:t>
      </w:r>
    </w:p>
    <w:p>
      <w:pPr>
        <w:pStyle w:val="FirstParagraph"/>
      </w:pPr>
      <w:r>
        <w:t xml:space="preserve">For the quiescent interface (case 01) the measured</w:t>
      </w:r>
      <w:r>
        <w:t xml:space="preserve"> </w:t>
      </w:r>
      <m:oMath>
        <m:sSub>
          <m:e>
            <m:r>
              <m:t>L</m:t>
            </m:r>
          </m:e>
          <m:sub>
            <m:r>
              <m:rPr>
                <m:sty m:val="p"/>
              </m:rPr>
              <m:t>∞</m:t>
            </m:r>
          </m:sub>
        </m:sSub>
      </m:oMath>
      <w:r>
        <w:t xml:space="preserve"> </w:t>
      </w:r>
      <w:r>
        <w:t xml:space="preserve">errors of</w:t>
      </w:r>
      <w:r>
        <w:t xml:space="preserve"> </w:t>
      </w:r>
      <m:oMath>
        <m:r>
          <m:t>p</m:t>
        </m:r>
      </m:oMath>
      <w:r>
        <w:t xml:space="preserve">,</w:t>
      </w:r>
      <w:r>
        <w:t xml:space="preserve"> </w:t>
      </w:r>
      <m:oMath>
        <m:r>
          <m:t>u</m:t>
        </m:r>
      </m:oMath>
      <w:r>
        <w:t xml:space="preserve"> </w:t>
      </w:r>
      <w:r>
        <w:t xml:space="preserve">and</w:t>
      </w:r>
      <w:r>
        <w:t xml:space="preserve"> </w:t>
      </w:r>
      <m:oMath>
        <m:r>
          <m:t>ρ</m:t>
        </m:r>
      </m:oMath>
      <w:r>
        <w:t xml:space="preserve"> </w:t>
      </w:r>
      <w:r>
        <w:t xml:space="preserve">are exactly</w:t>
      </w:r>
      <w:r>
        <w:t xml:space="preserve"> </w:t>
      </w:r>
      <m:oMath>
        <m:r>
          <m:t>0</m:t>
        </m:r>
      </m:oMath>
      <w:r>
        <w:t xml:space="preserve">: the ACID construction cancels the interfacial flux imbalance to machine precision, and the property survives the THINC guard. For the advected contact (case 02), pressure and velocity stay uniform to machine precision (</w:t>
      </w:r>
      <m:oMath>
        <m:sSub>
          <m:e>
            <m:r>
              <m:t>L</m:t>
            </m:r>
          </m:e>
          <m:sub>
            <m:r>
              <m:rPr>
                <m:sty m:val="p"/>
              </m:rPr>
              <m:t>∞</m:t>
            </m:r>
          </m:sub>
        </m:sSub>
        <m:d>
          <m:dPr>
            <m:begChr m:val="("/>
            <m:endChr m:val=")"/>
            <m:sepChr m:val=""/>
            <m:grow/>
          </m:dPr>
          <m:e>
            <m:r>
              <m:t>p</m:t>
            </m:r>
          </m:e>
        </m:d>
        <m:r>
          <m:rPr>
            <m:sty m:val="p"/>
          </m:rPr>
          <m:t>=</m:t>
        </m:r>
        <m:r>
          <m:t>0</m:t>
        </m:r>
      </m:oMath>
      <w:r>
        <w:t xml:space="preserve">,</w:t>
      </w:r>
      <w:r>
        <w:t xml:space="preserve"> </w:t>
      </w:r>
      <m:oMath>
        <m:sSub>
          <m:e>
            <m:r>
              <m:t>L</m:t>
            </m:r>
          </m:e>
          <m:sub>
            <m:r>
              <m:rPr>
                <m:sty m:val="p"/>
              </m:rPr>
              <m:t>∞</m:t>
            </m:r>
          </m:sub>
        </m:sSub>
        <m:d>
          <m:dPr>
            <m:begChr m:val="("/>
            <m:endChr m:val=")"/>
            <m:sepChr m:val=""/>
            <m:grow/>
          </m:dPr>
          <m:e>
            <m:r>
              <m:t>u</m:t>
            </m:r>
          </m:e>
        </m:d>
        <m:r>
          <m:rPr>
            <m:sty m:val="p"/>
          </m:rPr>
          <m:t>=</m:t>
        </m:r>
        <m:sSup>
          <m:e>
            <m:r>
              <m:t>10</m:t>
            </m:r>
          </m:e>
          <m:sup>
            <m:r>
              <m:rPr>
                <m:sty m:val="p"/>
              </m:rPr>
              <m:t>−</m:t>
            </m:r>
            <m:r>
              <m:t>14</m:t>
            </m:r>
          </m:sup>
        </m:sSup>
      </m:oMath>
      <w:r>
        <w:t xml:space="preserve">); the guarded THINC transport gives density correlation</w:t>
      </w:r>
      <w:r>
        <w:t xml:space="preserve"> </w:t>
      </w:r>
      <m:oMath>
        <m:r>
          <m:t>0.997</m:t>
        </m:r>
      </m:oMath>
      <w:r>
        <w:t xml:space="preserve"> </w:t>
      </w:r>
      <w:r>
        <w:t xml:space="preserve">at</w:t>
      </w:r>
      <w:r>
        <w:t xml:space="preserve"> </w:t>
      </w:r>
      <m:oMath>
        <m:r>
          <m:t>N</m:t>
        </m:r>
        <m:r>
          <m:rPr>
            <m:sty m:val="p"/>
          </m:rPr>
          <m:t>=</m:t>
        </m:r>
        <m:r>
          <m:t>500</m:t>
        </m:r>
      </m:oMath>
      <w:r>
        <w:t xml:space="preserve"> </w:t>
      </w:r>
      <w:r>
        <w:t xml:space="preserve">with the contact over about five cells, against roughly forty-six for first-order upwinding (Section 4.10); Figures 2 and 3 show both cases with pointwise-error panels.</w:t>
      </w:r>
    </w:p>
    <w:p>
      <w:pPr>
        <w:pStyle w:val="BodyText"/>
      </w:pPr>
      <w:r>
        <w:drawing>
          <wp:inline>
            <wp:extent cx="3733800" cy="1026794"/>
            <wp:effectExtent b="0" l="0" r="0" t="0"/>
            <wp:docPr descr="" title="" id="40" name="Picture"/>
            <a:graphic>
              <a:graphicData uri="http://schemas.openxmlformats.org/drawingml/2006/picture">
                <pic:pic>
                  <pic:nvPicPr>
                    <pic:cNvPr descr="results_cpp/figs/case01.png" id="41" name="Picture"/>
                    <pic:cNvPicPr>
                      <a:picLocks noChangeArrowheads="1" noChangeAspect="1"/>
                    </pic:cNvPicPr>
                  </pic:nvPicPr>
                  <pic:blipFill>
                    <a:blip r:embed="rId39"/>
                    <a:stretch>
                      <a:fillRect/>
                    </a:stretch>
                  </pic:blipFill>
                  <pic:spPr bwMode="auto">
                    <a:xfrm>
                      <a:off x="0" y="0"/>
                      <a:ext cx="3733800" cy="1026794"/>
                    </a:xfrm>
                    <a:prstGeom prst="rect">
                      <a:avLst/>
                    </a:prstGeom>
                    <a:noFill/>
                    <a:ln w="9525">
                      <a:noFill/>
                      <a:headEnd/>
                      <a:tailEnd/>
                    </a:ln>
                  </pic:spPr>
                </pic:pic>
              </a:graphicData>
            </a:graphic>
          </wp:inline>
        </w:drawing>
      </w:r>
      <w:r>
        <w:t xml:space="preserve"> </w:t>
      </w:r>
      <w:r>
        <w:drawing>
          <wp:inline>
            <wp:extent cx="4533900" cy="806026"/>
            <wp:effectExtent b="0" l="0" r="0" t="0"/>
            <wp:docPr descr="" title="" id="43" name="Picture"/>
            <a:graphic>
              <a:graphicData uri="http://schemas.openxmlformats.org/drawingml/2006/picture">
                <pic:pic>
                  <pic:nvPicPr>
                    <pic:cNvPr descr="results_cpp/figs/case01_err.png" id="44" name="Picture"/>
                    <pic:cNvPicPr>
                      <a:picLocks noChangeArrowheads="1" noChangeAspect="1"/>
                    </pic:cNvPicPr>
                  </pic:nvPicPr>
                  <pic:blipFill>
                    <a:blip r:embed="rId42"/>
                    <a:stretch>
                      <a:fillRect/>
                    </a:stretch>
                  </pic:blipFill>
                  <pic:spPr bwMode="auto">
                    <a:xfrm>
                      <a:off x="0" y="0"/>
                      <a:ext cx="4533900" cy="806026"/>
                    </a:xfrm>
                    <a:prstGeom prst="rect">
                      <a:avLst/>
                    </a:prstGeom>
                    <a:noFill/>
                    <a:ln w="9525">
                      <a:noFill/>
                      <a:headEnd/>
                      <a:tailEnd/>
                    </a:ln>
                  </pic:spPr>
                </pic:pic>
              </a:graphicData>
            </a:graphic>
          </wp:inline>
        </w:drawing>
      </w:r>
    </w:p>
    <w:p>
      <w:pPr>
        <w:pStyle w:val="BodyText"/>
      </w:pPr>
      <w:r>
        <w:rPr>
          <w:i/>
          <w:iCs/>
        </w:rPr>
        <w:t xml:space="preserve">Figure 2: Static liquid–gas interface (case 01), solver (red) versus reference (blue), with pointwise absolute errors below: all three errors are exactly zero (the flat line is the</w:t>
      </w:r>
      <w:r>
        <w:rPr>
          <w:i/>
          <w:iCs/>
        </w:rPr>
        <w:t xml:space="preserve"> </w:t>
      </w:r>
      <m:oMath>
        <m:sSup>
          <m:e>
            <m:r>
              <m:t>10</m:t>
            </m:r>
          </m:e>
          <m:sup>
            <m:r>
              <m:rPr>
                <m:sty m:val="p"/>
              </m:rPr>
              <m:t>−</m:t>
            </m:r>
            <m:r>
              <m:t>18</m:t>
            </m:r>
          </m:sup>
        </m:sSup>
      </m:oMath>
      <w:r>
        <w:rPr>
          <w:i/>
          <w:iCs/>
        </w:rPr>
        <w:t xml:space="preserve"> </w:t>
      </w:r>
      <w:r>
        <w:rPr>
          <w:i/>
          <w:iCs/>
        </w:rPr>
        <w:t xml:space="preserve">plotting floor) — the discrete pressure-equilibrium property.</w:t>
      </w:r>
    </w:p>
    <w:p>
      <w:pPr>
        <w:pStyle w:val="BodyText"/>
      </w:pPr>
      <w:r>
        <w:drawing>
          <wp:inline>
            <wp:extent cx="3733800" cy="1026794"/>
            <wp:effectExtent b="0" l="0" r="0" t="0"/>
            <wp:docPr descr="" title="" id="46" name="Picture"/>
            <a:graphic>
              <a:graphicData uri="http://schemas.openxmlformats.org/drawingml/2006/picture">
                <pic:pic>
                  <pic:nvPicPr>
                    <pic:cNvPr descr="results_cpp/figs/case02.png" id="47" name="Picture"/>
                    <pic:cNvPicPr>
                      <a:picLocks noChangeArrowheads="1" noChangeAspect="1"/>
                    </pic:cNvPicPr>
                  </pic:nvPicPr>
                  <pic:blipFill>
                    <a:blip r:embed="rId45"/>
                    <a:stretch>
                      <a:fillRect/>
                    </a:stretch>
                  </pic:blipFill>
                  <pic:spPr bwMode="auto">
                    <a:xfrm>
                      <a:off x="0" y="0"/>
                      <a:ext cx="3733800" cy="1026794"/>
                    </a:xfrm>
                    <a:prstGeom prst="rect">
                      <a:avLst/>
                    </a:prstGeom>
                    <a:noFill/>
                    <a:ln w="9525">
                      <a:noFill/>
                      <a:headEnd/>
                      <a:tailEnd/>
                    </a:ln>
                  </pic:spPr>
                </pic:pic>
              </a:graphicData>
            </a:graphic>
          </wp:inline>
        </w:drawing>
      </w:r>
      <w:r>
        <w:t xml:space="preserve"> </w:t>
      </w:r>
      <w:r>
        <w:drawing>
          <wp:inline>
            <wp:extent cx="4533900" cy="806026"/>
            <wp:effectExtent b="0" l="0" r="0" t="0"/>
            <wp:docPr descr="" title="" id="49" name="Picture"/>
            <a:graphic>
              <a:graphicData uri="http://schemas.openxmlformats.org/drawingml/2006/picture">
                <pic:pic>
                  <pic:nvPicPr>
                    <pic:cNvPr descr="results_cpp/figs/case02_err.png" id="50" name="Picture"/>
                    <pic:cNvPicPr>
                      <a:picLocks noChangeArrowheads="1" noChangeAspect="1"/>
                    </pic:cNvPicPr>
                  </pic:nvPicPr>
                  <pic:blipFill>
                    <a:blip r:embed="rId48"/>
                    <a:stretch>
                      <a:fillRect/>
                    </a:stretch>
                  </pic:blipFill>
                  <pic:spPr bwMode="auto">
                    <a:xfrm>
                      <a:off x="0" y="0"/>
                      <a:ext cx="4533900" cy="806026"/>
                    </a:xfrm>
                    <a:prstGeom prst="rect">
                      <a:avLst/>
                    </a:prstGeom>
                    <a:noFill/>
                    <a:ln w="9525">
                      <a:noFill/>
                      <a:headEnd/>
                      <a:tailEnd/>
                    </a:ln>
                  </pic:spPr>
                </pic:pic>
              </a:graphicData>
            </a:graphic>
          </wp:inline>
        </w:drawing>
      </w:r>
    </w:p>
    <w:p>
      <w:pPr>
        <w:pStyle w:val="BodyText"/>
      </w:pPr>
      <w:r>
        <w:rPr>
          <w:i/>
          <w:iCs/>
        </w:rPr>
        <w:t xml:space="preserve">Figure 3: Contact advection (case 02, Ref. [17] §7.1): pressure and velocity uniform to machine precision, the density contact THINC-captured (corr</w:t>
      </w:r>
      <w:r>
        <w:rPr>
          <w:i/>
          <w:iCs/>
        </w:rPr>
        <w:t xml:space="preserve"> </w:t>
      </w:r>
      <m:oMath>
        <m:r>
          <m:t>ρ</m:t>
        </m:r>
        <m:r>
          <m:rPr>
            <m:sty m:val="p"/>
          </m:rPr>
          <m:t>=</m:t>
        </m:r>
        <m:r>
          <m:t>0.997</m:t>
        </m:r>
      </m:oMath>
      <w:r>
        <w:rPr>
          <w:i/>
          <w:iCs/>
        </w:rPr>
        <w:t xml:space="preserve">); the error panels show</w:t>
      </w:r>
      <w:r>
        <w:rPr>
          <w:i/>
          <w:iCs/>
        </w:rPr>
        <w:t xml:space="preserve"> </w:t>
      </w:r>
      <m:oMath>
        <m:r>
          <m:t>p</m:t>
        </m:r>
      </m:oMath>
      <w:r>
        <w:rPr>
          <w:i/>
          <w:iCs/>
        </w:rPr>
        <w:t xml:space="preserve"> </w:t>
      </w:r>
      <w:r>
        <w:rPr>
          <w:i/>
          <w:iCs/>
        </w:rPr>
        <w:t xml:space="preserve">and</w:t>
      </w:r>
      <w:r>
        <w:rPr>
          <w:i/>
          <w:iCs/>
        </w:rPr>
        <w:t xml:space="preserve"> </w:t>
      </w:r>
      <m:oMath>
        <m:r>
          <m:t>u</m:t>
        </m:r>
      </m:oMath>
      <w:r>
        <w:rPr>
          <w:i/>
          <w:iCs/>
        </w:rPr>
        <w:t xml:space="preserve"> </w:t>
      </w:r>
      <w:r>
        <w:rPr>
          <w:i/>
          <w:iCs/>
        </w:rPr>
        <w:t xml:space="preserve">at the machine floor and the density error confined to the contact band.</w:t>
      </w:r>
    </w:p>
    <w:bookmarkEnd w:id="51"/>
    <w:bookmarkStart w:id="58" w:name="single-phase-acoustics-cases-04-05"/>
    <w:p>
      <w:pPr>
        <w:pStyle w:val="Heading2"/>
      </w:pPr>
      <w:r>
        <w:t xml:space="preserve">4.4 Single-phase acoustics (cases 04, 05)</w:t>
      </w:r>
    </w:p>
    <w:p>
      <w:pPr>
        <w:pStyle w:val="FirstParagraph"/>
      </w:pPr>
      <w:r>
        <w:t xml:space="preserve">The propagating sinusoidal waves quantify dissipation and dispersion away from interfaces: pressure amplitude ratios</w:t>
      </w:r>
      <w:r>
        <w:t xml:space="preserve"> </w:t>
      </w:r>
      <m:oMath>
        <m:r>
          <m:t>1.001</m:t>
        </m:r>
      </m:oMath>
      <w:r>
        <w:t xml:space="preserve"> </w:t>
      </w:r>
      <w:r>
        <w:t xml:space="preserve">(air, case 04) and</w:t>
      </w:r>
      <w:r>
        <w:t xml:space="preserve"> </w:t>
      </w:r>
      <m:oMath>
        <m:r>
          <m:t>1.001</m:t>
        </m:r>
      </m:oMath>
      <w:r>
        <w:t xml:space="preserve"> </w:t>
      </w:r>
      <w:r>
        <w:t xml:space="preserve">(water, case 05), pressure correlations</w:t>
      </w:r>
      <w:r>
        <w:t xml:space="preserve"> </w:t>
      </w:r>
      <m:oMath>
        <m:r>
          <m:t>0.9989</m:t>
        </m:r>
      </m:oMath>
      <w:r>
        <w:t xml:space="preserve"> </w:t>
      </w:r>
      <w:r>
        <w:t xml:space="preserve">and</w:t>
      </w:r>
      <w:r>
        <w:t xml:space="preserve"> </w:t>
      </w:r>
      <m:oMath>
        <m:r>
          <m:t>0.9999</m:t>
        </m:r>
      </m:oMath>
      <w:r>
        <w:t xml:space="preserve">, velocity correlations</w:t>
      </w:r>
      <w:r>
        <w:t xml:space="preserve"> </w:t>
      </w:r>
      <m:oMath>
        <m:r>
          <m:t>0.9988</m:t>
        </m:r>
      </m:oMath>
      <w:r>
        <w:t xml:space="preserve"> </w:t>
      </w:r>
      <w:r>
        <w:t xml:space="preserve">and</w:t>
      </w:r>
      <w:r>
        <w:t xml:space="preserve"> </w:t>
      </w:r>
      <m:oMath>
        <m:r>
          <m:t>0.9999</m:t>
        </m:r>
      </m:oMath>
      <w:r>
        <w:t xml:space="preserve"> </w:t>
      </w:r>
      <w:r>
        <w:t xml:space="preserve">— no measurable amplitude loss (Figure 4).</w:t>
      </w:r>
    </w:p>
    <w:p>
      <w:pPr>
        <w:pStyle w:val="BodyText"/>
      </w:pPr>
      <w:r>
        <w:drawing>
          <wp:inline>
            <wp:extent cx="3733800" cy="1026794"/>
            <wp:effectExtent b="0" l="0" r="0" t="0"/>
            <wp:docPr descr="" title="" id="53" name="Picture"/>
            <a:graphic>
              <a:graphicData uri="http://schemas.openxmlformats.org/drawingml/2006/picture">
                <pic:pic>
                  <pic:nvPicPr>
                    <pic:cNvPr descr="results_cpp/figs/case04.png" id="54" name="Picture"/>
                    <pic:cNvPicPr>
                      <a:picLocks noChangeArrowheads="1" noChangeAspect="1"/>
                    </pic:cNvPicPr>
                  </pic:nvPicPr>
                  <pic:blipFill>
                    <a:blip r:embed="rId52"/>
                    <a:stretch>
                      <a:fillRect/>
                    </a:stretch>
                  </pic:blipFill>
                  <pic:spPr bwMode="auto">
                    <a:xfrm>
                      <a:off x="0" y="0"/>
                      <a:ext cx="3733800" cy="1026794"/>
                    </a:xfrm>
                    <a:prstGeom prst="rect">
                      <a:avLst/>
                    </a:prstGeom>
                    <a:noFill/>
                    <a:ln w="9525">
                      <a:noFill/>
                      <a:headEnd/>
                      <a:tailEnd/>
                    </a:ln>
                  </pic:spPr>
                </pic:pic>
              </a:graphicData>
            </a:graphic>
          </wp:inline>
        </w:drawing>
      </w:r>
      <w:r>
        <w:t xml:space="preserve"> </w:t>
      </w:r>
      <w:r>
        <w:drawing>
          <wp:inline>
            <wp:extent cx="3733800" cy="1026794"/>
            <wp:effectExtent b="0" l="0" r="0" t="0"/>
            <wp:docPr descr="" title="" id="56" name="Picture"/>
            <a:graphic>
              <a:graphicData uri="http://schemas.openxmlformats.org/drawingml/2006/picture">
                <pic:pic>
                  <pic:nvPicPr>
                    <pic:cNvPr descr="results_cpp/figs/case05.png" id="57" name="Picture"/>
                    <pic:cNvPicPr>
                      <a:picLocks noChangeArrowheads="1" noChangeAspect="1"/>
                    </pic:cNvPicPr>
                  </pic:nvPicPr>
                  <pic:blipFill>
                    <a:blip r:embed="rId55"/>
                    <a:stretch>
                      <a:fillRect/>
                    </a:stretch>
                  </pic:blipFill>
                  <pic:spPr bwMode="auto">
                    <a:xfrm>
                      <a:off x="0" y="0"/>
                      <a:ext cx="3733800" cy="1026794"/>
                    </a:xfrm>
                    <a:prstGeom prst="rect">
                      <a:avLst/>
                    </a:prstGeom>
                    <a:noFill/>
                    <a:ln w="9525">
                      <a:noFill/>
                      <a:headEnd/>
                      <a:tailEnd/>
                    </a:ln>
                  </pic:spPr>
                </pic:pic>
              </a:graphicData>
            </a:graphic>
          </wp:inline>
        </w:drawing>
      </w:r>
    </w:p>
    <w:p>
      <w:pPr>
        <w:pStyle w:val="BodyText"/>
      </w:pPr>
      <w:r>
        <w:rPr>
          <w:i/>
          <w:iCs/>
        </w:rPr>
        <w:t xml:space="preserve">Figure 4: Acoustic waves versus d’Alembert references: (top) air, case 04, 2 kHz — amplitude ratio</w:t>
      </w:r>
      <w:r>
        <w:rPr>
          <w:i/>
          <w:iCs/>
        </w:rPr>
        <w:t xml:space="preserve"> </w:t>
      </w:r>
      <m:oMath>
        <m:r>
          <m:t>1.001</m:t>
        </m:r>
      </m:oMath>
      <w:r>
        <w:rPr>
          <w:i/>
          <w:iCs/>
        </w:rPr>
        <w:t xml:space="preserve">, correlation</w:t>
      </w:r>
      <w:r>
        <w:rPr>
          <w:i/>
          <w:iCs/>
        </w:rPr>
        <w:t xml:space="preserve"> </w:t>
      </w:r>
      <m:oMath>
        <m:r>
          <m:t>0.9989</m:t>
        </m:r>
      </m:oMath>
      <w:r>
        <w:rPr>
          <w:i/>
          <w:iCs/>
        </w:rPr>
        <w:t xml:space="preserve">; (bottom) stiffened-gas water, case 05, 6 kHz — amplitude ratio</w:t>
      </w:r>
      <w:r>
        <w:rPr>
          <w:i/>
          <w:iCs/>
        </w:rPr>
        <w:t xml:space="preserve"> </w:t>
      </w:r>
      <m:oMath>
        <m:r>
          <m:t>1.001</m:t>
        </m:r>
      </m:oMath>
      <w:r>
        <w:rPr>
          <w:i/>
          <w:iCs/>
        </w:rPr>
        <w:t xml:space="preserve">, correlation</w:t>
      </w:r>
      <w:r>
        <w:rPr>
          <w:i/>
          <w:iCs/>
        </w:rPr>
        <w:t xml:space="preserve"> </w:t>
      </w:r>
      <m:oMath>
        <m:r>
          <m:t>0.9999</m:t>
        </m:r>
      </m:oMath>
      <w:r>
        <w:rPr>
          <w:i/>
          <w:iCs/>
        </w:rPr>
        <w:t xml:space="preserve">.</w:t>
      </w:r>
    </w:p>
    <w:bookmarkEnd w:id="58"/>
    <w:bookmarkStart w:id="68" w:name="X7c5f56ab6af99ce582df2e04e105bfcebe30682"/>
    <w:p>
      <w:pPr>
        <w:pStyle w:val="Heading2"/>
      </w:pPr>
      <w:r>
        <w:t xml:space="preserve">4.5 Interfacial acoustics and reflection/transmission (cases 07, 35, 36)</w:t>
      </w:r>
    </w:p>
    <w:p>
      <w:pPr>
        <w:pStyle w:val="FirstParagraph"/>
      </w:pPr>
      <w:r>
        <w:t xml:space="preserve">A single-period wave packet impinges on a material interface; reflected and transmitted amplitudes are compared with linear-acoustic impedance relations. Air–water (case 07, impedance ratio of order</w:t>
      </w:r>
      <w:r>
        <w:t xml:space="preserve"> </w:t>
      </w:r>
      <m:oMath>
        <m:r>
          <m:t>3</m:t>
        </m:r>
        <m:r>
          <m:rPr>
            <m:sty m:val="p"/>
          </m:rPr>
          <m:t>×</m:t>
        </m:r>
        <m:sSup>
          <m:e>
            <m:r>
              <m:t>10</m:t>
            </m:r>
          </m:e>
          <m:sup>
            <m:r>
              <m:t>3</m:t>
            </m:r>
          </m:sup>
        </m:sSup>
      </m:oMath>
      <w:r>
        <w:t xml:space="preserve">): pressure amplitude ratio</w:t>
      </w:r>
      <w:r>
        <w:t xml:space="preserve"> </w:t>
      </w:r>
      <m:oMath>
        <m:r>
          <m:t>0.986</m:t>
        </m:r>
      </m:oMath>
      <w:r>
        <w:t xml:space="preserve">, correlation</w:t>
      </w:r>
      <w:r>
        <w:t xml:space="preserve"> </w:t>
      </w:r>
      <m:oMath>
        <m:r>
          <m:t>0.9983</m:t>
        </m:r>
      </m:oMath>
      <w:r>
        <w:t xml:space="preserve">, velocity amplitude ratio</w:t>
      </w:r>
      <w:r>
        <w:t xml:space="preserve"> </w:t>
      </w:r>
      <m:oMath>
        <m:r>
          <m:t>0.996</m:t>
        </m:r>
      </m:oMath>
      <w:r>
        <w:t xml:space="preserve">. Helium–air and argon–air (cases 35, 36): amplitude ratios</w:t>
      </w:r>
      <w:r>
        <w:t xml:space="preserve"> </w:t>
      </w:r>
      <m:oMath>
        <m:r>
          <m:t>0.994</m:t>
        </m:r>
      </m:oMath>
      <w:r>
        <w:t xml:space="preserve"> </w:t>
      </w:r>
      <w:r>
        <w:t xml:space="preserve">and</w:t>
      </w:r>
      <w:r>
        <w:t xml:space="preserve"> </w:t>
      </w:r>
      <m:oMath>
        <m:r>
          <m:t>1.001</m:t>
        </m:r>
      </m:oMath>
      <w:r>
        <w:t xml:space="preserve">, correlations</w:t>
      </w:r>
      <w:r>
        <w:t xml:space="preserve"> </w:t>
      </w:r>
      <m:oMath>
        <m:r>
          <m:t>0.9994</m:t>
        </m:r>
      </m:oMath>
      <w:r>
        <w:t xml:space="preserve"> </w:t>
      </w:r>
      <w:r>
        <w:t xml:space="preserve">and</w:t>
      </w:r>
      <w:r>
        <w:t xml:space="preserve"> </w:t>
      </w:r>
      <m:oMath>
        <m:r>
          <m:t>0.9998</m:t>
        </m:r>
      </m:oMath>
      <w:r>
        <w:t xml:space="preserve">. The residual post-packet ripple, of order</w:t>
      </w:r>
      <w:r>
        <w:t xml:space="preserve"> </w:t>
      </w:r>
      <m:oMath>
        <m:sSup>
          <m:e>
            <m:r>
              <m:t>10</m:t>
            </m:r>
          </m:e>
          <m:sup>
            <m:r>
              <m:rPr>
                <m:sty m:val="p"/>
              </m:rPr>
              <m:t>−</m:t>
            </m:r>
            <m:r>
              <m:t>1</m:t>
            </m:r>
          </m:sup>
        </m:sSup>
      </m:oMath>
      <w:r>
        <w:t xml:space="preserve"> </w:t>
      </w:r>
      <w:r>
        <w:t xml:space="preserve">Pa against</w:t>
      </w:r>
      <w:r>
        <w:t xml:space="preserve"> </w:t>
      </w:r>
      <m:oMath>
        <m:sSup>
          <m:e>
            <m:r>
              <m:t>10</m:t>
            </m:r>
          </m:e>
          <m:sup>
            <m:r>
              <m:t>5</m:t>
            </m:r>
          </m:sup>
        </m:sSup>
      </m:oMath>
      <w:r>
        <w:t xml:space="preserve"> </w:t>
      </w:r>
      <w:r>
        <w:t xml:space="preserve">Pa, is the smooth dispersive tail of the high-order reconstruction (Section 4.11); the full-field metric exposes what an amplitude comparison would not (Figures 5, 6).</w:t>
      </w:r>
    </w:p>
    <w:p>
      <w:pPr>
        <w:pStyle w:val="CaptionedFigure"/>
      </w:pPr>
      <w:r>
        <w:drawing>
          <wp:inline>
            <wp:extent cx="3733800" cy="1026794"/>
            <wp:effectExtent b="0" l="0" r="0" t="0"/>
            <wp:docPr descr="Figure 5: Air–water acoustic reflection/transmission (case 07, Ref. [17] §7.3.2): near-total reflection in the gas, near-doubled transmitted pressure. Amplitude ratio 0.986, correlation 0.9983." title="" id="60" name="Picture"/>
            <a:graphic>
              <a:graphicData uri="http://schemas.openxmlformats.org/drawingml/2006/picture">
                <pic:pic>
                  <pic:nvPicPr>
                    <pic:cNvPr descr="results_cpp/figs/case07.png" id="61" name="Picture"/>
                    <pic:cNvPicPr>
                      <a:picLocks noChangeArrowheads="1" noChangeAspect="1"/>
                    </pic:cNvPicPr>
                  </pic:nvPicPr>
                  <pic:blipFill>
                    <a:blip r:embed="rId59"/>
                    <a:stretch>
                      <a:fillRect/>
                    </a:stretch>
                  </pic:blipFill>
                  <pic:spPr bwMode="auto">
                    <a:xfrm>
                      <a:off x="0" y="0"/>
                      <a:ext cx="3733800" cy="1026794"/>
                    </a:xfrm>
                    <a:prstGeom prst="rect">
                      <a:avLst/>
                    </a:prstGeom>
                    <a:noFill/>
                    <a:ln w="9525">
                      <a:noFill/>
                      <a:headEnd/>
                      <a:tailEnd/>
                    </a:ln>
                  </pic:spPr>
                </pic:pic>
              </a:graphicData>
            </a:graphic>
          </wp:inline>
        </w:drawing>
      </w:r>
    </w:p>
    <w:p>
      <w:pPr>
        <w:pStyle w:val="ImageCaption"/>
      </w:pPr>
      <w:r>
        <w:t xml:space="preserve">Figure 5: Air–water acoustic reflection/transmission (case 07, Ref. [17] §7.3.2): near-total reflection in the gas, near-doubled transmitted pressure. Amplitude ratio</w:t>
      </w:r>
      <w:r>
        <w:t xml:space="preserve"> </w:t>
      </w:r>
      <m:oMath>
        <m:r>
          <m:t>0.986</m:t>
        </m:r>
      </m:oMath>
      <w:r>
        <w:t xml:space="preserve">, correlation</w:t>
      </w:r>
      <w:r>
        <w:t xml:space="preserve"> </w:t>
      </w:r>
      <m:oMath>
        <m:r>
          <m:t>0.9983</m:t>
        </m:r>
      </m:oMath>
      <w:r>
        <w:t xml:space="preserve">.</w:t>
      </w:r>
    </w:p>
    <w:p>
      <w:pPr>
        <w:pStyle w:val="BodyText"/>
      </w:pPr>
      <w:r>
        <w:drawing>
          <wp:inline>
            <wp:extent cx="3733800" cy="1026794"/>
            <wp:effectExtent b="0" l="0" r="0" t="0"/>
            <wp:docPr descr="" title="" id="63" name="Picture"/>
            <a:graphic>
              <a:graphicData uri="http://schemas.openxmlformats.org/drawingml/2006/picture">
                <pic:pic>
                  <pic:nvPicPr>
                    <pic:cNvPr descr="results_cpp/figs/case35.png" id="64" name="Picture"/>
                    <pic:cNvPicPr>
                      <a:picLocks noChangeArrowheads="1" noChangeAspect="1"/>
                    </pic:cNvPicPr>
                  </pic:nvPicPr>
                  <pic:blipFill>
                    <a:blip r:embed="rId62"/>
                    <a:stretch>
                      <a:fillRect/>
                    </a:stretch>
                  </pic:blipFill>
                  <pic:spPr bwMode="auto">
                    <a:xfrm>
                      <a:off x="0" y="0"/>
                      <a:ext cx="3733800" cy="1026794"/>
                    </a:xfrm>
                    <a:prstGeom prst="rect">
                      <a:avLst/>
                    </a:prstGeom>
                    <a:noFill/>
                    <a:ln w="9525">
                      <a:noFill/>
                      <a:headEnd/>
                      <a:tailEnd/>
                    </a:ln>
                  </pic:spPr>
                </pic:pic>
              </a:graphicData>
            </a:graphic>
          </wp:inline>
        </w:drawing>
      </w:r>
      <w:r>
        <w:t xml:space="preserve"> </w:t>
      </w:r>
      <w:r>
        <w:drawing>
          <wp:inline>
            <wp:extent cx="3733800" cy="1026794"/>
            <wp:effectExtent b="0" l="0" r="0" t="0"/>
            <wp:docPr descr="" title="" id="66" name="Picture"/>
            <a:graphic>
              <a:graphicData uri="http://schemas.openxmlformats.org/drawingml/2006/picture">
                <pic:pic>
                  <pic:nvPicPr>
                    <pic:cNvPr descr="results_cpp/figs/case36.png" id="67" name="Picture"/>
                    <pic:cNvPicPr>
                      <a:picLocks noChangeArrowheads="1" noChangeAspect="1"/>
                    </pic:cNvPicPr>
                  </pic:nvPicPr>
                  <pic:blipFill>
                    <a:blip r:embed="rId65"/>
                    <a:stretch>
                      <a:fillRect/>
                    </a:stretch>
                  </pic:blipFill>
                  <pic:spPr bwMode="auto">
                    <a:xfrm>
                      <a:off x="0" y="0"/>
                      <a:ext cx="3733800" cy="1026794"/>
                    </a:xfrm>
                    <a:prstGeom prst="rect">
                      <a:avLst/>
                    </a:prstGeom>
                    <a:noFill/>
                    <a:ln w="9525">
                      <a:noFill/>
                      <a:headEnd/>
                      <a:tailEnd/>
                    </a:ln>
                  </pic:spPr>
                </pic:pic>
              </a:graphicData>
            </a:graphic>
          </wp:inline>
        </w:drawing>
      </w:r>
    </w:p>
    <w:p>
      <w:pPr>
        <w:pStyle w:val="BodyText"/>
      </w:pPr>
      <w:r>
        <w:rPr>
          <w:i/>
          <w:iCs/>
        </w:rPr>
        <w:t xml:space="preserve">Figure 6: Reflection/transmission siblings (Ref. [17] Fig. 12): (top) helium–air, case 35 — amplitude ratio</w:t>
      </w:r>
      <w:r>
        <w:rPr>
          <w:i/>
          <w:iCs/>
        </w:rPr>
        <w:t xml:space="preserve"> </w:t>
      </w:r>
      <m:oMath>
        <m:r>
          <m:t>0.994</m:t>
        </m:r>
      </m:oMath>
      <w:r>
        <w:rPr>
          <w:i/>
          <w:iCs/>
        </w:rPr>
        <w:t xml:space="preserve">, correlation</w:t>
      </w:r>
      <w:r>
        <w:rPr>
          <w:i/>
          <w:iCs/>
        </w:rPr>
        <w:t xml:space="preserve"> </w:t>
      </w:r>
      <m:oMath>
        <m:r>
          <m:t>0.9994</m:t>
        </m:r>
      </m:oMath>
      <w:r>
        <w:rPr>
          <w:i/>
          <w:iCs/>
        </w:rPr>
        <w:t xml:space="preserve">; (bottom) argon–air, case 36 — amplitude ratio</w:t>
      </w:r>
      <w:r>
        <w:rPr>
          <w:i/>
          <w:iCs/>
        </w:rPr>
        <w:t xml:space="preserve"> </w:t>
      </w:r>
      <m:oMath>
        <m:r>
          <m:t>1.001</m:t>
        </m:r>
      </m:oMath>
      <w:r>
        <w:rPr>
          <w:i/>
          <w:iCs/>
        </w:rPr>
        <w:t xml:space="preserve">, correlation</w:t>
      </w:r>
      <w:r>
        <w:rPr>
          <w:i/>
          <w:iCs/>
        </w:rPr>
        <w:t xml:space="preserve"> </w:t>
      </w:r>
      <m:oMath>
        <m:r>
          <m:t>0.9998</m:t>
        </m:r>
      </m:oMath>
      <w:r>
        <w:rPr>
          <w:i/>
          <w:iCs/>
        </w:rPr>
        <w:t xml:space="preserve">.</w:t>
      </w:r>
    </w:p>
    <w:bookmarkEnd w:id="68"/>
    <w:bookmarkStart w:id="75" w:name="two-phase-shock-tubes-cases-13-14"/>
    <w:p>
      <w:pPr>
        <w:pStyle w:val="Heading2"/>
      </w:pPr>
      <w:r>
        <w:t xml:space="preserve">4.6 Two-phase shock tubes (cases 13, 14)</w:t>
      </w:r>
    </w:p>
    <w:p>
      <w:pPr>
        <w:pStyle w:val="FirstParagraph"/>
      </w:pPr>
      <w:r>
        <w:t xml:space="preserve">The strong liquid–gas shock tubes are compared against exact two-material NASG Riemann solutions. Case 13 (air into water): correlations</w:t>
      </w:r>
      <w:r>
        <w:t xml:space="preserve"> </w:t>
      </w:r>
      <m:oMath>
        <m:r>
          <m:t>0.9973</m:t>
        </m:r>
      </m:oMath>
      <w:r>
        <w:t xml:space="preserve">/</w:t>
      </w:r>
      <m:oMath>
        <m:r>
          <m:t>0.9938</m:t>
        </m:r>
      </m:oMath>
      <w:r>
        <w:t xml:space="preserve">/</w:t>
      </w:r>
      <m:oMath>
        <m:r>
          <m:t>0.9990</m:t>
        </m:r>
      </m:oMath>
      <w:r>
        <w:t xml:space="preserve"> </w:t>
      </w:r>
      <w:r>
        <w:t xml:space="preserve">(</w:t>
      </w:r>
      <m:oMath>
        <m:r>
          <m:t>p</m:t>
        </m:r>
      </m:oMath>
      <w:r>
        <w:t xml:space="preserve">/</w:t>
      </w:r>
      <m:oMath>
        <m:r>
          <m:t>u</m:t>
        </m:r>
      </m:oMath>
      <w:r>
        <w:t xml:space="preserve">/</w:t>
      </w:r>
      <m:oMath>
        <m:r>
          <m:t>ρ</m:t>
        </m:r>
      </m:oMath>
      <w:r>
        <w:t xml:space="preserve">), shock front over one to two cells (per-face velocity-jump ratio</w:t>
      </w:r>
      <w:r>
        <w:t xml:space="preserve"> </w:t>
      </w:r>
      <m:oMath>
        <m:r>
          <m:t>0.15</m:t>
        </m:r>
      </m:oMath>
      <w:r>
        <w:t xml:space="preserve">), zero shock-band overshoot and total-variation excess. Case 14 (reversed, NASG water into air): correlations</w:t>
      </w:r>
      <w:r>
        <w:t xml:space="preserve"> </w:t>
      </w:r>
      <m:oMath>
        <m:r>
          <m:t>0.9995</m:t>
        </m:r>
      </m:oMath>
      <w:r>
        <w:t xml:space="preserve">/</w:t>
      </w:r>
      <m:oMath>
        <m:r>
          <m:t>0.9723</m:t>
        </m:r>
      </m:oMath>
      <w:r>
        <w:t xml:space="preserve">/</w:t>
      </w:r>
      <m:oMath>
        <m:r>
          <m:t>0.9929</m:t>
        </m:r>
      </m:oMath>
      <w:r>
        <w:t xml:space="preserve">; the reduced velocity correlation is the contact-band smear of Section 4.10 (Figure 7).</w:t>
      </w:r>
    </w:p>
    <w:p>
      <w:pPr>
        <w:pStyle w:val="BodyText"/>
      </w:pPr>
      <w:r>
        <w:drawing>
          <wp:inline>
            <wp:extent cx="3733800" cy="1026794"/>
            <wp:effectExtent b="0" l="0" r="0" t="0"/>
            <wp:docPr descr="" title="" id="70" name="Picture"/>
            <a:graphic>
              <a:graphicData uri="http://schemas.openxmlformats.org/drawingml/2006/picture">
                <pic:pic>
                  <pic:nvPicPr>
                    <pic:cNvPr descr="results_cpp/figs/case13.png" id="71" name="Picture"/>
                    <pic:cNvPicPr>
                      <a:picLocks noChangeArrowheads="1" noChangeAspect="1"/>
                    </pic:cNvPicPr>
                  </pic:nvPicPr>
                  <pic:blipFill>
                    <a:blip r:embed="rId69"/>
                    <a:stretch>
                      <a:fillRect/>
                    </a:stretch>
                  </pic:blipFill>
                  <pic:spPr bwMode="auto">
                    <a:xfrm>
                      <a:off x="0" y="0"/>
                      <a:ext cx="3733800" cy="1026794"/>
                    </a:xfrm>
                    <a:prstGeom prst="rect">
                      <a:avLst/>
                    </a:prstGeom>
                    <a:noFill/>
                    <a:ln w="9525">
                      <a:noFill/>
                      <a:headEnd/>
                      <a:tailEnd/>
                    </a:ln>
                  </pic:spPr>
                </pic:pic>
              </a:graphicData>
            </a:graphic>
          </wp:inline>
        </w:drawing>
      </w:r>
      <w:r>
        <w:t xml:space="preserve"> </w:t>
      </w:r>
      <w:r>
        <w:drawing>
          <wp:inline>
            <wp:extent cx="3733800" cy="1026794"/>
            <wp:effectExtent b="0" l="0" r="0" t="0"/>
            <wp:docPr descr="" title="" id="73" name="Picture"/>
            <a:graphic>
              <a:graphicData uri="http://schemas.openxmlformats.org/drawingml/2006/picture">
                <pic:pic>
                  <pic:nvPicPr>
                    <pic:cNvPr descr="results_cpp/figs/case14.png" id="74" name="Picture"/>
                    <pic:cNvPicPr>
                      <a:picLocks noChangeArrowheads="1" noChangeAspect="1"/>
                    </pic:cNvPicPr>
                  </pic:nvPicPr>
                  <pic:blipFill>
                    <a:blip r:embed="rId72"/>
                    <a:stretch>
                      <a:fillRect/>
                    </a:stretch>
                  </pic:blipFill>
                  <pic:spPr bwMode="auto">
                    <a:xfrm>
                      <a:off x="0" y="0"/>
                      <a:ext cx="3733800" cy="1026794"/>
                    </a:xfrm>
                    <a:prstGeom prst="rect">
                      <a:avLst/>
                    </a:prstGeom>
                    <a:noFill/>
                    <a:ln w="9525">
                      <a:noFill/>
                      <a:headEnd/>
                      <a:tailEnd/>
                    </a:ln>
                  </pic:spPr>
                </pic:pic>
              </a:graphicData>
            </a:graphic>
          </wp:inline>
        </w:drawing>
      </w:r>
    </w:p>
    <w:p>
      <w:pPr>
        <w:pStyle w:val="BodyText"/>
      </w:pPr>
      <w:r>
        <w:rPr>
          <w:i/>
          <w:iCs/>
        </w:rPr>
        <w:t xml:space="preserve">Figure 7: Shock tubes versus exact two-material Riemann solutions: (top) case 13, air into water — correlations</w:t>
      </w:r>
      <w:r>
        <w:rPr>
          <w:i/>
          <w:iCs/>
        </w:rPr>
        <w:t xml:space="preserve"> </w:t>
      </w:r>
      <m:oMath>
        <m:r>
          <m:t>0.997</m:t>
        </m:r>
        <m:r>
          <m:rPr>
            <m:sty m:val="p"/>
          </m:rPr>
          <m:t>/</m:t>
        </m:r>
        <m:r>
          <m:t>0.994</m:t>
        </m:r>
        <m:r>
          <m:rPr>
            <m:sty m:val="p"/>
          </m:rPr>
          <m:t>/</m:t>
        </m:r>
        <m:r>
          <m:t>0.999</m:t>
        </m:r>
      </m:oMath>
      <w:r>
        <w:rPr>
          <w:i/>
          <w:iCs/>
        </w:rPr>
        <w:t xml:space="preserve"> </w:t>
      </w:r>
      <w:r>
        <w:rPr>
          <w:i/>
          <w:iCs/>
        </w:rPr>
        <w:t xml:space="preserve">(</w:t>
      </w:r>
      <m:oMath>
        <m:r>
          <m:t>p</m:t>
        </m:r>
        <m:r>
          <m:rPr>
            <m:sty m:val="p"/>
          </m:rPr>
          <m:t>/</m:t>
        </m:r>
        <m:r>
          <m:t>u</m:t>
        </m:r>
        <m:r>
          <m:rPr>
            <m:sty m:val="p"/>
          </m:rPr>
          <m:t>/</m:t>
        </m:r>
        <m:r>
          <m:t>ρ</m:t>
        </m:r>
      </m:oMath>
      <w:r>
        <w:rPr>
          <w:i/>
          <w:iCs/>
        </w:rPr>
        <w:t xml:space="preserve">), monotone plateaus; (bottom) case 14, NASG water into air — correlations</w:t>
      </w:r>
      <w:r>
        <w:rPr>
          <w:i/>
          <w:iCs/>
        </w:rPr>
        <w:t xml:space="preserve"> </w:t>
      </w:r>
      <m:oMath>
        <m:r>
          <m:t>0.9995</m:t>
        </m:r>
        <m:r>
          <m:rPr>
            <m:sty m:val="p"/>
          </m:rPr>
          <m:t>/</m:t>
        </m:r>
        <m:r>
          <m:t>0.972</m:t>
        </m:r>
        <m:r>
          <m:rPr>
            <m:sty m:val="p"/>
          </m:rPr>
          <m:t>/</m:t>
        </m:r>
        <m:r>
          <m:t>0.993</m:t>
        </m:r>
      </m:oMath>
      <w:r>
        <w:rPr>
          <w:i/>
          <w:iCs/>
        </w:rPr>
        <w:t xml:space="preserve">, the velocity error being the contact-band smear of Section 4.10 with its oscillatory component removed by the guard.</w:t>
      </w:r>
    </w:p>
    <w:bookmarkEnd w:id="75"/>
    <w:bookmarkStart w:id="85" w:name="X07c859fcca595c2719373aa8727477961dc1c76"/>
    <w:p>
      <w:pPr>
        <w:pStyle w:val="Heading2"/>
      </w:pPr>
      <w:r>
        <w:t xml:space="preserve">4.7 Homogeneous-mixture shocks (cases 24, 33, 34)</w:t>
      </w:r>
    </w:p>
    <w:p>
      <w:pPr>
        <w:pStyle w:val="FirstParagraph"/>
      </w:pPr>
      <w:r>
        <w:t xml:space="preserve">The mixture shocks at water fractions</w:t>
      </w:r>
      <w:r>
        <w:t xml:space="preserve"> </w:t>
      </w:r>
      <m:oMath>
        <m:sSub>
          <m:e>
            <m:r>
              <m:t>ψ</m:t>
            </m:r>
          </m:e>
          <m:sub>
            <m:r>
              <m:t>w</m:t>
            </m:r>
          </m:sub>
        </m:sSub>
        <m:r>
          <m:rPr>
            <m:sty m:val="p"/>
          </m:rPr>
          <m:t>=</m:t>
        </m:r>
        <m:r>
          <m:t>0.5</m:t>
        </m:r>
        <m:r>
          <m:rPr>
            <m:sty m:val="p"/>
          </m:rPr>
          <m:t>,</m:t>
        </m:r>
        <m:r>
          <m:t>0.25</m:t>
        </m:r>
        <m:r>
          <m:rPr>
            <m:sty m:val="p"/>
          </m:rPr>
          <m:t>,</m:t>
        </m:r>
        <m:r>
          <m:t>0.75</m:t>
        </m:r>
      </m:oMath>
      <w:r>
        <w:t xml:space="preserve"> </w:t>
      </w:r>
      <w:r>
        <w:t xml:space="preserve">(cases 24, 33, 34) give pressure correlations</w:t>
      </w:r>
      <w:r>
        <w:t xml:space="preserve"> </w:t>
      </w:r>
      <m:oMath>
        <m:r>
          <m:t>0.9974</m:t>
        </m:r>
      </m:oMath>
      <w:r>
        <w:t xml:space="preserve">,</w:t>
      </w:r>
      <w:r>
        <w:t xml:space="preserve"> </w:t>
      </w:r>
      <m:oMath>
        <m:r>
          <m:t>0.9971</m:t>
        </m:r>
      </m:oMath>
      <w:r>
        <w:t xml:space="preserve">,</w:t>
      </w:r>
      <w:r>
        <w:t xml:space="preserve"> </w:t>
      </w:r>
      <m:oMath>
        <m:r>
          <m:t>0.9978</m:t>
        </m:r>
      </m:oMath>
      <w:r>
        <w:t xml:space="preserve"> </w:t>
      </w:r>
      <w:r>
        <w:t xml:space="preserve">against the mixture Rankine–Hugoniot relations, amplitude ratios at unity and monotone plateaus (density dip and overshoot within</w:t>
      </w:r>
      <w:r>
        <w:t xml:space="preserve"> </w:t>
      </w:r>
      <m:oMath>
        <m:r>
          <m:t>2</m:t>
        </m:r>
        <m:r>
          <m:rPr>
            <m:sty m:val="p"/>
          </m:rPr>
          <m:t>%</m:t>
        </m:r>
      </m:oMath>
      <w:r>
        <w:t xml:space="preserve"> </w:t>
      </w:r>
      <w:r>
        <w:t xml:space="preserve">and</w:t>
      </w:r>
      <w:r>
        <w:t xml:space="preserve"> </w:t>
      </w:r>
      <m:oMath>
        <m:r>
          <m:t>1</m:t>
        </m:r>
        <m:r>
          <m:rPr>
            <m:sty m:val="p"/>
          </m:rPr>
          <m:t>%</m:t>
        </m:r>
      </m:oMath>
      <w:r>
        <w:t xml:space="preserve"> </w:t>
      </w:r>
      <w:r>
        <w:t xml:space="preserve">of the jump). A front-cell pressure spike (high-frequency indicators</w:t>
      </w:r>
      <w:r>
        <w:t xml:space="preserve"> </w:t>
      </w:r>
      <m:oMath>
        <m:r>
          <m:t>0.46</m:t>
        </m:r>
      </m:oMath>
      <w:r>
        <w:t xml:space="preserve">–</w:t>
      </w:r>
      <m:oMath>
        <m:r>
          <m:t>0.53</m:t>
        </m:r>
      </m:oMath>
      <w:r>
        <w:t xml:space="preserve">) is structural to conservative capturing of a mixture shock with a single-temperature closure and does not contaminate the plateau (Figures 8, 9).</w:t>
      </w:r>
    </w:p>
    <w:p>
      <w:pPr>
        <w:pStyle w:val="CaptionedFigure"/>
      </w:pPr>
      <w:r>
        <w:drawing>
          <wp:inline>
            <wp:extent cx="3733800" cy="1026794"/>
            <wp:effectExtent b="0" l="0" r="0" t="0"/>
            <wp:docPr descr="Figure 8: Homogeneous Mach 10 mixture shock, \psi_w = 0.5 (case 24), versus mixture Rankine–Hugoniot. Correlation 0.997, amplitude ratio 1.0." title="" id="77" name="Picture"/>
            <a:graphic>
              <a:graphicData uri="http://schemas.openxmlformats.org/drawingml/2006/picture">
                <pic:pic>
                  <pic:nvPicPr>
                    <pic:cNvPr descr="results_cpp/figs/case24.png" id="78" name="Picture"/>
                    <pic:cNvPicPr>
                      <a:picLocks noChangeArrowheads="1" noChangeAspect="1"/>
                    </pic:cNvPicPr>
                  </pic:nvPicPr>
                  <pic:blipFill>
                    <a:blip r:embed="rId76"/>
                    <a:stretch>
                      <a:fillRect/>
                    </a:stretch>
                  </pic:blipFill>
                  <pic:spPr bwMode="auto">
                    <a:xfrm>
                      <a:off x="0" y="0"/>
                      <a:ext cx="3733800" cy="1026794"/>
                    </a:xfrm>
                    <a:prstGeom prst="rect">
                      <a:avLst/>
                    </a:prstGeom>
                    <a:noFill/>
                    <a:ln w="9525">
                      <a:noFill/>
                      <a:headEnd/>
                      <a:tailEnd/>
                    </a:ln>
                  </pic:spPr>
                </pic:pic>
              </a:graphicData>
            </a:graphic>
          </wp:inline>
        </w:drawing>
      </w:r>
    </w:p>
    <w:p>
      <w:pPr>
        <w:pStyle w:val="ImageCaption"/>
      </w:pPr>
      <w:r>
        <w:t xml:space="preserve">Figure 8: Homogeneous Mach 10 mixture shock,</w:t>
      </w:r>
      <w:r>
        <w:t xml:space="preserve"> </w:t>
      </w:r>
      <m:oMath>
        <m:sSub>
          <m:e>
            <m:r>
              <m:t>ψ</m:t>
            </m:r>
          </m:e>
          <m:sub>
            <m:r>
              <m:t>w</m:t>
            </m:r>
          </m:sub>
        </m:sSub>
        <m:r>
          <m:rPr>
            <m:sty m:val="p"/>
          </m:rPr>
          <m:t>=</m:t>
        </m:r>
        <m:r>
          <m:t>0.5</m:t>
        </m:r>
      </m:oMath>
      <w:r>
        <w:t xml:space="preserve"> </w:t>
      </w:r>
      <w:r>
        <w:t xml:space="preserve">(case 24), versus mixture Rankine–Hugoniot. Correlation</w:t>
      </w:r>
      <w:r>
        <w:t xml:space="preserve"> </w:t>
      </w:r>
      <m:oMath>
        <m:r>
          <m:t>0.997</m:t>
        </m:r>
      </m:oMath>
      <w:r>
        <w:t xml:space="preserve">, amplitude ratio</w:t>
      </w:r>
      <w:r>
        <w:t xml:space="preserve"> </w:t>
      </w:r>
      <m:oMath>
        <m:r>
          <m:t>1.0</m:t>
        </m:r>
      </m:oMath>
      <w:r>
        <w:t xml:space="preserve">.</w:t>
      </w:r>
    </w:p>
    <w:p>
      <w:pPr>
        <w:pStyle w:val="BodyText"/>
      </w:pPr>
      <w:r>
        <w:drawing>
          <wp:inline>
            <wp:extent cx="3733800" cy="1026794"/>
            <wp:effectExtent b="0" l="0" r="0" t="0"/>
            <wp:docPr descr="" title="" id="80" name="Picture"/>
            <a:graphic>
              <a:graphicData uri="http://schemas.openxmlformats.org/drawingml/2006/picture">
                <pic:pic>
                  <pic:nvPicPr>
                    <pic:cNvPr descr="results_cpp/figs/case33.png" id="81" name="Picture"/>
                    <pic:cNvPicPr>
                      <a:picLocks noChangeArrowheads="1" noChangeAspect="1"/>
                    </pic:cNvPicPr>
                  </pic:nvPicPr>
                  <pic:blipFill>
                    <a:blip r:embed="rId79"/>
                    <a:stretch>
                      <a:fillRect/>
                    </a:stretch>
                  </pic:blipFill>
                  <pic:spPr bwMode="auto">
                    <a:xfrm>
                      <a:off x="0" y="0"/>
                      <a:ext cx="3733800" cy="1026794"/>
                    </a:xfrm>
                    <a:prstGeom prst="rect">
                      <a:avLst/>
                    </a:prstGeom>
                    <a:noFill/>
                    <a:ln w="9525">
                      <a:noFill/>
                      <a:headEnd/>
                      <a:tailEnd/>
                    </a:ln>
                  </pic:spPr>
                </pic:pic>
              </a:graphicData>
            </a:graphic>
          </wp:inline>
        </w:drawing>
      </w:r>
      <w:r>
        <w:t xml:space="preserve"> </w:t>
      </w:r>
      <w:r>
        <w:drawing>
          <wp:inline>
            <wp:extent cx="3733800" cy="1026794"/>
            <wp:effectExtent b="0" l="0" r="0" t="0"/>
            <wp:docPr descr="" title="" id="83" name="Picture"/>
            <a:graphic>
              <a:graphicData uri="http://schemas.openxmlformats.org/drawingml/2006/picture">
                <pic:pic>
                  <pic:nvPicPr>
                    <pic:cNvPr descr="results_cpp/figs/case34.png" id="84" name="Picture"/>
                    <pic:cNvPicPr>
                      <a:picLocks noChangeArrowheads="1" noChangeAspect="1"/>
                    </pic:cNvPicPr>
                  </pic:nvPicPr>
                  <pic:blipFill>
                    <a:blip r:embed="rId82"/>
                    <a:stretch>
                      <a:fillRect/>
                    </a:stretch>
                  </pic:blipFill>
                  <pic:spPr bwMode="auto">
                    <a:xfrm>
                      <a:off x="0" y="0"/>
                      <a:ext cx="3733800" cy="1026794"/>
                    </a:xfrm>
                    <a:prstGeom prst="rect">
                      <a:avLst/>
                    </a:prstGeom>
                    <a:noFill/>
                    <a:ln w="9525">
                      <a:noFill/>
                      <a:headEnd/>
                      <a:tailEnd/>
                    </a:ln>
                  </pic:spPr>
                </pic:pic>
              </a:graphicData>
            </a:graphic>
          </wp:inline>
        </w:drawing>
      </w:r>
    </w:p>
    <w:p>
      <w:pPr>
        <w:pStyle w:val="BodyText"/>
      </w:pPr>
      <w:r>
        <w:rPr>
          <w:i/>
          <w:iCs/>
        </w:rPr>
        <w:t xml:space="preserve">Figure 9: Mixture shocks of Ref. [17] Fig. 18 at</w:t>
      </w:r>
      <w:r>
        <w:rPr>
          <w:i/>
          <w:iCs/>
        </w:rPr>
        <w:t xml:space="preserve"> </w:t>
      </w:r>
      <m:oMath>
        <m:sSub>
          <m:e>
            <m:r>
              <m:t>ψ</m:t>
            </m:r>
          </m:e>
          <m:sub>
            <m:r>
              <m:t>w</m:t>
            </m:r>
          </m:sub>
        </m:sSub>
        <m:r>
          <m:rPr>
            <m:sty m:val="p"/>
          </m:rPr>
          <m:t>=</m:t>
        </m:r>
        <m:r>
          <m:t>0.25</m:t>
        </m:r>
      </m:oMath>
      <w:r>
        <w:rPr>
          <w:i/>
          <w:iCs/>
        </w:rPr>
        <w:t xml:space="preserve"> </w:t>
      </w:r>
      <w:r>
        <w:rPr>
          <w:i/>
          <w:iCs/>
        </w:rPr>
        <w:t xml:space="preserve">(case 33, top; correlation</w:t>
      </w:r>
      <w:r>
        <w:rPr>
          <w:i/>
          <w:iCs/>
        </w:rPr>
        <w:t xml:space="preserve"> </w:t>
      </w:r>
      <m:oMath>
        <m:r>
          <m:t>0.997</m:t>
        </m:r>
      </m:oMath>
      <w:r>
        <w:rPr>
          <w:i/>
          <w:iCs/>
        </w:rPr>
        <w:t xml:space="preserve">) and</w:t>
      </w:r>
      <w:r>
        <w:rPr>
          <w:i/>
          <w:iCs/>
        </w:rPr>
        <w:t xml:space="preserve"> </w:t>
      </w:r>
      <m:oMath>
        <m:sSub>
          <m:e>
            <m:r>
              <m:t>ψ</m:t>
            </m:r>
          </m:e>
          <m:sub>
            <m:r>
              <m:t>w</m:t>
            </m:r>
          </m:sub>
        </m:sSub>
        <m:r>
          <m:rPr>
            <m:sty m:val="p"/>
          </m:rPr>
          <m:t>=</m:t>
        </m:r>
        <m:r>
          <m:t>0.75</m:t>
        </m:r>
      </m:oMath>
      <w:r>
        <w:rPr>
          <w:i/>
          <w:iCs/>
        </w:rPr>
        <w:t xml:space="preserve"> </w:t>
      </w:r>
      <w:r>
        <w:rPr>
          <w:i/>
          <w:iCs/>
        </w:rPr>
        <w:t xml:space="preserve">(case 34, bottom; correlation</w:t>
      </w:r>
      <w:r>
        <w:rPr>
          <w:i/>
          <w:iCs/>
        </w:rPr>
        <w:t xml:space="preserve"> </w:t>
      </w:r>
      <m:oMath>
        <m:r>
          <m:t>0.998</m:t>
        </m:r>
      </m:oMath>
      <w:r>
        <w:rPr>
          <w:i/>
          <w:iCs/>
        </w:rPr>
        <w:t xml:space="preserve">).</w:t>
      </w:r>
    </w:p>
    <w:bookmarkEnd w:id="85"/>
    <w:bookmarkStart w:id="95" w:name="Xfe88f5eb9776f9b70f7a20ddc4d0452055516f4"/>
    <w:p>
      <w:pPr>
        <w:pStyle w:val="Heading2"/>
      </w:pPr>
      <w:r>
        <w:t xml:space="preserve">4.8 Shock–interface interaction (cases 25, 30, 31)</w:t>
      </w:r>
    </w:p>
    <w:p>
      <w:pPr>
        <w:pStyle w:val="FirstParagraph"/>
      </w:pPr>
      <w:r>
        <w:t xml:space="preserve">In the Mach 10 shock–water-interface interaction (case 25) the wave positions are within a cell of the exact Riemann reference (guarded THINC: interface at</w:t>
      </w:r>
      <w:r>
        <w:t xml:space="preserve"> </w:t>
      </w:r>
      <m:oMath>
        <m:r>
          <m:t>0</m:t>
        </m:r>
      </m:oMath>
      <w:r>
        <w:t xml:space="preserve">–</w:t>
      </w:r>
      <m:oMath>
        <m:r>
          <m:t>1</m:t>
        </m:r>
      </m:oMath>
      <w:r>
        <w:t xml:space="preserve"> </w:t>
      </w:r>
      <w:r>
        <w:t xml:space="preserve">cells), correlations</w:t>
      </w:r>
      <w:r>
        <w:t xml:space="preserve"> </w:t>
      </w:r>
      <m:oMath>
        <m:r>
          <m:t>0.9943</m:t>
        </m:r>
      </m:oMath>
      <w:r>
        <w:t xml:space="preserve">/</w:t>
      </w:r>
      <m:oMath>
        <m:r>
          <m:t>0.9980</m:t>
        </m:r>
      </m:oMath>
      <w:r>
        <w:t xml:space="preserve">/</w:t>
      </w:r>
      <m:oMath>
        <m:r>
          <m:t>0.9976</m:t>
        </m:r>
      </m:oMath>
      <w:r>
        <w:t xml:space="preserve"> </w:t>
      </w:r>
      <w:r>
        <w:t xml:space="preserve">(</w:t>
      </w:r>
      <m:oMath>
        <m:r>
          <m:t>p</m:t>
        </m:r>
      </m:oMath>
      <w:r>
        <w:t xml:space="preserve">/</w:t>
      </w:r>
      <m:oMath>
        <m:r>
          <m:t>u</m:t>
        </m:r>
      </m:oMath>
      <w:r>
        <w:t xml:space="preserve">/</w:t>
      </w:r>
      <m:oMath>
        <m:r>
          <m:t>ρ</m:t>
        </m:r>
      </m:oMath>
      <w:r>
        <w:t xml:space="preserve">). The reflected shock carries a single-cell overshoot, amplitude ratio</w:t>
      </w:r>
      <w:r>
        <w:t xml:space="preserve"> </w:t>
      </w:r>
      <m:oMath>
        <m:r>
          <m:t>1.243</m:t>
        </m:r>
      </m:oMath>
      <w:r>
        <w:t xml:space="preserve"> </w:t>
      </w:r>
      <w:r>
        <w:t xml:space="preserve">— the residual analysed in Section 4.12; Denner’s own Fig. 23 shows the same feature. The Mach 1.22 interactions (cases 30, 31): pressure correlations</w:t>
      </w:r>
      <w:r>
        <w:t xml:space="preserve"> </w:t>
      </w:r>
      <m:oMath>
        <m:r>
          <m:t>0.9917</m:t>
        </m:r>
      </m:oMath>
      <w:r>
        <w:t xml:space="preserve"> </w:t>
      </w:r>
      <w:r>
        <w:t xml:space="preserve">and</w:t>
      </w:r>
      <w:r>
        <w:t xml:space="preserve"> </w:t>
      </w:r>
      <m:oMath>
        <m:r>
          <m:t>0.9963</m:t>
        </m:r>
      </m:oMath>
      <w:r>
        <w:t xml:space="preserve">, amplitude ratios at unity, contact sharpened to one cell and three cells respectively (Figures 10, 11).</w:t>
      </w:r>
    </w:p>
    <w:p>
      <w:pPr>
        <w:pStyle w:val="CaptionedFigure"/>
      </w:pPr>
      <w:r>
        <w:drawing>
          <wp:inline>
            <wp:extent cx="3733800" cy="1026794"/>
            <wp:effectExtent b="0" l="0" r="0" t="0"/>
            <wp:docPr descr="Figure 10: Mach 10 shock / water interface (case 25) versus exact Riemann solution. Wave positions within a cell; the reflected-shock single-cell overshoot (amplitude ratio 1.24, Section 4.12) also appears in Ref. [17], Fig. 23." title="" id="87" name="Picture"/>
            <a:graphic>
              <a:graphicData uri="http://schemas.openxmlformats.org/drawingml/2006/picture">
                <pic:pic>
                  <pic:nvPicPr>
                    <pic:cNvPr descr="results_cpp/figs/case25.png" id="88" name="Picture"/>
                    <pic:cNvPicPr>
                      <a:picLocks noChangeArrowheads="1" noChangeAspect="1"/>
                    </pic:cNvPicPr>
                  </pic:nvPicPr>
                  <pic:blipFill>
                    <a:blip r:embed="rId86"/>
                    <a:stretch>
                      <a:fillRect/>
                    </a:stretch>
                  </pic:blipFill>
                  <pic:spPr bwMode="auto">
                    <a:xfrm>
                      <a:off x="0" y="0"/>
                      <a:ext cx="3733800" cy="1026794"/>
                    </a:xfrm>
                    <a:prstGeom prst="rect">
                      <a:avLst/>
                    </a:prstGeom>
                    <a:noFill/>
                    <a:ln w="9525">
                      <a:noFill/>
                      <a:headEnd/>
                      <a:tailEnd/>
                    </a:ln>
                  </pic:spPr>
                </pic:pic>
              </a:graphicData>
            </a:graphic>
          </wp:inline>
        </w:drawing>
      </w:r>
    </w:p>
    <w:p>
      <w:pPr>
        <w:pStyle w:val="ImageCaption"/>
      </w:pPr>
      <w:r>
        <w:t xml:space="preserve">Figure 10: Mach 10 shock / water interface (case 25) versus exact Riemann solution. Wave positions within a cell; the reflected-shock single-cell overshoot (amplitude ratio</w:t>
      </w:r>
      <w:r>
        <w:t xml:space="preserve"> </w:t>
      </w:r>
      <m:oMath>
        <m:r>
          <m:t>1.24</m:t>
        </m:r>
      </m:oMath>
      <w:r>
        <w:t xml:space="preserve">, Section 4.12) also appears in Ref. [17], Fig. 23.</w:t>
      </w:r>
    </w:p>
    <w:p>
      <w:pPr>
        <w:pStyle w:val="BodyText"/>
      </w:pPr>
      <w:r>
        <w:drawing>
          <wp:inline>
            <wp:extent cx="3733800" cy="1026794"/>
            <wp:effectExtent b="0" l="0" r="0" t="0"/>
            <wp:docPr descr="" title="" id="90" name="Picture"/>
            <a:graphic>
              <a:graphicData uri="http://schemas.openxmlformats.org/drawingml/2006/picture">
                <pic:pic>
                  <pic:nvPicPr>
                    <pic:cNvPr descr="results_cpp/figs/case30.png" id="91" name="Picture"/>
                    <pic:cNvPicPr>
                      <a:picLocks noChangeArrowheads="1" noChangeAspect="1"/>
                    </pic:cNvPicPr>
                  </pic:nvPicPr>
                  <pic:blipFill>
                    <a:blip r:embed="rId89"/>
                    <a:stretch>
                      <a:fillRect/>
                    </a:stretch>
                  </pic:blipFill>
                  <pic:spPr bwMode="auto">
                    <a:xfrm>
                      <a:off x="0" y="0"/>
                      <a:ext cx="3733800" cy="1026794"/>
                    </a:xfrm>
                    <a:prstGeom prst="rect">
                      <a:avLst/>
                    </a:prstGeom>
                    <a:noFill/>
                    <a:ln w="9525">
                      <a:noFill/>
                      <a:headEnd/>
                      <a:tailEnd/>
                    </a:ln>
                  </pic:spPr>
                </pic:pic>
              </a:graphicData>
            </a:graphic>
          </wp:inline>
        </w:drawing>
      </w:r>
      <w:r>
        <w:t xml:space="preserve"> </w:t>
      </w:r>
      <w:r>
        <w:drawing>
          <wp:inline>
            <wp:extent cx="3733800" cy="1026794"/>
            <wp:effectExtent b="0" l="0" r="0" t="0"/>
            <wp:docPr descr="" title="" id="93" name="Picture"/>
            <a:graphic>
              <a:graphicData uri="http://schemas.openxmlformats.org/drawingml/2006/picture">
                <pic:pic>
                  <pic:nvPicPr>
                    <pic:cNvPr descr="results_cpp/figs/case31.png" id="94" name="Picture"/>
                    <pic:cNvPicPr>
                      <a:picLocks noChangeArrowheads="1" noChangeAspect="1"/>
                    </pic:cNvPicPr>
                  </pic:nvPicPr>
                  <pic:blipFill>
                    <a:blip r:embed="rId92"/>
                    <a:stretch>
                      <a:fillRect/>
                    </a:stretch>
                  </pic:blipFill>
                  <pic:spPr bwMode="auto">
                    <a:xfrm>
                      <a:off x="0" y="0"/>
                      <a:ext cx="3733800" cy="1026794"/>
                    </a:xfrm>
                    <a:prstGeom prst="rect">
                      <a:avLst/>
                    </a:prstGeom>
                    <a:noFill/>
                    <a:ln w="9525">
                      <a:noFill/>
                      <a:headEnd/>
                      <a:tailEnd/>
                    </a:ln>
                  </pic:spPr>
                </pic:pic>
              </a:graphicData>
            </a:graphic>
          </wp:inline>
        </w:drawing>
      </w:r>
    </w:p>
    <w:p>
      <w:pPr>
        <w:pStyle w:val="BodyText"/>
      </w:pPr>
      <w:r>
        <w:rPr>
          <w:i/>
          <w:iCs/>
        </w:rPr>
        <w:t xml:space="preserve">Figure 11: Mach 1.22 shock–interface interactions: (top) air–helium, case 30 (Ref. [17] §7.4.3) — correlation</w:t>
      </w:r>
      <w:r>
        <w:rPr>
          <w:i/>
          <w:iCs/>
        </w:rPr>
        <w:t xml:space="preserve"> </w:t>
      </w:r>
      <m:oMath>
        <m:r>
          <m:t>0.992</m:t>
        </m:r>
      </m:oMath>
      <w:r>
        <w:rPr>
          <w:i/>
          <w:iCs/>
        </w:rPr>
        <w:t xml:space="preserve">, contact sharpened to one cell; (bottom) air–matched-gas, case 31 (Ref. [17] §7.4.5) — correlation</w:t>
      </w:r>
      <w:r>
        <w:rPr>
          <w:i/>
          <w:iCs/>
        </w:rPr>
        <w:t xml:space="preserve"> </w:t>
      </w:r>
      <m:oMath>
        <m:r>
          <m:t>0.996</m:t>
        </m:r>
      </m:oMath>
      <w:r>
        <w:rPr>
          <w:i/>
          <w:iCs/>
        </w:rPr>
        <w:t xml:space="preserve">, contact over three cells.</w:t>
      </w:r>
    </w:p>
    <w:bookmarkEnd w:id="95"/>
    <w:bookmarkStart w:id="105" w:name="Xcfc394bc984e7ae2769b274d05608a016c7934d"/>
    <w:p>
      <w:pPr>
        <w:pStyle w:val="Heading2"/>
      </w:pPr>
      <w:r>
        <w:t xml:space="preserve">4.9 Single-phase strong shocks (cases 26, 27, 28)</w:t>
      </w:r>
    </w:p>
    <w:p>
      <w:pPr>
        <w:pStyle w:val="FirstParagraph"/>
      </w:pPr>
      <w:r>
        <w:t xml:space="preserve">The single-phase shocks verify conservative capturing at extreme compression, away from any interface. Mach 10 in air (case 26) and water (case 27): pressure correlations</w:t>
      </w:r>
      <w:r>
        <w:t xml:space="preserve"> </w:t>
      </w:r>
      <m:oMath>
        <m:r>
          <m:t>0.9975</m:t>
        </m:r>
      </m:oMath>
      <w:r>
        <w:t xml:space="preserve"> </w:t>
      </w:r>
      <w:r>
        <w:t xml:space="preserve">and</w:t>
      </w:r>
      <w:r>
        <w:t xml:space="preserve"> </w:t>
      </w:r>
      <m:oMath>
        <m:r>
          <m:t>0.9985</m:t>
        </m:r>
      </m:oMath>
      <w:r>
        <w:t xml:space="preserve">, amplitude ratios</w:t>
      </w:r>
      <w:r>
        <w:t xml:space="preserve"> </w:t>
      </w:r>
      <m:oMath>
        <m:r>
          <m:t>1.0005</m:t>
        </m:r>
      </m:oMath>
      <w:r>
        <w:t xml:space="preserve"> </w:t>
      </w:r>
      <w:r>
        <w:t xml:space="preserve">and</w:t>
      </w:r>
      <w:r>
        <w:t xml:space="preserve"> </w:t>
      </w:r>
      <m:oMath>
        <m:r>
          <m:t>1.004</m:t>
        </m:r>
      </m:oMath>
      <w:r>
        <w:t xml:space="preserve">. Mach 100 in air (case 28), an extreme globalisation test: correlation</w:t>
      </w:r>
      <w:r>
        <w:t xml:space="preserve"> </w:t>
      </w:r>
      <m:oMath>
        <m:r>
          <m:t>0.9974</m:t>
        </m:r>
      </m:oMath>
      <w:r>
        <w:t xml:space="preserve">, amplitude ratio</w:t>
      </w:r>
      <w:r>
        <w:t xml:space="preserve"> </w:t>
      </w:r>
      <m:oMath>
        <m:r>
          <m:t>1.0005</m:t>
        </m:r>
      </m:oMath>
      <w:r>
        <w:t xml:space="preserve">, front over one to two cells, monotone plateau (Figures 12, 13).</w:t>
      </w:r>
    </w:p>
    <w:p>
      <w:pPr>
        <w:pStyle w:val="BodyText"/>
      </w:pPr>
      <w:r>
        <w:drawing>
          <wp:inline>
            <wp:extent cx="3733800" cy="1026794"/>
            <wp:effectExtent b="0" l="0" r="0" t="0"/>
            <wp:docPr descr="" title="" id="97" name="Picture"/>
            <a:graphic>
              <a:graphicData uri="http://schemas.openxmlformats.org/drawingml/2006/picture">
                <pic:pic>
                  <pic:nvPicPr>
                    <pic:cNvPr descr="results_cpp/figs/case26.png" id="98" name="Picture"/>
                    <pic:cNvPicPr>
                      <a:picLocks noChangeArrowheads="1" noChangeAspect="1"/>
                    </pic:cNvPicPr>
                  </pic:nvPicPr>
                  <pic:blipFill>
                    <a:blip r:embed="rId96"/>
                    <a:stretch>
                      <a:fillRect/>
                    </a:stretch>
                  </pic:blipFill>
                  <pic:spPr bwMode="auto">
                    <a:xfrm>
                      <a:off x="0" y="0"/>
                      <a:ext cx="3733800" cy="1026794"/>
                    </a:xfrm>
                    <a:prstGeom prst="rect">
                      <a:avLst/>
                    </a:prstGeom>
                    <a:noFill/>
                    <a:ln w="9525">
                      <a:noFill/>
                      <a:headEnd/>
                      <a:tailEnd/>
                    </a:ln>
                  </pic:spPr>
                </pic:pic>
              </a:graphicData>
            </a:graphic>
          </wp:inline>
        </w:drawing>
      </w:r>
      <w:r>
        <w:t xml:space="preserve"> </w:t>
      </w:r>
      <w:r>
        <w:drawing>
          <wp:inline>
            <wp:extent cx="3733800" cy="1026794"/>
            <wp:effectExtent b="0" l="0" r="0" t="0"/>
            <wp:docPr descr="" title="" id="100" name="Picture"/>
            <a:graphic>
              <a:graphicData uri="http://schemas.openxmlformats.org/drawingml/2006/picture">
                <pic:pic>
                  <pic:nvPicPr>
                    <pic:cNvPr descr="results_cpp/figs/case27.png" id="101" name="Picture"/>
                    <pic:cNvPicPr>
                      <a:picLocks noChangeArrowheads="1" noChangeAspect="1"/>
                    </pic:cNvPicPr>
                  </pic:nvPicPr>
                  <pic:blipFill>
                    <a:blip r:embed="rId99"/>
                    <a:stretch>
                      <a:fillRect/>
                    </a:stretch>
                  </pic:blipFill>
                  <pic:spPr bwMode="auto">
                    <a:xfrm>
                      <a:off x="0" y="0"/>
                      <a:ext cx="3733800" cy="1026794"/>
                    </a:xfrm>
                    <a:prstGeom prst="rect">
                      <a:avLst/>
                    </a:prstGeom>
                    <a:noFill/>
                    <a:ln w="9525">
                      <a:noFill/>
                      <a:headEnd/>
                      <a:tailEnd/>
                    </a:ln>
                  </pic:spPr>
                </pic:pic>
              </a:graphicData>
            </a:graphic>
          </wp:inline>
        </w:drawing>
      </w:r>
    </w:p>
    <w:p>
      <w:pPr>
        <w:pStyle w:val="BodyText"/>
      </w:pPr>
      <w:r>
        <w:rPr>
          <w:i/>
          <w:iCs/>
        </w:rPr>
        <w:t xml:space="preserve">Figure 12: Single-phase Mach 10 shocks versus exact Hugoniot states: (top) air, case 26 — correlation</w:t>
      </w:r>
      <w:r>
        <w:rPr>
          <w:i/>
          <w:iCs/>
        </w:rPr>
        <w:t xml:space="preserve"> </w:t>
      </w:r>
      <m:oMath>
        <m:r>
          <m:t>0.998</m:t>
        </m:r>
      </m:oMath>
      <w:r>
        <w:rPr>
          <w:i/>
          <w:iCs/>
        </w:rPr>
        <w:t xml:space="preserve">, amplitude ratio</w:t>
      </w:r>
      <w:r>
        <w:rPr>
          <w:i/>
          <w:iCs/>
        </w:rPr>
        <w:t xml:space="preserve"> </w:t>
      </w:r>
      <m:oMath>
        <m:r>
          <m:t>1.0005</m:t>
        </m:r>
      </m:oMath>
      <w:r>
        <w:rPr>
          <w:i/>
          <w:iCs/>
        </w:rPr>
        <w:t xml:space="preserve">; (bottom) water, case 27 — correlation</w:t>
      </w:r>
      <w:r>
        <w:rPr>
          <w:i/>
          <w:iCs/>
        </w:rPr>
        <w:t xml:space="preserve"> </w:t>
      </w:r>
      <m:oMath>
        <m:r>
          <m:t>0.998</m:t>
        </m:r>
      </m:oMath>
      <w:r>
        <w:rPr>
          <w:i/>
          <w:iCs/>
        </w:rPr>
        <w:t xml:space="preserve">, amplitude ratio</w:t>
      </w:r>
      <w:r>
        <w:rPr>
          <w:i/>
          <w:iCs/>
        </w:rPr>
        <w:t xml:space="preserve"> </w:t>
      </w:r>
      <m:oMath>
        <m:r>
          <m:t>1.004</m:t>
        </m:r>
      </m:oMath>
      <w:r>
        <w:rPr>
          <w:i/>
          <w:iCs/>
        </w:rPr>
        <w:t xml:space="preserve">.</w:t>
      </w:r>
    </w:p>
    <w:p>
      <w:pPr>
        <w:pStyle w:val="CaptionedFigure"/>
      </w:pPr>
      <w:r>
        <w:drawing>
          <wp:inline>
            <wp:extent cx="3733800" cy="1026794"/>
            <wp:effectExtent b="0" l="0" r="0" t="0"/>
            <wp:docPr descr="Figure 13: Single-phase Mach 100 air shock (case 28, Ref. [17] Fig. 17a) versus exact Hugoniot: correlation 0.997, amplitude ratio 1.0005 at a \sim10^{4}-fold pressure ratio." title="" id="103" name="Picture"/>
            <a:graphic>
              <a:graphicData uri="http://schemas.openxmlformats.org/drawingml/2006/picture">
                <pic:pic>
                  <pic:nvPicPr>
                    <pic:cNvPr descr="results_cpp/figs/case28.png" id="104" name="Picture"/>
                    <pic:cNvPicPr>
                      <a:picLocks noChangeArrowheads="1" noChangeAspect="1"/>
                    </pic:cNvPicPr>
                  </pic:nvPicPr>
                  <pic:blipFill>
                    <a:blip r:embed="rId102"/>
                    <a:stretch>
                      <a:fillRect/>
                    </a:stretch>
                  </pic:blipFill>
                  <pic:spPr bwMode="auto">
                    <a:xfrm>
                      <a:off x="0" y="0"/>
                      <a:ext cx="3733800" cy="1026794"/>
                    </a:xfrm>
                    <a:prstGeom prst="rect">
                      <a:avLst/>
                    </a:prstGeom>
                    <a:noFill/>
                    <a:ln w="9525">
                      <a:noFill/>
                      <a:headEnd/>
                      <a:tailEnd/>
                    </a:ln>
                  </pic:spPr>
                </pic:pic>
              </a:graphicData>
            </a:graphic>
          </wp:inline>
        </w:drawing>
      </w:r>
    </w:p>
    <w:p>
      <w:pPr>
        <w:pStyle w:val="ImageCaption"/>
      </w:pPr>
      <w:r>
        <w:t xml:space="preserve">Figure 13: Single-phase Mach 100 air shock (case 28, Ref. [17] Fig. 17a) versus exact Hugoniot: correlation</w:t>
      </w:r>
      <w:r>
        <w:t xml:space="preserve"> </w:t>
      </w:r>
      <m:oMath>
        <m:r>
          <m:t>0.997</m:t>
        </m:r>
      </m:oMath>
      <w:r>
        <w:t xml:space="preserve">, amplitude ratio</w:t>
      </w:r>
      <w:r>
        <w:t xml:space="preserve"> </w:t>
      </w:r>
      <m:oMath>
        <m:r>
          <m:t>1.0005</m:t>
        </m:r>
      </m:oMath>
      <w:r>
        <w:t xml:space="preserve"> </w:t>
      </w:r>
      <w:r>
        <w:t xml:space="preserve">at a</w:t>
      </w:r>
      <w:r>
        <w:t xml:space="preserve"> </w:t>
      </w:r>
      <m:oMath>
        <m:r>
          <m:rPr>
            <m:sty m:val="p"/>
          </m:rPr>
          <m:t>∼</m:t>
        </m:r>
        <m:sSup>
          <m:e>
            <m:r>
              <m:t>10</m:t>
            </m:r>
          </m:e>
          <m:sup>
            <m:r>
              <m:t>4</m:t>
            </m:r>
          </m:sup>
        </m:sSup>
      </m:oMath>
      <w:r>
        <w:t xml:space="preserve">-fold pressure ratio.</w:t>
      </w:r>
    </w:p>
    <w:bookmarkEnd w:id="105"/>
    <w:bookmarkStart w:id="106" w:name="thinc-interface-capturing"/>
    <w:p>
      <w:pPr>
        <w:pStyle w:val="Heading2"/>
      </w:pPr>
      <w:r>
        <w:t xml:space="preserve">4.10 THINC interface capturing</w:t>
      </w:r>
    </w:p>
    <w:p>
      <w:pPr>
        <w:pStyle w:val="FirstParagraph"/>
      </w:pPr>
      <w:r>
        <w:rPr>
          <w:i/>
          <w:iCs/>
        </w:rPr>
        <w:t xml:space="preserve">Sharpening.</w:t>
      </w:r>
      <w:r>
        <w:t xml:space="preserve"> </w:t>
      </w:r>
      <w:r>
        <w:t xml:space="preserve">The semi-Lagrangian THINC flux sharpens every material contact in the suite: case 02 narrows from about</w:t>
      </w:r>
      <w:r>
        <w:t xml:space="preserve"> </w:t>
      </w:r>
      <m:oMath>
        <m:r>
          <m:t>46</m:t>
        </m:r>
      </m:oMath>
      <w:r>
        <w:t xml:space="preserve"> </w:t>
      </w:r>
      <w:r>
        <w:t xml:space="preserve">to about</w:t>
      </w:r>
      <w:r>
        <w:t xml:space="preserve"> </w:t>
      </w:r>
      <m:oMath>
        <m:r>
          <m:t>5</m:t>
        </m:r>
      </m:oMath>
      <w:r>
        <w:t xml:space="preserve"> </w:t>
      </w:r>
      <w:r>
        <w:t xml:space="preserve">cells (density correlation</w:t>
      </w:r>
      <w:r>
        <w:t xml:space="preserve"> </w:t>
      </w:r>
      <m:oMath>
        <m:r>
          <m:t>0.980</m:t>
        </m:r>
        <m:r>
          <m:rPr>
            <m:sty m:val="p"/>
          </m:rPr>
          <m:t>→</m:t>
        </m:r>
        <m:r>
          <m:t>0.997</m:t>
        </m:r>
      </m:oMath>
      <w:r>
        <w:t xml:space="preserve">; an unguarded front reaches one cell at</w:t>
      </w:r>
      <w:r>
        <w:t xml:space="preserve"> </w:t>
      </w:r>
      <m:oMath>
        <m:r>
          <m:t>0.9999</m:t>
        </m:r>
      </m:oMath>
      <w:r>
        <w:t xml:space="preserve">, traded by the guard for a one-cell offset, below); the Mach 1.22 contacts narrow from</w:t>
      </w:r>
      <w:r>
        <w:t xml:space="preserve"> </w:t>
      </w:r>
      <m:oMath>
        <m:r>
          <m:t>15</m:t>
        </m:r>
      </m:oMath>
      <w:r>
        <w:t xml:space="preserve"> </w:t>
      </w:r>
      <w:r>
        <w:t xml:space="preserve">to</w:t>
      </w:r>
      <w:r>
        <w:t xml:space="preserve"> </w:t>
      </w:r>
      <m:oMath>
        <m:r>
          <m:t>1</m:t>
        </m:r>
      </m:oMath>
      <w:r>
        <w:t xml:space="preserve"> </w:t>
      </w:r>
      <w:r>
        <w:t xml:space="preserve">cell (case 30) and</w:t>
      </w:r>
      <w:r>
        <w:t xml:space="preserve"> </w:t>
      </w:r>
      <m:oMath>
        <m:r>
          <m:t>12</m:t>
        </m:r>
      </m:oMath>
      <w:r>
        <w:t xml:space="preserve"> </w:t>
      </w:r>
      <w:r>
        <w:t xml:space="preserve">to</w:t>
      </w:r>
      <w:r>
        <w:t xml:space="preserve"> </w:t>
      </w:r>
      <m:oMath>
        <m:r>
          <m:t>3</m:t>
        </m:r>
      </m:oMath>
      <w:r>
        <w:t xml:space="preserve"> </w:t>
      </w:r>
      <w:r>
        <w:t xml:space="preserve">cells (case 31); the case 13 contact band from</w:t>
      </w:r>
      <w:r>
        <w:t xml:space="preserve"> </w:t>
      </w:r>
      <m:oMath>
        <m:r>
          <m:t>14</m:t>
        </m:r>
      </m:oMath>
      <w:r>
        <w:t xml:space="preserve"> </w:t>
      </w:r>
      <w:r>
        <w:t xml:space="preserve">to</w:t>
      </w:r>
      <w:r>
        <w:t xml:space="preserve"> </w:t>
      </w:r>
      <m:oMath>
        <m:r>
          <m:t>9</m:t>
        </m:r>
      </m:oMath>
      <w:r>
        <w:t xml:space="preserve"> </w:t>
      </w:r>
      <w:r>
        <w:t xml:space="preserve">cells. The point downwind value under-transports the sub-cell interface (case 02 front lag of order thirty cells), hence the conservative departure-interval average.</w:t>
      </w:r>
    </w:p>
    <w:p>
      <w:pPr>
        <w:pStyle w:val="BodyText"/>
      </w:pPr>
      <w:r>
        <w:rPr>
          <w:i/>
          <w:iCs/>
        </w:rPr>
        <w:t xml:space="preserve">Density-monotonicity guard.</w:t>
      </w:r>
      <w:r>
        <w:t xml:space="preserve"> </w:t>
      </w:r>
      <w:r>
        <w:t xml:space="preserve">In the reversed shock tube (case 14) unguarded THINC produces a genuine density oscillation: total-variation excess</w:t>
      </w:r>
      <w:r>
        <w:t xml:space="preserve"> </w:t>
      </w:r>
      <m:oMath>
        <m:r>
          <m:t>44.6</m:t>
        </m:r>
        <m:r>
          <m:rPr>
            <m:sty m:val="p"/>
          </m:rPr>
          <m:t>%</m:t>
        </m:r>
      </m:oMath>
      <w:r>
        <w:t xml:space="preserve"> </w:t>
      </w:r>
      <w:r>
        <w:t xml:space="preserve">of the jump over the contact band, against a monotone-smear floor of</w:t>
      </w:r>
      <w:r>
        <w:t xml:space="preserve"> </w:t>
      </w:r>
      <m:oMath>
        <m:r>
          <m:t>0.7</m:t>
        </m:r>
        <m:r>
          <m:rPr>
            <m:sty m:val="p"/>
          </m:rPr>
          <m:t>%</m:t>
        </m:r>
      </m:oMath>
      <w:r>
        <w:t xml:space="preserve">. The guard removes it —</w:t>
      </w:r>
      <w:r>
        <w:t xml:space="preserve"> </w:t>
      </w:r>
      <m:oMath>
        <m:r>
          <m:t>0.69</m:t>
        </m:r>
        <m:r>
          <m:rPr>
            <m:sty m:val="p"/>
          </m:rPr>
          <m:t>%</m:t>
        </m:r>
      </m:oMath>
      <w:r>
        <w:t xml:space="preserve"> </w:t>
      </w:r>
      <w:r>
        <w:t xml:space="preserve">at</w:t>
      </w:r>
      <w:r>
        <w:t xml:space="preserve"> </w:t>
      </w:r>
      <m:oMath>
        <m:r>
          <m:t>N</m:t>
        </m:r>
        <m:r>
          <m:rPr>
            <m:sty m:val="p"/>
          </m:rPr>
          <m:t>=</m:t>
        </m:r>
        <m:r>
          <m:t>400</m:t>
        </m:r>
      </m:oMath>
      <w:r>
        <w:t xml:space="preserve">,</w:t>
      </w:r>
      <w:r>
        <w:t xml:space="preserve"> </w:t>
      </w:r>
      <m:oMath>
        <m:r>
          <m:t>0.37</m:t>
        </m:r>
        <m:r>
          <m:rPr>
            <m:sty m:val="p"/>
          </m:rPr>
          <m:t>%</m:t>
        </m:r>
      </m:oMath>
      <w:r>
        <w:t xml:space="preserve"> </w:t>
      </w:r>
      <w:r>
        <w:t xml:space="preserve">at</w:t>
      </w:r>
      <w:r>
        <w:t xml:space="preserve"> </w:t>
      </w:r>
      <m:oMath>
        <m:r>
          <m:t>N</m:t>
        </m:r>
        <m:r>
          <m:rPr>
            <m:sty m:val="p"/>
          </m:rPr>
          <m:t>=</m:t>
        </m:r>
        <m:r>
          <m:t>800</m:t>
        </m:r>
      </m:oMath>
      <w:r>
        <w:t xml:space="preserve"> </w:t>
      </w:r>
      <w:r>
        <w:t xml:space="preserve">— while improving the velocity correlation from</w:t>
      </w:r>
      <w:r>
        <w:t xml:space="preserve"> </w:t>
      </w:r>
      <m:oMath>
        <m:r>
          <m:t>0.966</m:t>
        </m:r>
      </m:oMath>
      <w:r>
        <w:t xml:space="preserve"> </w:t>
      </w:r>
      <w:r>
        <w:t xml:space="preserve">to</w:t>
      </w:r>
      <w:r>
        <w:t xml:space="preserve"> </w:t>
      </w:r>
      <m:oMath>
        <m:r>
          <m:t>0.972</m:t>
        </m:r>
      </m:oMath>
      <w:r>
        <w:t xml:space="preserve">. It also cleans the case 25 interface by two orders of magnitude (interface pressure error</w:t>
      </w:r>
      <w:r>
        <w:t xml:space="preserve"> </w:t>
      </w:r>
      <m:oMath>
        <m:r>
          <m:t>0.012</m:t>
        </m:r>
        <m:r>
          <m:rPr>
            <m:sty m:val="p"/>
          </m:rPr>
          <m:t>→</m:t>
        </m:r>
        <m:r>
          <m:t>0.0001</m:t>
        </m:r>
      </m:oMath>
      <w:r>
        <w:t xml:space="preserve">; wave positions</w:t>
      </w:r>
      <w:r>
        <w:t xml:space="preserve"> </w:t>
      </w:r>
      <m:oMath>
        <m:r>
          <m:t>8</m:t>
        </m:r>
        <m:r>
          <m:rPr>
            <m:sty m:val="p"/>
          </m:rPr>
          <m:t>/</m:t>
        </m:r>
        <m:r>
          <m:t>1</m:t>
        </m:r>
        <m:r>
          <m:rPr>
            <m:sty m:val="p"/>
          </m:rPr>
          <m:t>/</m:t>
        </m:r>
        <m:r>
          <m:t>9</m:t>
        </m:r>
        <m:r>
          <m:rPr>
            <m:sty m:val="p"/>
          </m:rPr>
          <m:t>→</m:t>
        </m:r>
        <m:r>
          <m:t>0</m:t>
        </m:r>
        <m:r>
          <m:rPr>
            <m:sty m:val="p"/>
          </m:rPr>
          <m:t>/</m:t>
        </m:r>
        <m:r>
          <m:t>0</m:t>
        </m:r>
        <m:r>
          <m:rPr>
            <m:sty m:val="p"/>
          </m:rPr>
          <m:t>/</m:t>
        </m:r>
        <m:r>
          <m:t>1</m:t>
        </m:r>
      </m:oMath>
      <w:r>
        <w:t xml:space="preserve"> </w:t>
      </w:r>
      <w:r>
        <w:t xml:space="preserve">cells) by rejecting early-transient activations at the shocked contact. Its one cost: machine-precision-level rejections on the uniform-state contact of case 02 introduce a one-cell offset, lowering the density correlation from</w:t>
      </w:r>
      <w:r>
        <w:t xml:space="preserve"> </w:t>
      </w:r>
      <m:oMath>
        <m:r>
          <m:t>0.9999</m:t>
        </m:r>
      </m:oMath>
      <w:r>
        <w:t xml:space="preserve"> </w:t>
      </w:r>
      <w:r>
        <w:t xml:space="preserve">to</w:t>
      </w:r>
      <w:r>
        <w:t xml:space="preserve"> </w:t>
      </w:r>
      <m:oMath>
        <m:r>
          <m:t>0.997</m:t>
        </m:r>
      </m:oMath>
      <w:r>
        <w:t xml:space="preserve"> </w:t>
      </w:r>
      <w:r>
        <w:t xml:space="preserve">— still far above the</w:t>
      </w:r>
      <w:r>
        <w:t xml:space="preserve"> </w:t>
      </w:r>
      <m:oMath>
        <m:r>
          <m:t>0.90</m:t>
        </m:r>
      </m:oMath>
      <w:r>
        <w:t xml:space="preserve"> </w:t>
      </w:r>
      <w:r>
        <w:t xml:space="preserve">gate and the</w:t>
      </w:r>
      <w:r>
        <w:t xml:space="preserve"> </w:t>
      </w:r>
      <m:oMath>
        <m:r>
          <m:t>0.980</m:t>
        </m:r>
      </m:oMath>
      <w:r>
        <w:t xml:space="preserve"> </w:t>
      </w:r>
      <w:r>
        <w:t xml:space="preserve">upwind baseline; the guarded</w:t>
      </w:r>
      <w:r>
        <w:t xml:space="preserve"> </w:t>
      </w:r>
      <m:oMath>
        <m:r>
          <m:t>0.997</m:t>
        </m:r>
      </m:oMath>
      <w:r>
        <w:t xml:space="preserve"> </w:t>
      </w:r>
      <w:r>
        <w:t xml:space="preserve">is the value in Table 7. Case 01 retains</w:t>
      </w:r>
      <w:r>
        <w:t xml:space="preserve"> </w:t>
      </w:r>
      <m:oMath>
        <m:sSub>
          <m:e>
            <m:r>
              <m:t>L</m:t>
            </m:r>
          </m:e>
          <m:sub>
            <m:r>
              <m:rPr>
                <m:sty m:val="p"/>
              </m:rPr>
              <m:t>∞</m:t>
            </m:r>
          </m:sub>
        </m:sSub>
        <m:d>
          <m:dPr>
            <m:begChr m:val="("/>
            <m:endChr m:val=")"/>
            <m:sepChr m:val=""/>
            <m:grow/>
          </m:dPr>
          <m:e>
            <m:r>
              <m:t>p</m:t>
            </m:r>
          </m:e>
        </m:d>
        <m:r>
          <m:rPr>
            <m:sty m:val="p"/>
          </m:rPr>
          <m:t>=</m:t>
        </m:r>
        <m:r>
          <m:t>0</m:t>
        </m:r>
      </m:oMath>
      <w:r>
        <w:t xml:space="preserve"> </w:t>
      </w:r>
      <w:r>
        <w:t xml:space="preserve">throughout.</w:t>
      </w:r>
    </w:p>
    <w:bookmarkEnd w:id="106"/>
    <w:bookmarkStart w:id="107" w:name="tr-bdf2-acoustic-time-integration"/>
    <w:p>
      <w:pPr>
        <w:pStyle w:val="Heading2"/>
      </w:pPr>
      <w:r>
        <w:t xml:space="preserve">4.11 TR-BDF2 acoustic time integration</w:t>
      </w:r>
    </w:p>
    <w:p>
      <w:pPr>
        <w:pStyle w:val="FirstParagraph"/>
      </w:pPr>
      <w:r>
        <w:t xml:space="preserve">On a scalar linear-decay test</w:t>
      </w:r>
      <w:r>
        <w:t xml:space="preserve"> </w:t>
      </w:r>
      <m:oMath>
        <m:acc>
          <m:accPr>
            <m:chr m:val="̇"/>
          </m:accPr>
          <m:e>
            <m:r>
              <m:t>y</m:t>
            </m:r>
          </m:e>
        </m:acc>
        <m:r>
          <m:rPr>
            <m:sty m:val="p"/>
          </m:rPr>
          <m:t>=</m:t>
        </m:r>
        <m:r>
          <m:rPr>
            <m:sty m:val="p"/>
          </m:rPr>
          <m:t>−</m:t>
        </m:r>
        <m:r>
          <m:t>λ</m:t>
        </m:r>
        <m:r>
          <m:t>y</m:t>
        </m:r>
      </m:oMath>
      <w:r>
        <w:t xml:space="preserve"> </w:t>
      </w:r>
      <w:r>
        <w:t xml:space="preserve">the composite scheme shows an observed convergence rate of</w:t>
      </w:r>
      <w:r>
        <w:t xml:space="preserve"> </w:t>
      </w:r>
      <m:oMath>
        <m:r>
          <m:t>2.000</m:t>
        </m:r>
      </m:oMath>
      <w:r>
        <w:t xml:space="preserve"> </w:t>
      </w:r>
      <w:r>
        <w:t xml:space="preserve">and an amplification factor</w:t>
      </w:r>
      <w:r>
        <w:t xml:space="preserve"> </w:t>
      </w:r>
      <m:oMath>
        <m:r>
          <m:t>R</m:t>
        </m:r>
        <m:d>
          <m:dPr>
            <m:begChr m:val="("/>
            <m:endChr m:val=")"/>
            <m:sepChr m:val=""/>
            <m:grow/>
          </m:dPr>
          <m:e>
            <m:r>
              <m:t>z</m:t>
            </m:r>
          </m:e>
        </m:d>
        <m:r>
          <m:rPr>
            <m:sty m:val="p"/>
          </m:rPr>
          <m:t>→</m:t>
        </m:r>
        <m:r>
          <m:t>0</m:t>
        </m:r>
      </m:oMath>
      <w:r>
        <w:t xml:space="preserve"> </w:t>
      </w:r>
      <w:r>
        <w:t xml:space="preserve">as</w:t>
      </w:r>
      <w:r>
        <w:t xml:space="preserve"> </w:t>
      </w:r>
      <m:oMath>
        <m:r>
          <m:t>z</m:t>
        </m:r>
        <m:r>
          <m:rPr>
            <m:sty m:val="p"/>
          </m:rPr>
          <m:t>=</m:t>
        </m:r>
        <m:r>
          <m:rPr>
            <m:sty m:val="p"/>
          </m:rPr>
          <m:t>−</m:t>
        </m:r>
        <m:r>
          <m:t>λ</m:t>
        </m:r>
        <m:r>
          <m:t> </m:t>
        </m:r>
        <m:r>
          <m:t>Δ</m:t>
        </m:r>
        <m:r>
          <m:t>t</m:t>
        </m:r>
        <m:r>
          <m:rPr>
            <m:sty m:val="p"/>
          </m:rPr>
          <m:t>→</m:t>
        </m:r>
        <m:r>
          <m:rPr>
            <m:sty m:val="p"/>
          </m:rPr>
          <m:t>−</m:t>
        </m:r>
        <m:r>
          <m:rPr>
            <m:sty m:val="p"/>
          </m:rPr>
          <m:t>∞</m:t>
        </m:r>
      </m:oMath>
      <w:r>
        <w:t xml:space="preserve"> </w:t>
      </w:r>
      <w:r>
        <w:t xml:space="preserve">(measured</w:t>
      </w:r>
      <w:r>
        <w:t xml:space="preserve"> </w:t>
      </w:r>
      <m:oMath>
        <m:r>
          <m:t>R</m:t>
        </m:r>
        <m:d>
          <m:dPr>
            <m:begChr m:val="("/>
            <m:endChr m:val=")"/>
            <m:sepChr m:val=""/>
            <m:grow/>
          </m:dPr>
          <m:e>
            <m:r>
              <m:t>z</m:t>
            </m:r>
          </m:e>
        </m:d>
        <m:r>
          <m:rPr>
            <m:sty m:val="p"/>
          </m:rPr>
          <m:t>≈</m:t>
        </m:r>
        <m:r>
          <m:rPr>
            <m:sty m:val="p"/>
          </m:rPr>
          <m:t>−</m:t>
        </m:r>
        <m:r>
          <m:t>4.83</m:t>
        </m:r>
        <m:r>
          <m:rPr>
            <m:sty m:val="p"/>
          </m:rPr>
          <m:t>/</m:t>
        </m:r>
        <m:d>
          <m:dPr>
            <m:begChr m:val="|"/>
            <m:endChr m:val="|"/>
            <m:sepChr m:val=""/>
            <m:grow/>
          </m:dPr>
          <m:e>
            <m:r>
              <m:t>z</m:t>
            </m:r>
          </m:e>
        </m:d>
      </m:oMath>
      <w:r>
        <w:t xml:space="preserve">): L-stable, actively driving the highest-frequency temporal modes to zero. With the conservative total-energy residual removing the pressure-work source retained by the enthalpy form, this distinguishes TR-BDF2 from the single-step backward scheme, whose source drives a wake and damps the wave. Measured: the case 07 wake peak-to-peak falls from</w:t>
      </w:r>
      <w:r>
        <w:t xml:space="preserve"> </w:t>
      </w:r>
      <m:oMath>
        <m:r>
          <m:t>1.69</m:t>
        </m:r>
      </m:oMath>
      <w:r>
        <w:t xml:space="preserve"> </w:t>
      </w:r>
      <w:r>
        <w:t xml:space="preserve">Pa to</w:t>
      </w:r>
      <w:r>
        <w:t xml:space="preserve"> </w:t>
      </w:r>
      <m:oMath>
        <m:r>
          <m:t>0.80</m:t>
        </m:r>
      </m:oMath>
      <w:r>
        <w:t xml:space="preserve"> </w:t>
      </w:r>
      <w:r>
        <w:t xml:space="preserve">Pa, the velocity amplitude ratio recovers from</w:t>
      </w:r>
      <w:r>
        <w:t xml:space="preserve"> </w:t>
      </w:r>
      <m:oMath>
        <m:r>
          <m:t>0.88</m:t>
        </m:r>
      </m:oMath>
      <w:r>
        <w:t xml:space="preserve"> </w:t>
      </w:r>
      <w:r>
        <w:t xml:space="preserve">to</w:t>
      </w:r>
      <w:r>
        <w:t xml:space="preserve"> </w:t>
      </w:r>
      <m:oMath>
        <m:r>
          <m:t>0.996</m:t>
        </m:r>
      </m:oMath>
      <w:r>
        <w:t xml:space="preserve">, the case 35 pressure amplitude ratio rises from</w:t>
      </w:r>
      <w:r>
        <w:t xml:space="preserve"> </w:t>
      </w:r>
      <m:oMath>
        <m:r>
          <m:t>0.71</m:t>
        </m:r>
      </m:oMath>
      <w:r>
        <w:t xml:space="preserve"> </w:t>
      </w:r>
      <w:r>
        <w:t xml:space="preserve">to</w:t>
      </w:r>
      <w:r>
        <w:t xml:space="preserve"> </w:t>
      </w:r>
      <m:oMath>
        <m:r>
          <m:t>0.99</m:t>
        </m:r>
      </m:oMath>
      <w:r>
        <w:t xml:space="preserve">, and all five acoustic correlations (04, 05, 07, 35, 36) reach</w:t>
      </w:r>
      <w:r>
        <w:t xml:space="preserve"> </w:t>
      </w:r>
      <m:oMath>
        <m:r>
          <m:t>0.999</m:t>
        </m:r>
      </m:oMath>
      <w:r>
        <w:t xml:space="preserve"> </w:t>
      </w:r>
      <w:r>
        <w:t xml:space="preserve">or above. The remaining sub-</w:t>
      </w:r>
      <m:oMath>
        <m:r>
          <m:t>0.1</m:t>
        </m:r>
      </m:oMath>
      <w:r>
        <w:t xml:space="preserve"> </w:t>
      </w:r>
      <w:r>
        <w:t xml:space="preserve">Pa case 07 ripple is a smooth dispersion tail of the high-order low-dissipation reconstruction — reducing the spatial order makes it several times larger — not a time-integration artefact. Every backward-Euler case is byte-for-byte identical to the pre-change implementation.</w:t>
      </w:r>
    </w:p>
    <w:bookmarkEnd w:id="107"/>
    <w:bookmarkStart w:id="108" w:name="X7c0660bf8f600b2bd2829f765c83ffb6f2ac701"/>
    <w:p>
      <w:pPr>
        <w:pStyle w:val="Heading2"/>
      </w:pPr>
      <w:r>
        <w:t xml:space="preserve">4.12 On time-step-independent momentum-weighted interpolation</w:t>
      </w:r>
    </w:p>
    <w:p>
      <w:pPr>
        <w:pStyle w:val="FirstParagraph"/>
      </w:pPr>
      <w:r>
        <w:t xml:space="preserve">The single residual in the suite is the case 25 reflected-shock overshoot: a single-cell pressure feature with amplitude ratio</w:t>
      </w:r>
      <w:r>
        <w:t xml:space="preserve"> </w:t>
      </w:r>
      <m:oMath>
        <m:r>
          <m:t>1.243</m:t>
        </m:r>
      </m:oMath>
      <w:r>
        <w:t xml:space="preserve">. Its mechanism is a documented property of collocated MWI [14]: with</w:t>
      </w:r>
      <w:r>
        <w:t xml:space="preserve"> </w:t>
      </w:r>
      <m:oMath>
        <m:sSub>
          <m:e>
            <m:r>
              <m:t>e</m:t>
            </m:r>
          </m:e>
          <m:sub>
            <m:r>
              <m:t>P</m:t>
            </m:r>
          </m:sub>
        </m:sSub>
        <m:r>
          <m:rPr>
            <m:sty m:val="p"/>
          </m:rPr>
          <m:t>=</m:t>
        </m:r>
        <m:r>
          <m:t>ρ</m:t>
        </m:r>
        <m:r>
          <m:t> </m:t>
        </m:r>
        <m:r>
          <m:t>Δ</m:t>
        </m:r>
        <m:r>
          <m:t>x</m:t>
        </m:r>
        <m:r>
          <m:rPr>
            <m:sty m:val="p"/>
          </m:rPr>
          <m:t>/</m:t>
        </m:r>
        <m:r>
          <m:t>Δ</m:t>
        </m:r>
        <m:r>
          <m:t>t</m:t>
        </m:r>
      </m:oMath>
      <w:r>
        <w:t xml:space="preserve"> </w:t>
      </w:r>
      <w:r>
        <w:t xml:space="preserve">the coefficient scales as</w:t>
      </w:r>
      <w:r>
        <w:t xml:space="preserve"> </w:t>
      </w:r>
      <m:oMath>
        <m:sSub>
          <m:e>
            <m:acc>
              <m:accPr>
                <m:chr m:val="̂"/>
              </m:accPr>
              <m:e>
                <m:r>
                  <m:t>d</m:t>
                </m:r>
              </m:e>
            </m:acc>
          </m:e>
          <m:sub>
            <m:r>
              <m:t>f</m:t>
            </m:r>
          </m:sub>
        </m:sSub>
        <m:r>
          <m:rPr>
            <m:sty m:val="p"/>
          </m:rPr>
          <m:t>∝</m:t>
        </m:r>
        <m:r>
          <m:t>Δ</m:t>
        </m:r>
        <m:r>
          <m:t>t</m:t>
        </m:r>
      </m:oMath>
      <w:r>
        <w:t xml:space="preserve">, so the MWI dissipation</w:t>
      </w:r>
      <w:r>
        <w:t xml:space="preserve"> </w:t>
      </w:r>
      <w:r>
        <w:rPr>
          <w:i/>
          <w:iCs/>
        </w:rPr>
        <w:t xml:space="preserve">vanishes</w:t>
      </w:r>
      <w:r>
        <w:t xml:space="preserve"> </w:t>
      </w:r>
      <w:r>
        <w:t xml:space="preserve">as the time-step is refined, under-damping the pressure–velocity coupling at a strong shock; the overshoot accordingly grows as the step is reduced. Table 3 (left) gives the measured Courant dependence: amplitude ratio</w:t>
      </w:r>
      <w:r>
        <w:t xml:space="preserve"> </w:t>
      </w:r>
      <m:oMath>
        <m:r>
          <m:t>1.243</m:t>
        </m:r>
      </m:oMath>
      <w:r>
        <w:t xml:space="preserve"> </w:t>
      </w:r>
      <w:r>
        <w:t xml:space="preserve">at Co = 0.45 rising to</w:t>
      </w:r>
      <w:r>
        <w:t xml:space="preserve"> </w:t>
      </w:r>
      <m:oMath>
        <m:r>
          <m:t>1.351</m:t>
        </m:r>
      </m:oMath>
      <w:r>
        <w:t xml:space="preserve"> </w:t>
      </w:r>
      <w:r>
        <w:t xml:space="preserve">at Co = 0.10.</w:t>
      </w:r>
    </w:p>
    <w:p>
      <w:pPr>
        <w:pStyle w:val="BodyText"/>
      </w:pPr>
      <w:r>
        <w:t xml:space="preserve">We searched systematically for a parameter-free MWI dissipation independent of the time-step yet harmless to the low-Mach and near-vacuum cases. Four forms were implemented faithfully and measured; each is a negative result, and the code was reverted to the transient-coefficient baseline in every case. (i) The Bartholomew et al. [14]</w:t>
      </w:r>
      <w:r>
        <w:t xml:space="preserve"> </w:t>
      </w:r>
      <w:r>
        <w:rPr>
          <w:i/>
          <w:iCs/>
        </w:rPr>
        <w:t xml:space="preserve">unified</w:t>
      </w:r>
      <w:r>
        <w:t xml:space="preserve"> </w:t>
      </w:r>
      <w:r>
        <w:t xml:space="preserve">form (advective coefficient</w:t>
      </w:r>
      <w:r>
        <w:t xml:space="preserve"> </w:t>
      </w:r>
      <m:oMath>
        <m:r>
          <m:t>a</m:t>
        </m:r>
        <m:r>
          <m:rPr>
            <m:sty m:val="p"/>
          </m:rPr>
          <m:t>=</m:t>
        </m:r>
        <m:r>
          <m:t>ρ</m:t>
        </m:r>
        <m:d>
          <m:dPr>
            <m:begChr m:val="|"/>
            <m:endChr m:val="|"/>
            <m:sepChr m:val=""/>
            <m:grow/>
          </m:dPr>
          <m:e>
            <m:r>
              <m:t>u</m:t>
            </m:r>
          </m:e>
        </m:d>
      </m:oMath>
      <w:r>
        <w:t xml:space="preserve"> </w:t>
      </w:r>
      <w:r>
        <w:t xml:space="preserve">with the paper’s memory feedback) is genuinely time-step-independent and essentially removes the overshoot (case 25 amplitude ratio</w:t>
      </w:r>
      <w:r>
        <w:t xml:space="preserve"> </w:t>
      </w:r>
      <m:oMath>
        <m:r>
          <m:t>1.0003</m:t>
        </m:r>
      </m:oMath>
      <w:r>
        <w:t xml:space="preserve">) — but its near-unity memory feedback at low Mach integrates acoustic-scale corrections into divergence, and the five acoustic cases explode. (ii) An acoustic-signal-speed coefficient</w:t>
      </w:r>
      <w:r>
        <w:t xml:space="preserve"> </w:t>
      </w:r>
      <m:oMath>
        <m:r>
          <m:t>a</m:t>
        </m:r>
        <m:r>
          <m:rPr>
            <m:sty m:val="p"/>
          </m:rPr>
          <m:t>=</m:t>
        </m:r>
        <m:r>
          <m:t>ρ</m:t>
        </m:r>
        <m:d>
          <m:dPr>
            <m:begChr m:val="("/>
            <m:endChr m:val=")"/>
            <m:sepChr m:val=""/>
            <m:grow/>
          </m:dPr>
          <m:e>
            <m:d>
              <m:dPr>
                <m:begChr m:val="|"/>
                <m:endChr m:val="|"/>
                <m:sepChr m:val=""/>
                <m:grow/>
              </m:dPr>
              <m:e>
                <m:r>
                  <m:t>u</m:t>
                </m:r>
              </m:e>
            </m:d>
            <m:r>
              <m:rPr>
                <m:sty m:val="p"/>
              </m:rPr>
              <m:t>+</m:t>
            </m:r>
            <m:r>
              <m:t>c</m:t>
            </m:r>
          </m:e>
        </m:d>
      </m:oMath>
      <w:r>
        <w:t xml:space="preserve"> </w:t>
      </w:r>
      <w:r>
        <w:t xml:space="preserve">is time-step-independent at its fixed point and lowers the overshoot uniformly at every Courant number (Table 3, right:</w:t>
      </w:r>
      <w:r>
        <w:t xml:space="preserve"> </w:t>
      </w:r>
      <m:oMath>
        <m:r>
          <m:t>1.324</m:t>
        </m:r>
      </m:oMath>
      <w:r>
        <w:t xml:space="preserve">/</w:t>
      </w:r>
      <m:oMath>
        <m:r>
          <m:t>1.277</m:t>
        </m:r>
      </m:oMath>
      <w:r>
        <w:t xml:space="preserve">/</w:t>
      </w:r>
      <m:oMath>
        <m:r>
          <m:t>1.207</m:t>
        </m:r>
      </m:oMath>
      <w:r>
        <w:t xml:space="preserve"> </w:t>
      </w:r>
      <w:r>
        <w:t xml:space="preserve">at Co = 0.10/0.20/0.45 versus baseline</w:t>
      </w:r>
      <w:r>
        <w:t xml:space="preserve"> </w:t>
      </w:r>
      <m:oMath>
        <m:r>
          <m:t>1.351</m:t>
        </m:r>
      </m:oMath>
      <w:r>
        <w:t xml:space="preserve">/</w:t>
      </w:r>
      <m:oMath>
        <m:r>
          <m:t>1.314</m:t>
        </m:r>
      </m:oMath>
      <w:r>
        <w:t xml:space="preserve">/</w:t>
      </w:r>
      <m:oMath>
        <m:r>
          <m:t>1.243</m:t>
        </m:r>
      </m:oMath>
      <w:r>
        <w:t xml:space="preserve">) — but the</w:t>
      </w:r>
      <w:r>
        <w:t xml:space="preserve"> </w:t>
      </w:r>
      <w:r>
        <w:rPr>
          <w:i/>
          <w:iCs/>
        </w:rPr>
        <w:t xml:space="preserve">slope</w:t>
      </w:r>
      <w:r>
        <w:t xml:space="preserve"> </w:t>
      </w:r>
      <w:r>
        <w:t xml:space="preserve">of the sweep is unchanged (a moving front never reaches the fixed point), and where the local signal speed collapses (the near-vacuum core of case 15) the memory feedback approaches unity and over-filters, dropping the suite to</w:t>
      </w:r>
      <w:r>
        <w:t xml:space="preserve"> </w:t>
      </w:r>
      <m:oMath>
        <m:r>
          <m:t>18</m:t>
        </m:r>
        <m:r>
          <m:rPr>
            <m:sty m:val="p"/>
          </m:rPr>
          <m:t>/</m:t>
        </m:r>
        <m:r>
          <m:t>19</m:t>
        </m:r>
      </m:oMath>
      <w:r>
        <w:t xml:space="preserve">. (iii) A linearized acoustic-Riemann face pressure at shock faces,</w:t>
      </w:r>
      <w:r>
        <w:t xml:space="preserve"> </w:t>
      </w:r>
      <m:oMath>
        <m:sSubSup>
          <m:e>
            <m:r>
              <m:t>p</m:t>
            </m:r>
          </m:e>
          <m:sub>
            <m:r>
              <m:t>f</m:t>
            </m:r>
          </m:sub>
          <m:sup>
            <m:r>
              <m:rPr>
                <m:sty m:val="p"/>
              </m:rPr>
              <m:t>*</m:t>
            </m:r>
          </m:sup>
        </m:sSubSup>
        <m:r>
          <m:rPr>
            <m:sty m:val="p"/>
          </m:rPr>
          <m:t>=</m:t>
        </m:r>
        <m:d>
          <m:dPr>
            <m:begChr m:val="("/>
            <m:endChr m:val=")"/>
            <m:sepChr m:val=""/>
            <m:grow/>
          </m:dPr>
          <m:e>
            <m:sSub>
              <m:e>
                <m:r>
                  <m:t>Z</m:t>
                </m:r>
              </m:e>
              <m:sub>
                <m:r>
                  <m:t>R</m:t>
                </m:r>
              </m:sub>
            </m:sSub>
            <m:sSub>
              <m:e>
                <m:r>
                  <m:t>p</m:t>
                </m:r>
              </m:e>
              <m:sub>
                <m:r>
                  <m:t>L</m:t>
                </m:r>
              </m:sub>
            </m:sSub>
            <m:r>
              <m:rPr>
                <m:sty m:val="p"/>
              </m:rPr>
              <m:t>+</m:t>
            </m:r>
            <m:sSub>
              <m:e>
                <m:r>
                  <m:t>Z</m:t>
                </m:r>
              </m:e>
              <m:sub>
                <m:r>
                  <m:t>L</m:t>
                </m:r>
              </m:sub>
            </m:sSub>
            <m:sSub>
              <m:e>
                <m:r>
                  <m:t>p</m:t>
                </m:r>
              </m:e>
              <m:sub>
                <m:r>
                  <m:t>R</m:t>
                </m:r>
              </m:sub>
            </m:sSub>
          </m:e>
        </m:d>
        <m:r>
          <m:rPr>
            <m:sty m:val="p"/>
          </m:rPr>
          <m:t>/</m:t>
        </m:r>
        <m:d>
          <m:dPr>
            <m:begChr m:val="("/>
            <m:endChr m:val=")"/>
            <m:sepChr m:val=""/>
            <m:grow/>
          </m:dPr>
          <m:e>
            <m:sSub>
              <m:e>
                <m:r>
                  <m:t>Z</m:t>
                </m:r>
              </m:e>
              <m:sub>
                <m:r>
                  <m:t>L</m:t>
                </m:r>
              </m:sub>
            </m:sSub>
            <m:r>
              <m:rPr>
                <m:sty m:val="p"/>
              </m:rPr>
              <m:t>+</m:t>
            </m:r>
            <m:sSub>
              <m:e>
                <m:r>
                  <m:t>Z</m:t>
                </m:r>
              </m:e>
              <m:sub>
                <m:r>
                  <m:t>R</m:t>
                </m:r>
              </m:sub>
            </m:sSub>
          </m:e>
        </m:d>
        <m:r>
          <m:rPr>
            <m:sty m:val="p"/>
          </m:rPr>
          <m:t>+</m:t>
        </m:r>
        <m:sSub>
          <m:e>
            <m:r>
              <m:t>Z</m:t>
            </m:r>
          </m:e>
          <m:sub>
            <m:r>
              <m:t>L</m:t>
            </m:r>
          </m:sub>
        </m:sSub>
        <m:sSub>
          <m:e>
            <m:r>
              <m:t>Z</m:t>
            </m:r>
          </m:e>
          <m:sub>
            <m:r>
              <m:t>R</m:t>
            </m:r>
          </m:sub>
        </m:sSub>
        <m:d>
          <m:dPr>
            <m:begChr m:val="("/>
            <m:endChr m:val=")"/>
            <m:sepChr m:val=""/>
            <m:grow/>
          </m:dPr>
          <m:e>
            <m:sSub>
              <m:e>
                <m:r>
                  <m:t>u</m:t>
                </m:r>
              </m:e>
              <m:sub>
                <m:r>
                  <m:t>L</m:t>
                </m:r>
              </m:sub>
            </m:sSub>
            <m:r>
              <m:rPr>
                <m:sty m:val="p"/>
              </m:rPr>
              <m:t>−</m:t>
            </m:r>
            <m:sSub>
              <m:e>
                <m:r>
                  <m:t>u</m:t>
                </m:r>
              </m:e>
              <m:sub>
                <m:r>
                  <m:t>R</m:t>
                </m:r>
              </m:sub>
            </m:sSub>
          </m:e>
        </m:d>
        <m:r>
          <m:rPr>
            <m:sty m:val="p"/>
          </m:rPr>
          <m:t>/</m:t>
        </m:r>
        <m:d>
          <m:dPr>
            <m:begChr m:val="("/>
            <m:endChr m:val=")"/>
            <m:sepChr m:val=""/>
            <m:grow/>
          </m:dPr>
          <m:e>
            <m:sSub>
              <m:e>
                <m:r>
                  <m:t>Z</m:t>
                </m:r>
              </m:e>
              <m:sub>
                <m:r>
                  <m:t>L</m:t>
                </m:r>
              </m:sub>
            </m:sSub>
            <m:r>
              <m:rPr>
                <m:sty m:val="p"/>
              </m:rPr>
              <m:t>+</m:t>
            </m:r>
            <m:sSub>
              <m:e>
                <m:r>
                  <m:t>Z</m:t>
                </m:r>
              </m:e>
              <m:sub>
                <m:r>
                  <m:t>R</m:t>
                </m:r>
              </m:sub>
            </m:sSub>
          </m:e>
        </m:d>
      </m:oMath>
      <w:r>
        <w:t xml:space="preserve">, cures the overshoot (amplitude ratio</w:t>
      </w:r>
      <w:r>
        <w:t xml:space="preserve"> </w:t>
      </w:r>
      <m:oMath>
        <m:r>
          <m:t>1.03</m:t>
        </m:r>
      </m:oMath>
      <w:r>
        <w:t xml:space="preserve">) but its jump term is</w:t>
      </w:r>
      <w:r>
        <w:t xml:space="preserve"> </w:t>
      </w:r>
      <m:oMath>
        <m:r>
          <m:t>5</m:t>
        </m:r>
      </m:oMath>
      <w:r>
        <w:t xml:space="preserve">–</w:t>
      </w:r>
      <m:oMath>
        <m:r>
          <m:t>10</m:t>
        </m:r>
      </m:oMath>
      <w:r>
        <w:t xml:space="preserve"> </w:t>
      </w:r>
      <w:r>
        <w:t xml:space="preserve">times too strong for the already-clean single-phase and mixture shocks, over-diffusing their fronts past the sharpness and plateau gates. (iv) Gating that term on MWI-clamp saturation never fires on the target — a</w:t>
      </w:r>
      <w:r>
        <w:t xml:space="preserve"> </w:t>
      </w:r>
      <w:r>
        <w:rPr>
          <w:i/>
          <w:iCs/>
        </w:rPr>
        <w:t xml:space="preserve">clean</w:t>
      </w:r>
      <w:r>
        <w:t xml:space="preserve"> </w:t>
      </w:r>
      <w:r>
        <w:t xml:space="preserve">Mach 10 shock (case 26) carries a face-level saturation signature of</w:t>
      </w:r>
      <w:r>
        <w:t xml:space="preserve"> </w:t>
      </w:r>
      <m:oMath>
        <m:r>
          <m:t>0.39426</m:t>
        </m:r>
      </m:oMath>
      <w:r>
        <w:t xml:space="preserve">, indistinguishable from case 25’s</w:t>
      </w:r>
      <w:r>
        <w:t xml:space="preserve"> </w:t>
      </w:r>
      <m:oMath>
        <m:r>
          <m:t>0.39430</m:t>
        </m:r>
      </m:oMath>
      <w:r>
        <w:t xml:space="preserve"> </w:t>
      </w:r>
      <w:r>
        <w:t xml:space="preserve">— and instead fires on the violent initial transients of the cases it must not touch.</w:t>
      </w:r>
    </w:p>
    <w:p>
      <w:pPr>
        <w:pStyle w:val="BodyText"/>
      </w:pPr>
      <w:r>
        <w:t xml:space="preserve">The measured conclusion: for collocated implicit MWI on this suite, per-step time-step independence, low-Mach stability and near-vacuum robustness form a</w:t>
      </w:r>
      <w:r>
        <w:t xml:space="preserve"> </w:t>
      </w:r>
      <w:r>
        <w:rPr>
          <w:i/>
          <w:iCs/>
        </w:rPr>
        <w:t xml:space="preserve">pick-two</w:t>
      </w:r>
      <w:r>
        <w:t xml:space="preserve"> </w:t>
      </w:r>
      <w:r>
        <w:t xml:space="preserve">constraint. Every candidate that achieves time-step independence at the shock either destabilises the resolved acoustic field (i, ii at its extreme) or over-diffuses the clean shocks (iii), and no face-local instantaneous signal discriminates the under-damped reflected front from a clean Hugoniot front (iv) — the two are locally identical. The case 25 residual is a one-cell start-up imprint of the reflection event, locally indistinguishable from a physical front, and the same feature appears in Denner’s own reference computation (Ref. [17], Fig. 23). We report it as a documented residual rather than tune it away.</w:t>
      </w:r>
    </w:p>
    <w:p>
      <w:pPr>
        <w:pStyle w:val="BodyText"/>
      </w:pPr>
      <w:r>
        <w:rPr>
          <w:b/>
          <w:bCs/>
        </w:rPr>
        <w:t xml:space="preserve">Table 3.</w:t>
      </w:r>
      <w:r>
        <w:t xml:space="preserve"> </w:t>
      </w:r>
      <w:r>
        <w:t xml:space="preserve">Case 25 reflected-shock overshoot. Left: Courant-number dependence of the transient-coefficient baseline. Right: the acoustic-signal-speed coefficient</w:t>
      </w:r>
      <w:r>
        <w:t xml:space="preserve"> </w:t>
      </w:r>
      <m:oMath>
        <m:r>
          <m:t>ρ</m:t>
        </m:r>
        <m:d>
          <m:dPr>
            <m:begChr m:val="("/>
            <m:endChr m:val=")"/>
            <m:sepChr m:val=""/>
            <m:grow/>
          </m:dPr>
          <m:e>
            <m:d>
              <m:dPr>
                <m:begChr m:val="|"/>
                <m:endChr m:val="|"/>
                <m:sepChr m:val=""/>
                <m:grow/>
              </m:dPr>
              <m:e>
                <m:r>
                  <m:t>u</m:t>
                </m:r>
              </m:e>
            </m:d>
            <m:r>
              <m:rPr>
                <m:sty m:val="p"/>
              </m:rPr>
              <m:t>+</m:t>
            </m:r>
            <m:r>
              <m:t>c</m:t>
            </m:r>
          </m:e>
        </m:d>
      </m:oMath>
      <w:r>
        <w:t xml:space="preserve"> </w:t>
      </w:r>
      <w:r>
        <w:t xml:space="preserve">at the same Courant numbers; the level is reduced uniformly but the slope (and hence the time-step dependence) is unchanged. Values are the pressure amplitude ratio (high-frequency indicator in parentheses).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w:t>
            </w:r>
          </w:p>
        </w:tc>
        <w:tc>
          <w:tcPr/>
          <w:p>
            <w:pPr>
              <w:pStyle w:val="Compact"/>
              <w:jc w:val="left"/>
            </w:pPr>
            <w:r>
              <w:t xml:space="preserve">baseline amp. (HF)</w:t>
            </w:r>
          </w:p>
        </w:tc>
        <w:tc>
          <w:tcPr/>
          <w:p>
            <w:pPr>
              <w:pStyle w:val="Compact"/>
            </w:pPr>
          </w:p>
        </w:tc>
        <w:tc>
          <w:tcPr/>
          <w:p>
            <w:pPr>
              <w:pStyle w:val="Compact"/>
              <w:jc w:val="left"/>
            </w:pPr>
            <w:r>
              <w:t xml:space="preserve">Co</w:t>
            </w:r>
          </w:p>
        </w:tc>
        <w:tc>
          <w:tcPr/>
          <w:p>
            <w:pPr>
              <w:pStyle w:val="Compact"/>
              <w:jc w:val="left"/>
            </w:pPr>
            <m:oMath>
              <m:r>
                <m:t>ρ</m:t>
              </m:r>
              <m:d>
                <m:dPr>
                  <m:begChr m:val="("/>
                  <m:endChr m:val=")"/>
                  <m:sepChr m:val=""/>
                  <m:grow/>
                </m:dPr>
                <m:e>
                  <m:d>
                    <m:dPr>
                      <m:begChr m:val="|"/>
                      <m:endChr m:val="|"/>
                      <m:sepChr m:val=""/>
                      <m:grow/>
                    </m:dPr>
                    <m:e>
                      <m:r>
                        <m:t>u</m:t>
                      </m:r>
                    </m:e>
                  </m:d>
                  <m:r>
                    <m:rPr>
                      <m:sty m:val="p"/>
                    </m:rPr>
                    <m:t>+</m:t>
                  </m:r>
                  <m:r>
                    <m:t>c</m:t>
                  </m:r>
                </m:e>
              </m:d>
            </m:oMath>
            <w:r>
              <w:t xml:space="preserve"> </w:t>
            </w:r>
            <w:r>
              <w:t xml:space="preserve">amp. (HF)</w:t>
            </w:r>
          </w:p>
        </w:tc>
      </w:tr>
      <w:tr>
        <w:tc>
          <w:tcPr/>
          <w:p>
            <w:pPr>
              <w:pStyle w:val="Compact"/>
              <w:jc w:val="left"/>
            </w:pPr>
            <w:r>
              <w:t xml:space="preserve">0.10</w:t>
            </w:r>
          </w:p>
        </w:tc>
        <w:tc>
          <w:tcPr/>
          <w:p>
            <w:pPr>
              <w:pStyle w:val="Compact"/>
              <w:jc w:val="left"/>
            </w:pPr>
            <w:r>
              <w:t xml:space="preserve">1.351 (1.087)</w:t>
            </w:r>
          </w:p>
        </w:tc>
        <w:tc>
          <w:tcPr/>
          <w:p>
            <w:pPr>
              <w:pStyle w:val="Compact"/>
            </w:pPr>
          </w:p>
        </w:tc>
        <w:tc>
          <w:tcPr/>
          <w:p>
            <w:pPr>
              <w:pStyle w:val="Compact"/>
              <w:jc w:val="left"/>
            </w:pPr>
            <w:r>
              <w:t xml:space="preserve">0.10</w:t>
            </w:r>
          </w:p>
        </w:tc>
        <w:tc>
          <w:tcPr/>
          <w:p>
            <w:pPr>
              <w:pStyle w:val="Compact"/>
              <w:jc w:val="left"/>
            </w:pPr>
            <w:r>
              <w:t xml:space="preserve">1.324 (0.996)</w:t>
            </w:r>
          </w:p>
        </w:tc>
      </w:tr>
      <w:tr>
        <w:tc>
          <w:tcPr/>
          <w:p>
            <w:pPr>
              <w:pStyle w:val="Compact"/>
              <w:jc w:val="left"/>
            </w:pPr>
            <w:r>
              <w:t xml:space="preserve">0.20</w:t>
            </w:r>
          </w:p>
        </w:tc>
        <w:tc>
          <w:tcPr/>
          <w:p>
            <w:pPr>
              <w:pStyle w:val="Compact"/>
              <w:jc w:val="left"/>
            </w:pPr>
            <w:r>
              <w:t xml:space="preserve">1.314 (0.994)</w:t>
            </w:r>
          </w:p>
        </w:tc>
        <w:tc>
          <w:tcPr/>
          <w:p>
            <w:pPr>
              <w:pStyle w:val="Compact"/>
            </w:pPr>
          </w:p>
        </w:tc>
        <w:tc>
          <w:tcPr/>
          <w:p>
            <w:pPr>
              <w:pStyle w:val="Compact"/>
              <w:jc w:val="left"/>
            </w:pPr>
            <w:r>
              <w:t xml:space="preserve">0.20</w:t>
            </w:r>
          </w:p>
        </w:tc>
        <w:tc>
          <w:tcPr/>
          <w:p>
            <w:pPr>
              <w:pStyle w:val="Compact"/>
              <w:jc w:val="left"/>
            </w:pPr>
            <w:r>
              <w:t xml:space="preserve">1.277 (0.897)</w:t>
            </w:r>
          </w:p>
        </w:tc>
      </w:tr>
      <w:tr>
        <w:tc>
          <w:tcPr/>
          <w:p>
            <w:pPr>
              <w:pStyle w:val="Compact"/>
              <w:jc w:val="left"/>
            </w:pPr>
            <w:r>
              <w:t xml:space="preserve">0.45</w:t>
            </w:r>
          </w:p>
        </w:tc>
        <w:tc>
          <w:tcPr/>
          <w:p>
            <w:pPr>
              <w:pStyle w:val="Compact"/>
              <w:jc w:val="left"/>
            </w:pPr>
            <w:r>
              <w:t xml:space="preserve">1.243 (0.842)</w:t>
            </w:r>
          </w:p>
        </w:tc>
        <w:tc>
          <w:tcPr/>
          <w:p>
            <w:pPr>
              <w:pStyle w:val="Compact"/>
            </w:pPr>
          </w:p>
        </w:tc>
        <w:tc>
          <w:tcPr/>
          <w:p>
            <w:pPr>
              <w:pStyle w:val="Compact"/>
              <w:jc w:val="left"/>
            </w:pPr>
            <w:r>
              <w:t xml:space="preserve">0.45</w:t>
            </w:r>
          </w:p>
        </w:tc>
        <w:tc>
          <w:tcPr/>
          <w:p>
            <w:pPr>
              <w:pStyle w:val="Compact"/>
              <w:jc w:val="left"/>
            </w:pPr>
            <w:r>
              <w:t xml:space="preserve">1.207 (0.749)</w:t>
            </w:r>
          </w:p>
        </w:tc>
      </w:tr>
    </w:tbl>
    <w:bookmarkEnd w:id="108"/>
    <w:bookmarkStart w:id="109" w:name="ablation-of-the-scheme-ingredients"/>
    <w:p>
      <w:pPr>
        <w:pStyle w:val="Heading2"/>
      </w:pPr>
      <w:r>
        <w:t xml:space="preserve">4.13 Ablation of the scheme ingredients</w:t>
      </w:r>
    </w:p>
    <w:p>
      <w:pPr>
        <w:pStyle w:val="FirstParagraph"/>
      </w:pPr>
      <w:r>
        <w:t xml:space="preserve">Cases 02, 07, 14 and 25 were re-run with each of three ingredients removed in turn via the solver’s environment opt-outs: the guarded THINC transport, the TR-BDF2 integrator, and the exact analytical Jacobian (replaced by the coloured FD assembly with modified-Newton reuse); Table 4 reports the metric each most affects. THINC owns the sharp contact of case 02 (density correlation</w:t>
      </w:r>
      <w:r>
        <w:t xml:space="preserve"> </w:t>
      </w:r>
      <m:oMath>
        <m:r>
          <m:t>0.980</m:t>
        </m:r>
        <m:r>
          <m:rPr>
            <m:sty m:val="p"/>
          </m:rPr>
          <m:t>→</m:t>
        </m:r>
        <m:r>
          <m:t>0.997</m:t>
        </m:r>
      </m:oMath>
      <w:r>
        <w:t xml:space="preserve">, band</w:t>
      </w:r>
      <w:r>
        <w:t xml:space="preserve"> </w:t>
      </w:r>
      <m:oMath>
        <m:r>
          <m:t>46</m:t>
        </m:r>
        <m:r>
          <m:rPr>
            <m:sty m:val="p"/>
          </m:rPr>
          <m:t>→</m:t>
        </m:r>
        <m:r>
          <m:t>5</m:t>
        </m:r>
      </m:oMath>
      <w:r>
        <w:t xml:space="preserve"> </w:t>
      </w:r>
      <w:r>
        <w:t xml:space="preserve">cells) and is inactive on the acoustic case 07; TR-BDF2 owns the case 07 wake removal (velocity amplitude ratio</w:t>
      </w:r>
      <w:r>
        <w:t xml:space="preserve"> </w:t>
      </w:r>
      <m:oMath>
        <m:r>
          <m:t>0.880</m:t>
        </m:r>
        <m:r>
          <m:rPr>
            <m:sty m:val="p"/>
          </m:rPr>
          <m:t>→</m:t>
        </m:r>
        <m:r>
          <m:t>0.996</m:t>
        </m:r>
      </m:oMath>
      <w:r>
        <w:t xml:space="preserve">, wake</w:t>
      </w:r>
      <w:r>
        <w:t xml:space="preserve"> </w:t>
      </w:r>
      <m:oMath>
        <m:r>
          <m:t>1.69</m:t>
        </m:r>
        <m:r>
          <m:rPr>
            <m:sty m:val="p"/>
          </m:rPr>
          <m:t>→</m:t>
        </m:r>
        <m:r>
          <m:t>0.80</m:t>
        </m:r>
      </m:oMath>
      <w:r>
        <w:t xml:space="preserve"> </w:t>
      </w:r>
      <w:r>
        <w:t xml:space="preserve">Pa) and leaves the backward-Euler cases 02, 14, 25 unchanged. The case 25 amplitude ratio is</w:t>
      </w:r>
      <w:r>
        <w:t xml:space="preserve"> </w:t>
      </w:r>
      <m:oMath>
        <m:r>
          <m:t>1.243</m:t>
        </m:r>
      </m:oMath>
      <w:r>
        <w:t xml:space="preserve"> </w:t>
      </w:r>
      <w:r>
        <w:t xml:space="preserve">in every column: that residual belongs to the momentum interpolation (Section 4.12), orthogonal to all three ingredients.</w:t>
      </w:r>
    </w:p>
    <w:p>
      <w:pPr>
        <w:pStyle w:val="BodyText"/>
      </w:pPr>
      <w:r>
        <w:t xml:space="preserve">The exact Jacobian is a cost lever, not an accuracy lever (defect correction): the FD column reproduces the production solution on the well-converged cases (case 07 byte-for-byte, maximum pressure difference exactly</w:t>
      </w:r>
      <w:r>
        <w:t xml:space="preserve"> </w:t>
      </w:r>
      <m:oMath>
        <m:r>
          <m:t>0</m:t>
        </m:r>
      </m:oMath>
      <w:r>
        <w:t xml:space="preserve">; case 25 to</w:t>
      </w:r>
      <w:r>
        <w:t xml:space="preserve"> </w:t>
      </w:r>
      <m:oMath>
        <m:r>
          <m:t>0.2</m:t>
        </m:r>
      </m:oMath>
      <w:r>
        <w:t xml:space="preserve"> </w:t>
      </w:r>
      <w:r>
        <w:t xml:space="preserve">Pa against</w:t>
      </w:r>
      <w:r>
        <w:t xml:space="preserve"> </w:t>
      </w:r>
      <m:oMath>
        <m:r>
          <m:rPr>
            <m:sty m:val="p"/>
          </m:rPr>
          <m:t>∼</m:t>
        </m:r>
        <m:sSup>
          <m:e>
            <m:r>
              <m:t>10</m:t>
            </m:r>
          </m:e>
          <m:sup>
            <m:r>
              <m:t>6</m:t>
            </m:r>
          </m:sup>
        </m:sSup>
      </m:oMath>
      <w:r>
        <w:t xml:space="preserve"> </w:t>
      </w:r>
      <w:r>
        <w:t xml:space="preserve">Pa). Two informative exceptions: the stiffest shock tube (case 14) accepts a marginally different iterate (</w:t>
      </w:r>
      <m:oMath>
        <m:r>
          <m:rPr>
            <m:sty m:val="p"/>
          </m:rPr>
          <m:t>∼</m:t>
        </m:r>
        <m:r>
          <m:t>3</m:t>
        </m:r>
        <m:r>
          <m:rPr>
            <m:sty m:val="p"/>
          </m:rPr>
          <m:t>×</m:t>
        </m:r>
        <m:sSup>
          <m:e>
            <m:r>
              <m:t>10</m:t>
            </m:r>
          </m:e>
          <m:sup>
            <m:r>
              <m:rPr>
                <m:sty m:val="p"/>
              </m:rPr>
              <m:t>−</m:t>
            </m:r>
            <m:r>
              <m:t>3</m:t>
            </m:r>
          </m:sup>
        </m:sSup>
      </m:oMath>
      <w:r>
        <w:t xml:space="preserve"> </w:t>
      </w:r>
      <w:r>
        <w:t xml:space="preserve">relative pressure difference); and on the MWI-dominant case 02 the coupled</w:t>
      </w:r>
      <w:r>
        <w:t xml:space="preserve"> </w:t>
      </w:r>
      <m:oMath>
        <m:d>
          <m:dPr>
            <m:begChr m:val="("/>
            <m:endChr m:val=")"/>
            <m:sepChr m:val=""/>
            <m:grow/>
          </m:dPr>
          <m:e>
            <m:r>
              <m:t>u</m:t>
            </m:r>
            <m:r>
              <m:rPr>
                <m:sty m:val="p"/>
              </m:rPr>
              <m:t>,</m:t>
            </m:r>
            <m:r>
              <m:t>p</m:t>
            </m:r>
          </m:e>
        </m:d>
      </m:oMath>
      <w:r>
        <w:t xml:space="preserve"> </w:t>
      </w:r>
      <w:r>
        <w:t xml:space="preserve">solution matches to</w:t>
      </w:r>
      <w:r>
        <w:t xml:space="preserve"> </w:t>
      </w:r>
      <m:oMath>
        <m:sSup>
          <m:e>
            <m:r>
              <m:t>10</m:t>
            </m:r>
          </m:e>
          <m:sup>
            <m:r>
              <m:rPr>
                <m:sty m:val="p"/>
              </m:rPr>
              <m:t>−</m:t>
            </m:r>
            <m:r>
              <m:t>10</m:t>
            </m:r>
          </m:sup>
        </m:sSup>
      </m:oMath>
      <w:r>
        <w:t xml:space="preserve">, yet the</w:t>
      </w:r>
      <w:r>
        <w:t xml:space="preserve"> </w:t>
      </w:r>
      <w:r>
        <w:rPr>
          <w:i/>
          <w:iCs/>
        </w:rPr>
        <w:t xml:space="preserve">explicitly</w:t>
      </w:r>
      <w:r>
        <w:t xml:space="preserve"> </w:t>
      </w:r>
      <w:r>
        <w:t xml:space="preserve">advected volume fraction drifts under the FD path’s looser per-step convergence, smearing the contact back toward the upwind result (correlation</w:t>
      </w:r>
      <w:r>
        <w:t xml:space="preserve"> </w:t>
      </w:r>
      <m:oMath>
        <m:r>
          <m:t>0.997</m:t>
        </m:r>
        <m:r>
          <m:rPr>
            <m:sty m:val="p"/>
          </m:rPr>
          <m:t>→</m:t>
        </m:r>
        <m:r>
          <m:t>0.980</m:t>
        </m:r>
      </m:oMath>
      <w:r>
        <w:t xml:space="preserve">, band</w:t>
      </w:r>
      <w:r>
        <w:t xml:space="preserve"> </w:t>
      </w:r>
      <m:oMath>
        <m:r>
          <m:t>5</m:t>
        </m:r>
        <m:r>
          <m:rPr>
            <m:sty m:val="p"/>
          </m:rPr>
          <m:t>→</m:t>
        </m:r>
        <m:r>
          <m:t>44</m:t>
        </m:r>
      </m:oMath>
      <w:r>
        <w:t xml:space="preserve"> </w:t>
      </w:r>
      <w:r>
        <w:t xml:space="preserve">cells). The exact Jacobian thus also protects interface sharpening on this stiff case (cost comparison: Section 4.17).</w:t>
      </w:r>
    </w:p>
    <w:p>
      <w:pPr>
        <w:pStyle w:val="BodyText"/>
      </w:pPr>
      <w:r>
        <w:rPr>
          <w:b/>
          <w:bCs/>
        </w:rPr>
        <w:t xml:space="preserve">Table 4.</w:t>
      </w:r>
      <w:r>
        <w:t xml:space="preserve"> </w:t>
      </w:r>
      <w:r>
        <w:t xml:space="preserve">Ablation on four representative cases: production scheme versus each ingredient removed. THINC = semi-Lagrangian THINC transport with the density-monotonicity guard; TR-BDF2 = L-stable acoustic integrator; AJAC = exact analytical Jacobian (removed = coloured FD assembly with modified-Newton reuse). Each cell reports the two metrics named for that case.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Case — metric</w:t>
            </w:r>
          </w:p>
        </w:tc>
        <w:tc>
          <w:tcPr/>
          <w:p>
            <w:pPr>
              <w:pStyle w:val="Compact"/>
              <w:jc w:val="left"/>
            </w:pPr>
            <w:r>
              <w:t xml:space="preserve">Production</w:t>
            </w:r>
          </w:p>
        </w:tc>
        <w:tc>
          <w:tcPr/>
          <w:p>
            <w:pPr>
              <w:pStyle w:val="Compact"/>
              <w:jc w:val="left"/>
            </w:pPr>
            <m:oMath>
              <m:r>
                <m:rPr>
                  <m:sty m:val="p"/>
                </m:rPr>
                <m:t>−</m:t>
              </m:r>
            </m:oMath>
            <w:r>
              <w:t xml:space="preserve">THINC</w:t>
            </w:r>
          </w:p>
        </w:tc>
        <w:tc>
          <w:tcPr/>
          <w:p>
            <w:pPr>
              <w:pStyle w:val="Compact"/>
              <w:jc w:val="left"/>
            </w:pPr>
            <m:oMath>
              <m:r>
                <m:rPr>
                  <m:sty m:val="p"/>
                </m:rPr>
                <m:t>−</m:t>
              </m:r>
            </m:oMath>
            <w:r>
              <w:t xml:space="preserve">TR-BDF2</w:t>
            </w:r>
          </w:p>
        </w:tc>
        <w:tc>
          <w:tcPr/>
          <w:p>
            <w:pPr>
              <w:pStyle w:val="Compact"/>
              <w:jc w:val="left"/>
            </w:pPr>
            <m:oMath>
              <m:r>
                <m:rPr>
                  <m:sty m:val="p"/>
                </m:rPr>
                <m:t>−</m:t>
              </m:r>
            </m:oMath>
            <w:r>
              <w:t xml:space="preserve">AJAC (FD)</w:t>
            </w:r>
          </w:p>
        </w:tc>
      </w:tr>
      <w:tr>
        <w:tc>
          <w:tcPr/>
          <w:p>
            <w:pPr>
              <w:pStyle w:val="Compact"/>
              <w:jc w:val="left"/>
            </w:pPr>
            <w:r>
              <w:t xml:space="preserve">02 — corr</w:t>
            </w:r>
            <w:r>
              <w:t xml:space="preserve"> </w:t>
            </w:r>
            <m:oMath>
              <m:r>
                <m:t>ρ</m:t>
              </m:r>
            </m:oMath>
            <w:r>
              <w:t xml:space="preserve"> </w:t>
            </w:r>
            <w:r>
              <w:t xml:space="preserve">/ band (cells)</w:t>
            </w:r>
          </w:p>
        </w:tc>
        <w:tc>
          <w:tcPr/>
          <w:p>
            <w:pPr>
              <w:pStyle w:val="Compact"/>
              <w:jc w:val="left"/>
            </w:pPr>
            <w:r>
              <w:t xml:space="preserve">0.997 / 5</w:t>
            </w:r>
          </w:p>
        </w:tc>
        <w:tc>
          <w:tcPr/>
          <w:p>
            <w:pPr>
              <w:pStyle w:val="Compact"/>
              <w:jc w:val="left"/>
            </w:pPr>
            <w:r>
              <w:t xml:space="preserve">0.980 / 46</w:t>
            </w:r>
          </w:p>
        </w:tc>
        <w:tc>
          <w:tcPr/>
          <w:p>
            <w:pPr>
              <w:pStyle w:val="Compact"/>
              <w:jc w:val="left"/>
            </w:pPr>
            <w:r>
              <w:t xml:space="preserve">0.997 / 5</w:t>
            </w:r>
          </w:p>
        </w:tc>
        <w:tc>
          <w:tcPr/>
          <w:p>
            <w:pPr>
              <w:pStyle w:val="Compact"/>
              <w:jc w:val="left"/>
            </w:pPr>
            <w:r>
              <w:t xml:space="preserve">0.980 / 44 †</w:t>
            </w:r>
          </w:p>
        </w:tc>
      </w:tr>
      <w:tr>
        <w:tc>
          <w:tcPr/>
          <w:p>
            <w:pPr>
              <w:pStyle w:val="Compact"/>
              <w:jc w:val="left"/>
            </w:pPr>
            <w:r>
              <w:t xml:space="preserve">07 — amp(</w:t>
            </w:r>
            <m:oMath>
              <m:r>
                <m:t>u</m:t>
              </m:r>
            </m:oMath>
            <w:r>
              <w:t xml:space="preserve">) / wake p2p (Pa)</w:t>
            </w:r>
          </w:p>
        </w:tc>
        <w:tc>
          <w:tcPr/>
          <w:p>
            <w:pPr>
              <w:pStyle w:val="Compact"/>
              <w:jc w:val="left"/>
            </w:pPr>
            <w:r>
              <w:t xml:space="preserve">0.996 / 0.80</w:t>
            </w:r>
          </w:p>
        </w:tc>
        <w:tc>
          <w:tcPr/>
          <w:p>
            <w:pPr>
              <w:pStyle w:val="Compact"/>
              <w:jc w:val="left"/>
            </w:pPr>
            <w:r>
              <w:t xml:space="preserve">0.996 / 0.80</w:t>
            </w:r>
          </w:p>
        </w:tc>
        <w:tc>
          <w:tcPr/>
          <w:p>
            <w:pPr>
              <w:pStyle w:val="Compact"/>
              <w:jc w:val="left"/>
            </w:pPr>
            <w:r>
              <w:t xml:space="preserve">0.880 / 1.69</w:t>
            </w:r>
          </w:p>
        </w:tc>
        <w:tc>
          <w:tcPr/>
          <w:p>
            <w:pPr>
              <w:pStyle w:val="Compact"/>
              <w:jc w:val="left"/>
            </w:pPr>
            <w:r>
              <w:t xml:space="preserve">0.996 / 0.80</w:t>
            </w:r>
          </w:p>
        </w:tc>
      </w:tr>
      <w:tr>
        <w:tc>
          <w:tcPr/>
          <w:p>
            <w:pPr>
              <w:pStyle w:val="Compact"/>
              <w:jc w:val="left"/>
            </w:pPr>
            <w:r>
              <w:t xml:space="preserve">14 — corr</w:t>
            </w:r>
            <w:r>
              <w:t xml:space="preserve"> </w:t>
            </w:r>
            <m:oMath>
              <m:r>
                <m:t>u</m:t>
              </m:r>
            </m:oMath>
            <w:r>
              <w:t xml:space="preserve"> </w:t>
            </w:r>
            <w:r>
              <w:t xml:space="preserve">/</w:t>
            </w:r>
            <w:r>
              <w:t xml:space="preserve"> </w:t>
            </w:r>
            <m:oMath>
              <m:r>
                <m:t>ρ</m:t>
              </m:r>
            </m:oMath>
            <w:r>
              <w:t xml:space="preserve"> </w:t>
            </w:r>
            <w:r>
              <w:t xml:space="preserve">TV-excess (%)</w:t>
            </w:r>
          </w:p>
        </w:tc>
        <w:tc>
          <w:tcPr/>
          <w:p>
            <w:pPr>
              <w:pStyle w:val="Compact"/>
              <w:jc w:val="left"/>
            </w:pPr>
            <w:r>
              <w:t xml:space="preserve">0.972 / 1.9</w:t>
            </w:r>
          </w:p>
        </w:tc>
        <w:tc>
          <w:tcPr/>
          <w:p>
            <w:pPr>
              <w:pStyle w:val="Compact"/>
              <w:jc w:val="left"/>
            </w:pPr>
            <w:r>
              <w:t xml:space="preserve">0.973 / 2.4</w:t>
            </w:r>
          </w:p>
        </w:tc>
        <w:tc>
          <w:tcPr/>
          <w:p>
            <w:pPr>
              <w:pStyle w:val="Compact"/>
              <w:jc w:val="left"/>
            </w:pPr>
            <w:r>
              <w:t xml:space="preserve">0.972 / 1.9</w:t>
            </w:r>
          </w:p>
        </w:tc>
        <w:tc>
          <w:tcPr/>
          <w:p>
            <w:pPr>
              <w:pStyle w:val="Compact"/>
              <w:jc w:val="left"/>
            </w:pPr>
            <w:r>
              <w:t xml:space="preserve">0.968 / 2.0</w:t>
            </w:r>
          </w:p>
        </w:tc>
      </w:tr>
      <w:tr>
        <w:tc>
          <w:tcPr/>
          <w:p>
            <w:pPr>
              <w:pStyle w:val="Compact"/>
              <w:jc w:val="left"/>
            </w:pPr>
            <w:r>
              <w:t xml:space="preserve">25 — amp(</w:t>
            </w:r>
            <m:oMath>
              <m:r>
                <m:t>p</m:t>
              </m:r>
            </m:oMath>
            <w:r>
              <w:t xml:space="preserve">) / interface</w:t>
            </w:r>
            <w:r>
              <w:t xml:space="preserve"> </w:t>
            </w:r>
            <m:oMath>
              <m:r>
                <m:t>Δ</m:t>
              </m:r>
              <m:r>
                <m:t>p</m:t>
              </m:r>
            </m:oMath>
            <w:r>
              <w:t xml:space="preserve"> </w:t>
            </w:r>
            <w:r>
              <w:t xml:space="preserve">(</w:t>
            </w:r>
            <m:oMath>
              <m:r>
                <m:rPr>
                  <m:sty m:val="p"/>
                </m:rPr>
                <m:t>×</m:t>
              </m:r>
              <m:sSup>
                <m:e>
                  <m:r>
                    <m:t>10</m:t>
                  </m:r>
                </m:e>
                <m:sup>
                  <m:r>
                    <m:rPr>
                      <m:sty m:val="p"/>
                    </m:rPr>
                    <m:t>−</m:t>
                  </m:r>
                  <m:r>
                    <m:t>4</m:t>
                  </m:r>
                </m:sup>
              </m:sSup>
            </m:oMath>
            <w:r>
              <w:t xml:space="preserve">)</w:t>
            </w:r>
          </w:p>
        </w:tc>
        <w:tc>
          <w:tcPr/>
          <w:p>
            <w:pPr>
              <w:pStyle w:val="Compact"/>
              <w:jc w:val="left"/>
            </w:pPr>
            <w:r>
              <w:t xml:space="preserve">1.243 / 1.3</w:t>
            </w:r>
          </w:p>
        </w:tc>
        <w:tc>
          <w:tcPr/>
          <w:p>
            <w:pPr>
              <w:pStyle w:val="Compact"/>
              <w:jc w:val="left"/>
            </w:pPr>
            <w:r>
              <w:t xml:space="preserve">1.243 / 1.4</w:t>
            </w:r>
          </w:p>
        </w:tc>
        <w:tc>
          <w:tcPr/>
          <w:p>
            <w:pPr>
              <w:pStyle w:val="Compact"/>
              <w:jc w:val="left"/>
            </w:pPr>
            <w:r>
              <w:t xml:space="preserve">1.243 / 1.3</w:t>
            </w:r>
          </w:p>
        </w:tc>
        <w:tc>
          <w:tcPr/>
          <w:p>
            <w:pPr>
              <w:pStyle w:val="Compact"/>
              <w:jc w:val="left"/>
            </w:pPr>
            <w:r>
              <w:t xml:space="preserve">1.243 / 1.3</w:t>
            </w:r>
          </w:p>
        </w:tc>
      </w:tr>
    </w:tbl>
    <w:p>
      <w:pPr>
        <w:pStyle w:val="BodyText"/>
      </w:pPr>
      <w:r>
        <w:t xml:space="preserve">† The coupled</w:t>
      </w:r>
      <w:r>
        <w:t xml:space="preserve"> </w:t>
      </w:r>
      <m:oMath>
        <m:d>
          <m:dPr>
            <m:begChr m:val="("/>
            <m:endChr m:val=")"/>
            <m:sepChr m:val=""/>
            <m:grow/>
          </m:dPr>
          <m:e>
            <m:r>
              <m:t>u</m:t>
            </m:r>
            <m:r>
              <m:rPr>
                <m:sty m:val="p"/>
              </m:rPr>
              <m:t>,</m:t>
            </m:r>
            <m:r>
              <m:t>p</m:t>
            </m:r>
          </m:e>
        </m:d>
      </m:oMath>
      <w:r>
        <w:t xml:space="preserve"> </w:t>
      </w:r>
      <w:r>
        <w:t xml:space="preserve">solution is identical to</w:t>
      </w:r>
      <w:r>
        <w:t xml:space="preserve"> </w:t>
      </w:r>
      <m:oMath>
        <m:sSup>
          <m:e>
            <m:r>
              <m:t>10</m:t>
            </m:r>
          </m:e>
          <m:sup>
            <m:r>
              <m:rPr>
                <m:sty m:val="p"/>
              </m:rPr>
              <m:t>−</m:t>
            </m:r>
            <m:r>
              <m:t>10</m:t>
            </m:r>
          </m:sup>
        </m:sSup>
      </m:oMath>
      <w:r>
        <w:t xml:space="preserve">; the explicitly-advected volume fraction drifts under the FD path’s looser per-step convergence (see text).</w:t>
      </w:r>
    </w:p>
    <w:bookmarkEnd w:id="109"/>
    <w:bookmarkStart w:id="110" w:name="courant-number-robustness"/>
    <w:p>
      <w:pPr>
        <w:pStyle w:val="Heading2"/>
      </w:pPr>
      <w:r>
        <w:t xml:space="preserve">4.14 Courant-number robustness</w:t>
      </w:r>
    </w:p>
    <w:p>
      <w:pPr>
        <w:pStyle w:val="FirstParagraph"/>
      </w:pPr>
      <w:r>
        <w:t xml:space="preserve">Being acoustically implicit, the scheme treats Co as an accuracy parameter (Section 3.9). Table 5 confirms this on case 07 across a three-fold Courant range: amplitude ratios and correlation change in the third decimal only, the wake decreasing modestly as the step coarsens (the MWI transient filter strengthens with</w:t>
      </w:r>
      <w:r>
        <w:t xml:space="preserve"> </w:t>
      </w:r>
      <m:oMath>
        <m:r>
          <m:t>Δ</m:t>
        </m:r>
        <m:r>
          <m:t>t</m:t>
        </m:r>
      </m:oMath>
      <w:r>
        <w:t xml:space="preserve">). The complementary shock-side sweep — the case 25 overshoot, which</w:t>
      </w:r>
      <w:r>
        <w:t xml:space="preserve"> </w:t>
      </w:r>
      <w:r>
        <w:rPr>
          <w:i/>
          <w:iCs/>
        </w:rPr>
        <w:t xml:space="preserve">grows</w:t>
      </w:r>
      <w:r>
        <w:t xml:space="preserve"> </w:t>
      </w:r>
      <w:r>
        <w:t xml:space="preserve">as the step is refined — is the baseline column of Table 3; the two sweeps bracket the acoustic and strong-shock regimes.</w:t>
      </w:r>
    </w:p>
    <w:p>
      <w:pPr>
        <w:pStyle w:val="BodyText"/>
      </w:pPr>
      <w:r>
        <w:rPr>
          <w:b/>
          <w:bCs/>
        </w:rPr>
        <w:t xml:space="preserve">Table 5.</w:t>
      </w:r>
      <w:r>
        <w:t xml:space="preserve"> </w:t>
      </w:r>
      <w:r>
        <w:t xml:space="preserve">Courant-number robustness on the acoustic case 07 (global Co varied about the default 0.45). Amplitude ratios, pressure correlation and residual wake peak-to-peak.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w:t>
            </w:r>
          </w:p>
        </w:tc>
        <w:tc>
          <w:tcPr/>
          <w:p>
            <w:pPr>
              <w:pStyle w:val="Compact"/>
              <w:jc w:val="left"/>
            </w:pPr>
            <w:r>
              <w:t xml:space="preserve">amp(</w:t>
            </w:r>
            <m:oMath>
              <m:r>
                <m:t>p</m:t>
              </m:r>
            </m:oMath>
            <w:r>
              <w:t xml:space="preserve">)</w:t>
            </w:r>
          </w:p>
        </w:tc>
        <w:tc>
          <w:tcPr/>
          <w:p>
            <w:pPr>
              <w:pStyle w:val="Compact"/>
              <w:jc w:val="left"/>
            </w:pPr>
            <w:r>
              <w:t xml:space="preserve">amp(</w:t>
            </w:r>
            <m:oMath>
              <m:r>
                <m:t>u</m:t>
              </m:r>
            </m:oMath>
            <w:r>
              <w:t xml:space="preserve">)</w:t>
            </w:r>
          </w:p>
        </w:tc>
        <w:tc>
          <w:tcPr/>
          <w:p>
            <w:pPr>
              <w:pStyle w:val="Compact"/>
              <w:jc w:val="left"/>
            </w:pPr>
            <w:r>
              <w:t xml:space="preserve">corr(</w:t>
            </w:r>
            <m:oMath>
              <m:r>
                <m:t>p</m:t>
              </m:r>
            </m:oMath>
            <w:r>
              <w:t xml:space="preserve">)</w:t>
            </w:r>
          </w:p>
        </w:tc>
        <w:tc>
          <w:tcPr/>
          <w:p>
            <w:pPr>
              <w:pStyle w:val="Compact"/>
              <w:jc w:val="left"/>
            </w:pPr>
            <w:r>
              <w:t xml:space="preserve">wake p2p (Pa)</w:t>
            </w:r>
          </w:p>
        </w:tc>
      </w:tr>
      <w:tr>
        <w:tc>
          <w:tcPr/>
          <w:p>
            <w:pPr>
              <w:pStyle w:val="Compact"/>
              <w:jc w:val="left"/>
            </w:pPr>
            <w:r>
              <w:t xml:space="preserve">0.20</w:t>
            </w:r>
          </w:p>
        </w:tc>
        <w:tc>
          <w:tcPr/>
          <w:p>
            <w:pPr>
              <w:pStyle w:val="Compact"/>
              <w:jc w:val="left"/>
            </w:pPr>
            <w:r>
              <w:t xml:space="preserve">0.993</w:t>
            </w:r>
          </w:p>
        </w:tc>
        <w:tc>
          <w:tcPr/>
          <w:p>
            <w:pPr>
              <w:pStyle w:val="Compact"/>
              <w:jc w:val="left"/>
            </w:pPr>
            <w:r>
              <w:t xml:space="preserve">0.999</w:t>
            </w:r>
          </w:p>
        </w:tc>
        <w:tc>
          <w:tcPr/>
          <w:p>
            <w:pPr>
              <w:pStyle w:val="Compact"/>
              <w:jc w:val="left"/>
            </w:pPr>
            <w:r>
              <w:t xml:space="preserve">0.9983</w:t>
            </w:r>
          </w:p>
        </w:tc>
        <w:tc>
          <w:tcPr/>
          <w:p>
            <w:pPr>
              <w:pStyle w:val="Compact"/>
              <w:jc w:val="left"/>
            </w:pPr>
            <w:r>
              <w:t xml:space="preserve">0.87</w:t>
            </w:r>
          </w:p>
        </w:tc>
      </w:tr>
      <w:tr>
        <w:tc>
          <w:tcPr/>
          <w:p>
            <w:pPr>
              <w:pStyle w:val="Compact"/>
              <w:jc w:val="left"/>
            </w:pPr>
            <w:r>
              <w:t xml:space="preserve">0.45</w:t>
            </w:r>
          </w:p>
        </w:tc>
        <w:tc>
          <w:tcPr/>
          <w:p>
            <w:pPr>
              <w:pStyle w:val="Compact"/>
              <w:jc w:val="left"/>
            </w:pPr>
            <w:r>
              <w:t xml:space="preserve">0.986</w:t>
            </w:r>
          </w:p>
        </w:tc>
        <w:tc>
          <w:tcPr/>
          <w:p>
            <w:pPr>
              <w:pStyle w:val="Compact"/>
              <w:jc w:val="left"/>
            </w:pPr>
            <w:r>
              <w:t xml:space="preserve">0.996</w:t>
            </w:r>
          </w:p>
        </w:tc>
        <w:tc>
          <w:tcPr/>
          <w:p>
            <w:pPr>
              <w:pStyle w:val="Compact"/>
              <w:jc w:val="left"/>
            </w:pPr>
            <w:r>
              <w:t xml:space="preserve">0.9983</w:t>
            </w:r>
          </w:p>
        </w:tc>
        <w:tc>
          <w:tcPr/>
          <w:p>
            <w:pPr>
              <w:pStyle w:val="Compact"/>
              <w:jc w:val="left"/>
            </w:pPr>
            <w:r>
              <w:t xml:space="preserve">0.80</w:t>
            </w:r>
          </w:p>
        </w:tc>
      </w:tr>
      <w:tr>
        <w:tc>
          <w:tcPr/>
          <w:p>
            <w:pPr>
              <w:pStyle w:val="Compact"/>
              <w:jc w:val="left"/>
            </w:pPr>
            <w:r>
              <w:t xml:space="preserve">0.60</w:t>
            </w:r>
          </w:p>
        </w:tc>
        <w:tc>
          <w:tcPr/>
          <w:p>
            <w:pPr>
              <w:pStyle w:val="Compact"/>
              <w:jc w:val="left"/>
            </w:pPr>
            <w:r>
              <w:t xml:space="preserve">0.983</w:t>
            </w:r>
          </w:p>
        </w:tc>
        <w:tc>
          <w:tcPr/>
          <w:p>
            <w:pPr>
              <w:pStyle w:val="Compact"/>
              <w:jc w:val="left"/>
            </w:pPr>
            <w:r>
              <w:t xml:space="preserve">0.995</w:t>
            </w:r>
          </w:p>
        </w:tc>
        <w:tc>
          <w:tcPr/>
          <w:p>
            <w:pPr>
              <w:pStyle w:val="Compact"/>
              <w:jc w:val="left"/>
            </w:pPr>
            <w:r>
              <w:t xml:space="preserve">0.9982</w:t>
            </w:r>
          </w:p>
        </w:tc>
        <w:tc>
          <w:tcPr/>
          <w:p>
            <w:pPr>
              <w:pStyle w:val="Compact"/>
              <w:jc w:val="left"/>
            </w:pPr>
            <w:r>
              <w:t xml:space="preserve">0.78</w:t>
            </w:r>
          </w:p>
        </w:tc>
      </w:tr>
    </w:tbl>
    <w:bookmarkEnd w:id="110"/>
    <w:bookmarkStart w:id="111" w:name="grid-refinement"/>
    <w:p>
      <w:pPr>
        <w:pStyle w:val="Heading2"/>
      </w:pPr>
      <w:r>
        <w:t xml:space="preserve">4.15 Grid refinement</w:t>
      </w:r>
    </w:p>
    <w:p>
      <w:pPr>
        <w:pStyle w:val="FirstParagraph"/>
      </w:pPr>
      <w:r>
        <w:t xml:space="preserve">Table 6 shows the error behaviour under refinement for four cases of distinct character at production settings. The acoustic waves (04, 05) are amplitude-converged at the baseline resolution — amplitude ratio unity to three decimals — so the small</w:t>
      </w:r>
      <w:r>
        <w:t xml:space="preserve"> </w:t>
      </w:r>
      <m:oMath>
        <m:sSub>
          <m:e>
            <m:r>
              <m:t>L</m:t>
            </m:r>
          </m:e>
          <m:sub>
            <m:r>
              <m:t>2</m:t>
            </m:r>
          </m:sub>
        </m:sSub>
        <m:d>
          <m:dPr>
            <m:begChr m:val="("/>
            <m:endChr m:val=")"/>
            <m:sepChr m:val=""/>
            <m:grow/>
          </m:dPr>
          <m:e>
            <m:r>
              <m:t>p</m:t>
            </m:r>
          </m:e>
        </m:d>
      </m:oMath>
      <w:r>
        <w:t xml:space="preserve"> </w:t>
      </w:r>
      <w:r>
        <w:t xml:space="preserve">plateaus: its residual is a fixed sub-grid phase error, not dissipation. The captured contact (02) shows the defining property of interface capturing: the front stays a fixed one-to-two cells wide at all</w:t>
      </w:r>
      <w:r>
        <w:t xml:space="preserve"> </w:t>
      </w:r>
      <m:oMath>
        <m:r>
          <m:t>N</m:t>
        </m:r>
      </m:oMath>
      <w:r>
        <w:t xml:space="preserve">, holding the density correlation near</w:t>
      </w:r>
      <w:r>
        <w:t xml:space="preserve"> </w:t>
      </w:r>
      <m:oMath>
        <m:r>
          <m:t>0.997</m:t>
        </m:r>
      </m:oMath>
      <w:r>
        <w:t xml:space="preserve"> </w:t>
      </w:r>
      <w:r>
        <w:t xml:space="preserve">across a four-fold refinement. The shock tube (14) converges at the honest sub-first-order rate of a captured discontinuity: velocity</w:t>
      </w:r>
      <w:r>
        <w:t xml:space="preserve"> </w:t>
      </w:r>
      <m:oMath>
        <m:sSub>
          <m:e>
            <m:r>
              <m:t>L</m:t>
            </m:r>
          </m:e>
          <m:sub>
            <m:r>
              <m:t>2</m:t>
            </m:r>
          </m:sub>
        </m:sSub>
      </m:oMath>
      <w:r>
        <w:t xml:space="preserve"> </w:t>
      </w:r>
      <w:r>
        <w:t xml:space="preserve">drops with observed order about</w:t>
      </w:r>
      <w:r>
        <w:t xml:space="preserve"> </w:t>
      </w:r>
      <m:oMath>
        <m:r>
          <m:t>0.4</m:t>
        </m:r>
      </m:oMath>
      <w:r>
        <w:t xml:space="preserve"> </w:t>
      </w:r>
      <w:r>
        <w:t xml:space="preserve">(correlation</w:t>
      </w:r>
      <w:r>
        <w:t xml:space="preserve"> </w:t>
      </w:r>
      <m:oMath>
        <m:r>
          <m:t>0.972</m:t>
        </m:r>
        <m:r>
          <m:rPr>
            <m:sty m:val="p"/>
          </m:rPr>
          <m:t>→</m:t>
        </m:r>
        <m:r>
          <m:t>0.991</m:t>
        </m:r>
      </m:oMath>
      <w:r>
        <w:t xml:space="preserve"> </w:t>
      </w:r>
      <w:r>
        <w:t xml:space="preserve">from</w:t>
      </w:r>
      <w:r>
        <w:t xml:space="preserve"> </w:t>
      </w:r>
      <m:oMath>
        <m:r>
          <m:t>N</m:t>
        </m:r>
        <m:r>
          <m:rPr>
            <m:sty m:val="p"/>
          </m:rPr>
          <m:t>=</m:t>
        </m:r>
        <m:r>
          <m:t>400</m:t>
        </m:r>
      </m:oMath>
      <w:r>
        <w:t xml:space="preserve"> </w:t>
      </w:r>
      <w:r>
        <w:t xml:space="preserve">to</w:t>
      </w:r>
      <w:r>
        <w:t xml:space="preserve"> </w:t>
      </w:r>
      <m:oMath>
        <m:r>
          <m:t>1600</m:t>
        </m:r>
      </m:oMath>
      <w:r>
        <w:t xml:space="preserve">), consistent with the</w:t>
      </w:r>
      <w:r>
        <w:t xml:space="preserve"> </w:t>
      </w:r>
      <m:oMath>
        <m:r>
          <m:rPr>
            <m:sty m:val="p"/>
            <m:scr m:val="script"/>
          </m:rPr>
          <m:t>O</m:t>
        </m:r>
        <m:d>
          <m:dPr>
            <m:begChr m:val="("/>
            <m:endChr m:val=")"/>
            <m:sepChr m:val=""/>
            <m:grow/>
          </m:dPr>
          <m:e>
            <m:sSup>
              <m:e>
                <m:r>
                  <m:t>N</m:t>
                </m:r>
              </m:e>
              <m:sup>
                <m:r>
                  <m:rPr>
                    <m:sty m:val="p"/>
                  </m:rPr>
                  <m:t>−</m:t>
                </m:r>
                <m:r>
                  <m:t>1</m:t>
                </m:r>
                <m:r>
                  <m:rPr>
                    <m:sty m:val="p"/>
                  </m:rPr>
                  <m:t>/</m:t>
                </m:r>
                <m:r>
                  <m:t>2</m:t>
                </m:r>
              </m:sup>
            </m:sSup>
          </m:e>
        </m:d>
      </m:oMath>
      <w:r>
        <w:t xml:space="preserve"> </w:t>
      </w:r>
      <w:r>
        <w:t xml:space="preserve">error of a first-order-captured jump in a global norm. No case shows the interior scheme’s second-order asymptotic rate, because a discontinuity or fixed phase error sets each global norm — a limitation stated rather than obscured.</w:t>
      </w:r>
    </w:p>
    <w:p>
      <w:pPr>
        <w:pStyle w:val="BodyText"/>
      </w:pPr>
      <w:r>
        <w:rPr>
          <w:b/>
          <w:bCs/>
        </w:rPr>
        <w:t xml:space="preserve">Table 6.</w:t>
      </w:r>
      <w:r>
        <w:t xml:space="preserve"> </w:t>
      </w:r>
      <w:r>
        <w:t xml:space="preserve">Grid refinement at the production settings. Acoustic cases (04, 05) report amplitude ratio and</w:t>
      </w:r>
      <w:r>
        <w:t xml:space="preserve"> </w:t>
      </w:r>
      <m:oMath>
        <m:sSub>
          <m:e>
            <m:r>
              <m:t>L</m:t>
            </m:r>
          </m:e>
          <m:sub>
            <m:r>
              <m:t>2</m:t>
            </m:r>
          </m:sub>
        </m:sSub>
        <m:d>
          <m:dPr>
            <m:begChr m:val="("/>
            <m:endChr m:val=")"/>
            <m:sepChr m:val=""/>
            <m:grow/>
          </m:dPr>
          <m:e>
            <m:r>
              <m:t>p</m:t>
            </m:r>
          </m:e>
        </m:d>
      </m:oMath>
      <w:r>
        <w:t xml:space="preserve">; the contact (02) reports density correlation; the shock tube (14) reports</w:t>
      </w:r>
      <w:r>
        <w:t xml:space="preserve"> </w:t>
      </w:r>
      <m:oMath>
        <m:sSub>
          <m:e>
            <m:r>
              <m:t>L</m:t>
            </m:r>
          </m:e>
          <m:sub>
            <m:r>
              <m:t>2</m:t>
            </m:r>
          </m:sub>
        </m:sSub>
        <m:d>
          <m:dPr>
            <m:begChr m:val="("/>
            <m:endChr m:val=")"/>
            <m:sepChr m:val=""/>
            <m:grow/>
          </m:dPr>
          <m:e>
            <m:r>
              <m:t>u</m:t>
            </m:r>
          </m:e>
        </m:d>
      </m:oMath>
      <w:r>
        <w:t xml:space="preserve"> </w:t>
      </w:r>
      <w:r>
        <w:t xml:space="preserve">with the observed order between successive levels.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Case</w:t>
            </w:r>
          </w:p>
        </w:tc>
        <w:tc>
          <w:tcPr/>
          <w:p>
            <w:pPr>
              <w:pStyle w:val="Compact"/>
              <w:jc w:val="left"/>
            </w:pPr>
            <w:r>
              <w:t xml:space="preserve">metric</w:t>
            </w:r>
          </w:p>
        </w:tc>
        <w:tc>
          <w:tcPr/>
          <w:p>
            <w:pPr>
              <w:pStyle w:val="Compact"/>
              <w:jc w:val="left"/>
            </w:pPr>
            <w:r>
              <w:t xml:space="preserve">coarse</w:t>
            </w:r>
          </w:p>
        </w:tc>
        <w:tc>
          <w:tcPr/>
          <w:p>
            <w:pPr>
              <w:pStyle w:val="Compact"/>
              <w:jc w:val="left"/>
            </w:pPr>
            <w:r>
              <w:t xml:space="preserve">medium</w:t>
            </w:r>
          </w:p>
        </w:tc>
        <w:tc>
          <w:tcPr/>
          <w:p>
            <w:pPr>
              <w:pStyle w:val="Compact"/>
              <w:jc w:val="left"/>
            </w:pPr>
            <w:r>
              <w:t xml:space="preserve">fine</w:t>
            </w:r>
          </w:p>
        </w:tc>
      </w:tr>
      <w:tr>
        <w:tc>
          <w:tcPr/>
          <w:p>
            <w:pPr>
              <w:pStyle w:val="Compact"/>
              <w:jc w:val="left"/>
            </w:pPr>
            <w:r>
              <w:t xml:space="preserve">04 (acoustic, air)</w:t>
            </w:r>
          </w:p>
        </w:tc>
        <w:tc>
          <w:tcPr/>
          <w:p>
            <w:pPr>
              <w:pStyle w:val="Compact"/>
              <w:jc w:val="left"/>
            </w:pPr>
            <w:r>
              <w:t xml:space="preserve">amp(</w:t>
            </w:r>
            <m:oMath>
              <m:r>
                <m:t>p</m:t>
              </m:r>
            </m:oMath>
            <w:r>
              <w:t xml:space="preserve">)</w:t>
            </w:r>
          </w:p>
        </w:tc>
        <w:tc>
          <w:tcPr/>
          <w:p>
            <w:pPr>
              <w:pStyle w:val="Compact"/>
              <w:jc w:val="left"/>
            </w:pPr>
            <w:r>
              <w:t xml:space="preserve">1.001 (</w:t>
            </w:r>
            <m:oMath>
              <m:r>
                <m:t>N</m:t>
              </m:r>
            </m:oMath>
            <w:r>
              <w:t xml:space="preserve">=500)</w:t>
            </w:r>
          </w:p>
        </w:tc>
        <w:tc>
          <w:tcPr/>
          <w:p>
            <w:pPr>
              <w:pStyle w:val="Compact"/>
              <w:jc w:val="left"/>
            </w:pPr>
            <w:r>
              <w:t xml:space="preserve">1.000 (1000)</w:t>
            </w:r>
          </w:p>
        </w:tc>
        <w:tc>
          <w:tcPr/>
          <w:p>
            <w:pPr>
              <w:pStyle w:val="Compact"/>
              <w:jc w:val="left"/>
            </w:pPr>
            <w:r>
              <w:t xml:space="preserve">1.000 (2000)</w:t>
            </w:r>
          </w:p>
        </w:tc>
      </w:tr>
      <w:tr>
        <w:tc>
          <w:tcPr/>
          <w:p>
            <w:pPr>
              <w:pStyle w:val="Compact"/>
              <w:jc w:val="left"/>
            </w:pPr>
            <w:r>
              <w:t xml:space="preserve">04 (acoustic, air)</w:t>
            </w:r>
          </w:p>
        </w:tc>
        <w:tc>
          <w:tcPr/>
          <w:p>
            <w:pPr>
              <w:pStyle w:val="Compact"/>
              <w:jc w:val="left"/>
            </w:pPr>
            <m:oMath>
              <m:sSub>
                <m:e>
                  <m:r>
                    <m:t>L</m:t>
                  </m:r>
                </m:e>
                <m:sub>
                  <m:r>
                    <m:t>2</m:t>
                  </m:r>
                </m:sub>
              </m:sSub>
              <m:d>
                <m:dPr>
                  <m:begChr m:val="("/>
                  <m:endChr m:val=")"/>
                  <m:sepChr m:val=""/>
                  <m:grow/>
                </m:dPr>
                <m:e>
                  <m:r>
                    <m:t>p</m:t>
                  </m:r>
                </m:e>
              </m:d>
            </m:oMath>
          </w:p>
        </w:tc>
        <w:tc>
          <w:tcPr/>
          <w:p>
            <w:pPr>
              <w:pStyle w:val="Compact"/>
              <w:jc w:val="left"/>
            </w:pPr>
            <w:r>
              <w:t xml:space="preserve">0.0148</w:t>
            </w:r>
          </w:p>
        </w:tc>
        <w:tc>
          <w:tcPr/>
          <w:p>
            <w:pPr>
              <w:pStyle w:val="Compact"/>
              <w:jc w:val="left"/>
            </w:pPr>
            <w:r>
              <w:t xml:space="preserve">0.0150</w:t>
            </w:r>
          </w:p>
        </w:tc>
        <w:tc>
          <w:tcPr/>
          <w:p>
            <w:pPr>
              <w:pStyle w:val="Compact"/>
              <w:jc w:val="left"/>
            </w:pPr>
            <w:r>
              <w:t xml:space="preserve">0.0151</w:t>
            </w:r>
          </w:p>
        </w:tc>
      </w:tr>
      <w:tr>
        <w:tc>
          <w:tcPr/>
          <w:p>
            <w:pPr>
              <w:pStyle w:val="Compact"/>
              <w:jc w:val="left"/>
            </w:pPr>
            <w:r>
              <w:t xml:space="preserve">05 (acoustic, water)</w:t>
            </w:r>
          </w:p>
        </w:tc>
        <w:tc>
          <w:tcPr/>
          <w:p>
            <w:pPr>
              <w:pStyle w:val="Compact"/>
              <w:jc w:val="left"/>
            </w:pPr>
            <m:oMath>
              <m:sSub>
                <m:e>
                  <m:r>
                    <m:t>L</m:t>
                  </m:r>
                </m:e>
                <m:sub>
                  <m:r>
                    <m:t>2</m:t>
                  </m:r>
                </m:sub>
              </m:sSub>
              <m:d>
                <m:dPr>
                  <m:begChr m:val="("/>
                  <m:endChr m:val=")"/>
                  <m:sepChr m:val=""/>
                  <m:grow/>
                </m:dPr>
                <m:e>
                  <m:r>
                    <m:t>p</m:t>
                  </m:r>
                </m:e>
              </m:d>
            </m:oMath>
          </w:p>
        </w:tc>
        <w:tc>
          <w:tcPr/>
          <w:p>
            <w:pPr>
              <w:pStyle w:val="Compact"/>
              <w:jc w:val="left"/>
            </w:pPr>
            <w:r>
              <w:t xml:space="preserve">0.0030 (</w:t>
            </w:r>
            <m:oMath>
              <m:r>
                <m:t>N</m:t>
              </m:r>
            </m:oMath>
            <w:r>
              <w:t xml:space="preserve">=400)</w:t>
            </w:r>
          </w:p>
        </w:tc>
        <w:tc>
          <w:tcPr/>
          <w:p>
            <w:pPr>
              <w:pStyle w:val="Compact"/>
              <w:jc w:val="left"/>
            </w:pPr>
            <w:r>
              <w:t xml:space="preserve">0.0025 (800)</w:t>
            </w:r>
          </w:p>
        </w:tc>
        <w:tc>
          <w:tcPr/>
          <w:p>
            <w:pPr>
              <w:pStyle w:val="Compact"/>
              <w:jc w:val="left"/>
            </w:pPr>
            <w:r>
              <w:t xml:space="preserve">—</w:t>
            </w:r>
          </w:p>
        </w:tc>
      </w:tr>
      <w:tr>
        <w:tc>
          <w:tcPr/>
          <w:p>
            <w:pPr>
              <w:pStyle w:val="Compact"/>
              <w:jc w:val="left"/>
            </w:pPr>
            <w:r>
              <w:t xml:space="preserve">02 (contact)</w:t>
            </w:r>
          </w:p>
        </w:tc>
        <w:tc>
          <w:tcPr/>
          <w:p>
            <w:pPr>
              <w:pStyle w:val="Compact"/>
              <w:jc w:val="left"/>
            </w:pPr>
            <w:r>
              <w:t xml:space="preserve">corr</w:t>
            </w:r>
            <w:r>
              <w:t xml:space="preserve"> </w:t>
            </w:r>
            <m:oMath>
              <m:r>
                <m:t>ρ</m:t>
              </m:r>
            </m:oMath>
          </w:p>
        </w:tc>
        <w:tc>
          <w:tcPr/>
          <w:p>
            <w:pPr>
              <w:pStyle w:val="Compact"/>
              <w:jc w:val="left"/>
            </w:pPr>
            <w:r>
              <w:t xml:space="preserve">0.997 (</w:t>
            </w:r>
            <m:oMath>
              <m:r>
                <m:t>N</m:t>
              </m:r>
            </m:oMath>
            <w:r>
              <w:t xml:space="preserve">=500)</w:t>
            </w:r>
          </w:p>
        </w:tc>
        <w:tc>
          <w:tcPr/>
          <w:p>
            <w:pPr>
              <w:pStyle w:val="Compact"/>
              <w:jc w:val="left"/>
            </w:pPr>
            <w:r>
              <w:t xml:space="preserve">0.998 (1000)</w:t>
            </w:r>
          </w:p>
        </w:tc>
        <w:tc>
          <w:tcPr/>
          <w:p>
            <w:pPr>
              <w:pStyle w:val="Compact"/>
              <w:jc w:val="left"/>
            </w:pPr>
            <w:r>
              <w:t xml:space="preserve">0.996 (2000)</w:t>
            </w:r>
          </w:p>
        </w:tc>
      </w:tr>
      <w:tr>
        <w:tc>
          <w:tcPr/>
          <w:p>
            <w:pPr>
              <w:pStyle w:val="Compact"/>
              <w:jc w:val="left"/>
            </w:pPr>
            <w:r>
              <w:t xml:space="preserve">14 (shock tube)</w:t>
            </w:r>
          </w:p>
        </w:tc>
        <w:tc>
          <w:tcPr/>
          <w:p>
            <w:pPr>
              <w:pStyle w:val="Compact"/>
              <w:jc w:val="left"/>
            </w:pPr>
            <m:oMath>
              <m:sSub>
                <m:e>
                  <m:r>
                    <m:t>L</m:t>
                  </m:r>
                </m:e>
                <m:sub>
                  <m:r>
                    <m:t>2</m:t>
                  </m:r>
                </m:sub>
              </m:sSub>
              <m:d>
                <m:dPr>
                  <m:begChr m:val="("/>
                  <m:endChr m:val=")"/>
                  <m:sepChr m:val=""/>
                  <m:grow/>
                </m:dPr>
                <m:e>
                  <m:r>
                    <m:t>u</m:t>
                  </m:r>
                </m:e>
              </m:d>
            </m:oMath>
          </w:p>
        </w:tc>
        <w:tc>
          <w:tcPr/>
          <w:p>
            <w:pPr>
              <w:pStyle w:val="Compact"/>
              <w:jc w:val="left"/>
            </w:pPr>
            <w:r>
              <w:t xml:space="preserve">0.103 (</w:t>
            </w:r>
            <m:oMath>
              <m:r>
                <m:t>N</m:t>
              </m:r>
            </m:oMath>
            <w:r>
              <w:t xml:space="preserve">=400)</w:t>
            </w:r>
          </w:p>
        </w:tc>
        <w:tc>
          <w:tcPr/>
          <w:p>
            <w:pPr>
              <w:pStyle w:val="Compact"/>
              <w:jc w:val="left"/>
            </w:pPr>
            <w:r>
              <w:t xml:space="preserve">0.072 (800)</w:t>
            </w:r>
          </w:p>
        </w:tc>
        <w:tc>
          <w:tcPr/>
          <w:p>
            <w:pPr>
              <w:pStyle w:val="Compact"/>
              <w:jc w:val="left"/>
            </w:pPr>
            <w:r>
              <w:t xml:space="preserve">0.059 (1600)</w:t>
            </w:r>
          </w:p>
        </w:tc>
      </w:tr>
    </w:tbl>
    <w:p>
      <w:pPr>
        <w:pStyle w:val="BodyText"/>
      </w:pPr>
      <w:r>
        <w:t xml:space="preserve">For the shock tube the successive-level orders are</w:t>
      </w:r>
      <w:r>
        <w:t xml:space="preserve"> </w:t>
      </w:r>
      <m:oMath>
        <m:r>
          <m:t>0.51</m:t>
        </m:r>
      </m:oMath>
      <w:r>
        <w:t xml:space="preserve"> </w:t>
      </w:r>
      <w:r>
        <w:t xml:space="preserve">(</w:t>
      </w:r>
      <m:oMath>
        <m:r>
          <m:t>N</m:t>
        </m:r>
      </m:oMath>
      <w:r>
        <w:t xml:space="preserve">:</w:t>
      </w:r>
      <w:r>
        <w:t xml:space="preserve"> </w:t>
      </w:r>
      <m:oMath>
        <m:r>
          <m:t>400</m:t>
        </m:r>
        <m:r>
          <m:rPr>
            <m:sty m:val="p"/>
          </m:rPr>
          <m:t>→</m:t>
        </m:r>
        <m:r>
          <m:t>800</m:t>
        </m:r>
      </m:oMath>
      <w:r>
        <w:t xml:space="preserve">) and</w:t>
      </w:r>
      <w:r>
        <w:t xml:space="preserve"> </w:t>
      </w:r>
      <m:oMath>
        <m:r>
          <m:t>0.31</m:t>
        </m:r>
      </m:oMath>
      <w:r>
        <w:t xml:space="preserve"> </w:t>
      </w:r>
      <w:r>
        <w:t xml:space="preserve">(</w:t>
      </w:r>
      <m:oMath>
        <m:r>
          <m:t>800</m:t>
        </m:r>
        <m:r>
          <m:rPr>
            <m:sty m:val="p"/>
          </m:rPr>
          <m:t>→</m:t>
        </m:r>
        <m:r>
          <m:t>1600</m:t>
        </m:r>
      </m:oMath>
      <w:r>
        <w:t xml:space="preserve">), averaging near the</w:t>
      </w:r>
      <w:r>
        <w:t xml:space="preserve"> </w:t>
      </w:r>
      <m:oMath>
        <m:r>
          <m:rPr>
            <m:sty m:val="p"/>
            <m:scr m:val="script"/>
          </m:rPr>
          <m:t>O</m:t>
        </m:r>
        <m:d>
          <m:dPr>
            <m:begChr m:val="("/>
            <m:endChr m:val=")"/>
            <m:sepChr m:val=""/>
            <m:grow/>
          </m:dPr>
          <m:e>
            <m:sSup>
              <m:e>
                <m:r>
                  <m:t>N</m:t>
                </m:r>
              </m:e>
              <m:sup>
                <m:r>
                  <m:rPr>
                    <m:sty m:val="p"/>
                  </m:rPr>
                  <m:t>−</m:t>
                </m:r>
                <m:r>
                  <m:t>1</m:t>
                </m:r>
                <m:r>
                  <m:rPr>
                    <m:sty m:val="p"/>
                  </m:rPr>
                  <m:t>/</m:t>
                </m:r>
                <m:r>
                  <m:t>2</m:t>
                </m:r>
              </m:sup>
            </m:sSup>
          </m:e>
        </m:d>
      </m:oMath>
      <w:r>
        <w:t xml:space="preserve"> </w:t>
      </w:r>
      <w:r>
        <w:t xml:space="preserve">discontinuity rate.</w:t>
      </w:r>
    </w:p>
    <w:bookmarkEnd w:id="111"/>
    <w:bookmarkStart w:id="112" w:name="X8895e53bb356409f1ec8bbe360837bf71fe2ee3"/>
    <w:p>
      <w:pPr>
        <w:pStyle w:val="Heading2"/>
      </w:pPr>
      <w:r>
        <w:t xml:space="preserve">4.16 Double-rarefaction robustness test (case 15)</w:t>
      </w:r>
    </w:p>
    <w:p>
      <w:pPr>
        <w:pStyle w:val="FirstParagraph"/>
      </w:pPr>
      <w:r>
        <w:t xml:space="preserve">The symmetric double rarefaction drives the mixture toward vacuum and is the case for which the globalisation of Section 3.9 is decisive: the Newton iteration stalls at the volume-fraction admissibility limit, and the best-iterate fallback with stall detection carries the computation at an unreduced time step. Agreement with the refined-grid solution: correlations</w:t>
      </w:r>
      <w:r>
        <w:t xml:space="preserve"> </w:t>
      </w:r>
      <m:oMath>
        <m:r>
          <m:t>0.9986</m:t>
        </m:r>
      </m:oMath>
      <w:r>
        <w:t xml:space="preserve"> </w:t>
      </w:r>
      <w:r>
        <w:t xml:space="preserve">(velocity) and</w:t>
      </w:r>
      <w:r>
        <w:t xml:space="preserve"> </w:t>
      </w:r>
      <m:oMath>
        <m:r>
          <m:t>0.9950</m:t>
        </m:r>
      </m:oMath>
      <w:r>
        <w:t xml:space="preserve"> </w:t>
      </w:r>
      <w:r>
        <w:t xml:space="preserve">(density). The core pressure sits at the EOS admissibility floor in both solver and self-consistent reference, so the pressure error is nominally zero; no cavitation claim is attached (Section 4.1).</w:t>
      </w:r>
    </w:p>
    <w:bookmarkEnd w:id="112"/>
    <w:bookmarkStart w:id="113" w:name="cost-of-the-exact-jacobian"/>
    <w:p>
      <w:pPr>
        <w:pStyle w:val="Heading2"/>
      </w:pPr>
      <w:r>
        <w:t xml:space="preserve">4.17 Cost of the exact Jacobian</w:t>
      </w:r>
    </w:p>
    <w:p>
      <w:pPr>
        <w:pStyle w:val="FirstParagraph"/>
      </w:pPr>
      <w:r>
        <w:t xml:space="preserve">The analytical and FD assemblies converge to identical solutions by the defect-correction construction, verified on the well-converged cases (Section 4.13); they differ only in cost:</w:t>
      </w:r>
      <w:r>
        <w:t xml:space="preserve"> </w:t>
      </w:r>
      <m:oMath>
        <m:r>
          <m:t>15</m:t>
        </m:r>
      </m:oMath>
      <w:r>
        <w:t xml:space="preserve"> </w:t>
      </w:r>
      <w:r>
        <w:t xml:space="preserve">perturbed residual evaluations per FD assembly against one analytical pass. Since residual evaluation dominates the per-iteration cost, the analytical assembly cuts assembly work by an order of magnitude against per-iteration FD reassembly, less against FD reuse. Newton iteration counts are comparable (both approximate the same matrix); the exact form additionally benefits stiff strong-shock steps, where FD perturbation noise degrades the Newton direction. We report structural counts rather than one wall-time ratio, as the balance depends on the EOS-evaluation cost and linear-solver share.</w:t>
      </w:r>
    </w:p>
    <w:bookmarkEnd w:id="113"/>
    <w:bookmarkStart w:id="114" w:name="conservation"/>
    <w:p>
      <w:pPr>
        <w:pStyle w:val="Heading2"/>
      </w:pPr>
      <w:r>
        <w:t xml:space="preserve">4.18 Conservation</w:t>
      </w:r>
    </w:p>
    <w:p>
      <w:pPr>
        <w:pStyle w:val="FirstParagraph"/>
      </w:pPr>
      <w:r>
        <w:t xml:space="preserve">Mixture mass, momentum and total energy are conserved to machine precision by the flux-form discretisation, the conservative total-energy residual making this exact for the energy as well; the volume-fraction transport is non-conservative by design of the model [25]. Measured global conservation errors are at accumulated round-off.</w:t>
      </w:r>
    </w:p>
    <w:bookmarkEnd w:id="114"/>
    <w:bookmarkStart w:id="115" w:name="summary-of-verification-metrics"/>
    <w:p>
      <w:pPr>
        <w:pStyle w:val="Heading2"/>
      </w:pPr>
      <w:r>
        <w:t xml:space="preserve">4.19 Summary of verification metrics</w:t>
      </w:r>
    </w:p>
    <w:p>
      <w:pPr>
        <w:pStyle w:val="FirstParagraph"/>
      </w:pPr>
      <w:r>
        <w:t xml:space="preserve">Table 7 collects the measured full-field metrics; all nineteen cases satisfy their acceptance criteria with the single parameter set of Section 3.11. The machine-precision cases (01, 02) quantify the discrete pressure-equilibrium property; the remaining error is dominated by front smearing (02, 13, 14, strong shocks), wave dissipation and dispersion (04, 05, 07, 35, 36), and the case 25 single-cell imprint.</w:t>
      </w:r>
    </w:p>
    <w:p>
      <w:pPr>
        <w:pStyle w:val="BodyText"/>
      </w:pPr>
      <w:r>
        <w:rPr>
          <w:b/>
          <w:bCs/>
        </w:rPr>
        <w:t xml:space="preserve">Table 7.</w:t>
      </w:r>
      <w:r>
        <w:t xml:space="preserve"> </w:t>
      </w:r>
      <w:r>
        <w:t xml:space="preserve">Measured full-field verification metrics: range-normalised</w:t>
      </w:r>
      <w:r>
        <w:t xml:space="preserve"> </w:t>
      </w:r>
      <m:oMath>
        <m:sSub>
          <m:e>
            <m:r>
              <m:t>L</m:t>
            </m:r>
          </m:e>
          <m:sub>
            <m:r>
              <m:t>2</m:t>
            </m:r>
          </m:sub>
        </m:sSub>
      </m:oMath>
      <w:r>
        <w:t xml:space="preserve"> </w:t>
      </w:r>
      <w:r>
        <w:t xml:space="preserve">of pressure, Pearson correlations of</w:t>
      </w:r>
      <w:r>
        <w:t xml:space="preserve"> </w:t>
      </w:r>
      <m:oMath>
        <m:r>
          <m:t>p</m:t>
        </m:r>
      </m:oMath>
      <w:r>
        <w:t xml:space="preserve">,</w:t>
      </w:r>
      <w:r>
        <w:t xml:space="preserve"> </w:t>
      </w:r>
      <m:oMath>
        <m:r>
          <m:t>u</m:t>
        </m:r>
      </m:oMath>
      <w:r>
        <w:t xml:space="preserve"> </w:t>
      </w:r>
      <w:r>
        <w:t xml:space="preserve">and</w:t>
      </w:r>
      <w:r>
        <w:t xml:space="preserve"> </w:t>
      </w:r>
      <m:oMath>
        <m:r>
          <m:t>ρ</m:t>
        </m:r>
      </m:oMath>
      <w:r>
        <w:t xml:space="preserve">, and pressure amplitude ratio. (Case 15 is a self-consistency reference with a floor-limited core pressure, so</w:t>
      </w:r>
      <w:r>
        <w:t xml:space="preserve"> </w:t>
      </w:r>
      <m:oMath>
        <m:sSub>
          <m:e>
            <m:r>
              <m:t>L</m:t>
            </m:r>
          </m:e>
          <m:sub>
            <m:r>
              <m:t>2</m:t>
            </m:r>
          </m:sub>
        </m:sSub>
        <m:d>
          <m:dPr>
            <m:begChr m:val="("/>
            <m:endChr m:val=")"/>
            <m:sepChr m:val=""/>
            <m:grow/>
          </m:dPr>
          <m:e>
            <m:r>
              <m:t>p</m:t>
            </m:r>
          </m:e>
        </m:d>
        <m:r>
          <m:rPr>
            <m:sty m:val="p"/>
          </m:rPr>
          <m:t>=</m:t>
        </m:r>
        <m:r>
          <m:t>0</m:t>
        </m:r>
      </m:oMath>
      <w:r>
        <w:t xml:space="preserve"> </w:t>
      </w:r>
      <w:r>
        <w:t xml:space="preserve">and the amplitude ratio is not meaningful; its discriminating fields are</w:t>
      </w:r>
      <w:r>
        <w:t xml:space="preserve"> </w:t>
      </w:r>
      <m:oMath>
        <m:r>
          <m:t>u</m:t>
        </m:r>
      </m:oMath>
      <w:r>
        <w:t xml:space="preserve"> </w:t>
      </w:r>
      <w:r>
        <w:t xml:space="preserve">and</w:t>
      </w:r>
      <w:r>
        <w:t xml:space="preserve"> </w:t>
      </w:r>
      <m:oMath>
        <m:r>
          <m:t>ρ</m:t>
        </m:r>
      </m:oMath>
      <w: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Case</w:t>
            </w:r>
          </w:p>
        </w:tc>
        <w:tc>
          <w:tcPr/>
          <w:p>
            <w:pPr>
              <w:pStyle w:val="Compact"/>
              <w:jc w:val="left"/>
            </w:pPr>
            <m:oMath>
              <m:r>
                <m:t>N</m:t>
              </m:r>
            </m:oMath>
          </w:p>
        </w:tc>
        <w:tc>
          <w:tcPr/>
          <w:p>
            <w:pPr>
              <w:pStyle w:val="Compact"/>
              <w:jc w:val="left"/>
            </w:pPr>
            <m:oMath>
              <m:sSub>
                <m:e>
                  <m:r>
                    <m:t>L</m:t>
                  </m:r>
                </m:e>
                <m:sub>
                  <m:r>
                    <m:t>2</m:t>
                  </m:r>
                </m:sub>
              </m:sSub>
              <m:d>
                <m:dPr>
                  <m:begChr m:val="("/>
                  <m:endChr m:val=")"/>
                  <m:sepChr m:val=""/>
                  <m:grow/>
                </m:dPr>
                <m:e>
                  <m:r>
                    <m:t>p</m:t>
                  </m:r>
                </m:e>
              </m:d>
            </m:oMath>
          </w:p>
        </w:tc>
        <w:tc>
          <w:tcPr/>
          <w:p>
            <w:pPr>
              <w:pStyle w:val="Compact"/>
              <w:jc w:val="left"/>
            </w:pPr>
            <w:r>
              <w:t xml:space="preserve">corr</w:t>
            </w:r>
            <w:r>
              <w:t xml:space="preserve"> </w:t>
            </w:r>
            <m:oMath>
              <m:r>
                <m:t>p</m:t>
              </m:r>
            </m:oMath>
          </w:p>
        </w:tc>
        <w:tc>
          <w:tcPr/>
          <w:p>
            <w:pPr>
              <w:pStyle w:val="Compact"/>
              <w:jc w:val="left"/>
            </w:pPr>
            <w:r>
              <w:t xml:space="preserve">corr</w:t>
            </w:r>
            <w:r>
              <w:t xml:space="preserve"> </w:t>
            </w:r>
            <m:oMath>
              <m:r>
                <m:t>u</m:t>
              </m:r>
            </m:oMath>
          </w:p>
        </w:tc>
        <w:tc>
          <w:tcPr/>
          <w:p>
            <w:pPr>
              <w:pStyle w:val="Compact"/>
              <w:jc w:val="left"/>
            </w:pPr>
            <w:r>
              <w:t xml:space="preserve">corr</w:t>
            </w:r>
            <w:r>
              <w:t xml:space="preserve"> </w:t>
            </w:r>
            <m:oMath>
              <m:r>
                <m:t>ρ</m:t>
              </m:r>
            </m:oMath>
          </w:p>
        </w:tc>
        <w:tc>
          <w:tcPr/>
          <w:p>
            <w:pPr>
              <w:pStyle w:val="Compact"/>
              <w:jc w:val="left"/>
            </w:pPr>
            <w:r>
              <w:t xml:space="preserve">amp(</w:t>
            </w:r>
            <m:oMath>
              <m:r>
                <m:t>p</m:t>
              </m:r>
            </m:oMath>
            <w:r>
              <w:t xml:space="preserve">)</w:t>
            </w:r>
          </w:p>
        </w:tc>
      </w:tr>
      <w:tr>
        <w:tc>
          <w:tcPr/>
          <w:p>
            <w:pPr>
              <w:pStyle w:val="Compact"/>
              <w:jc w:val="left"/>
            </w:pPr>
            <w:r>
              <w:t xml:space="preserve">01</w:t>
            </w:r>
          </w:p>
        </w:tc>
        <w:tc>
          <w:tcPr/>
          <w:p>
            <w:pPr>
              <w:pStyle w:val="Compact"/>
              <w:jc w:val="left"/>
            </w:pPr>
            <w:r>
              <w:t xml:space="preserve">200</w:t>
            </w:r>
          </w:p>
        </w:tc>
        <w:tc>
          <w:tcPr/>
          <w:p>
            <w:pPr>
              <w:pStyle w:val="Compact"/>
              <w:jc w:val="left"/>
            </w:pPr>
            <w:r>
              <w:t xml:space="preserve">0 (machine)</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02</w:t>
            </w:r>
          </w:p>
        </w:tc>
        <w:tc>
          <w:tcPr/>
          <w:p>
            <w:pPr>
              <w:pStyle w:val="Compact"/>
              <w:jc w:val="left"/>
            </w:pPr>
            <w:r>
              <w:t xml:space="preserve">500</w:t>
            </w:r>
          </w:p>
        </w:tc>
        <w:tc>
          <w:tcPr/>
          <w:p>
            <w:pPr>
              <w:pStyle w:val="Compact"/>
              <w:jc w:val="left"/>
            </w:pPr>
            <w:r>
              <w:t xml:space="preserve">0 (machine)</w:t>
            </w:r>
          </w:p>
        </w:tc>
        <w:tc>
          <w:tcPr/>
          <w:p>
            <w:pPr>
              <w:pStyle w:val="Compact"/>
              <w:jc w:val="left"/>
            </w:pPr>
            <w:r>
              <w:t xml:space="preserve">1</w:t>
            </w:r>
          </w:p>
        </w:tc>
        <w:tc>
          <w:tcPr/>
          <w:p>
            <w:pPr>
              <w:pStyle w:val="Compact"/>
              <w:jc w:val="left"/>
            </w:pPr>
            <w:r>
              <w:t xml:space="preserve">1</w:t>
            </w:r>
          </w:p>
        </w:tc>
        <w:tc>
          <w:tcPr/>
          <w:p>
            <w:pPr>
              <w:pStyle w:val="Compact"/>
              <w:jc w:val="left"/>
            </w:pPr>
            <w:r>
              <w:t xml:space="preserve">0.997</w:t>
            </w:r>
          </w:p>
        </w:tc>
        <w:tc>
          <w:tcPr/>
          <w:p>
            <w:pPr>
              <w:pStyle w:val="Compact"/>
              <w:jc w:val="left"/>
            </w:pPr>
            <w:r>
              <w:t xml:space="preserve">1</w:t>
            </w:r>
          </w:p>
        </w:tc>
      </w:tr>
      <w:tr>
        <w:tc>
          <w:tcPr/>
          <w:p>
            <w:pPr>
              <w:pStyle w:val="Compact"/>
              <w:jc w:val="left"/>
            </w:pPr>
            <w:r>
              <w:t xml:space="preserve">04</w:t>
            </w:r>
          </w:p>
        </w:tc>
        <w:tc>
          <w:tcPr/>
          <w:p>
            <w:pPr>
              <w:pStyle w:val="Compact"/>
              <w:jc w:val="left"/>
            </w:pPr>
            <w:r>
              <w:t xml:space="preserve">500</w:t>
            </w:r>
          </w:p>
        </w:tc>
        <w:tc>
          <w:tcPr/>
          <w:p>
            <w:pPr>
              <w:pStyle w:val="Compact"/>
              <w:jc w:val="left"/>
            </w:pPr>
            <w:r>
              <w:t xml:space="preserve">0.0148</w:t>
            </w:r>
          </w:p>
        </w:tc>
        <w:tc>
          <w:tcPr/>
          <w:p>
            <w:pPr>
              <w:pStyle w:val="Compact"/>
              <w:jc w:val="left"/>
            </w:pPr>
            <w:r>
              <w:t xml:space="preserve">0.9989</w:t>
            </w:r>
          </w:p>
        </w:tc>
        <w:tc>
          <w:tcPr/>
          <w:p>
            <w:pPr>
              <w:pStyle w:val="Compact"/>
              <w:jc w:val="left"/>
            </w:pPr>
            <w:r>
              <w:t xml:space="preserve">0.9988</w:t>
            </w:r>
          </w:p>
        </w:tc>
        <w:tc>
          <w:tcPr/>
          <w:p>
            <w:pPr>
              <w:pStyle w:val="Compact"/>
              <w:jc w:val="left"/>
            </w:pPr>
            <w:r>
              <w:t xml:space="preserve">0.9989</w:t>
            </w:r>
          </w:p>
        </w:tc>
        <w:tc>
          <w:tcPr/>
          <w:p>
            <w:pPr>
              <w:pStyle w:val="Compact"/>
              <w:jc w:val="left"/>
            </w:pPr>
            <w:r>
              <w:t xml:space="preserve">1.001</w:t>
            </w:r>
          </w:p>
        </w:tc>
      </w:tr>
      <w:tr>
        <w:tc>
          <w:tcPr/>
          <w:p>
            <w:pPr>
              <w:pStyle w:val="Compact"/>
              <w:jc w:val="left"/>
            </w:pPr>
            <w:r>
              <w:t xml:space="preserve">05</w:t>
            </w:r>
          </w:p>
        </w:tc>
        <w:tc>
          <w:tcPr/>
          <w:p>
            <w:pPr>
              <w:pStyle w:val="Compact"/>
              <w:jc w:val="left"/>
            </w:pPr>
            <w:r>
              <w:t xml:space="preserve">400</w:t>
            </w:r>
          </w:p>
        </w:tc>
        <w:tc>
          <w:tcPr/>
          <w:p>
            <w:pPr>
              <w:pStyle w:val="Compact"/>
              <w:jc w:val="left"/>
            </w:pPr>
            <w:r>
              <w:t xml:space="preserve">0.0030</w:t>
            </w:r>
          </w:p>
        </w:tc>
        <w:tc>
          <w:tcPr/>
          <w:p>
            <w:pPr>
              <w:pStyle w:val="Compact"/>
              <w:jc w:val="left"/>
            </w:pPr>
            <w:r>
              <w:t xml:space="preserve">0.9999</w:t>
            </w:r>
          </w:p>
        </w:tc>
        <w:tc>
          <w:tcPr/>
          <w:p>
            <w:pPr>
              <w:pStyle w:val="Compact"/>
              <w:jc w:val="left"/>
            </w:pPr>
            <w:r>
              <w:t xml:space="preserve">0.9999</w:t>
            </w:r>
          </w:p>
        </w:tc>
        <w:tc>
          <w:tcPr/>
          <w:p>
            <w:pPr>
              <w:pStyle w:val="Compact"/>
              <w:jc w:val="left"/>
            </w:pPr>
            <w:r>
              <w:t xml:space="preserve">0.9999</w:t>
            </w:r>
          </w:p>
        </w:tc>
        <w:tc>
          <w:tcPr/>
          <w:p>
            <w:pPr>
              <w:pStyle w:val="Compact"/>
              <w:jc w:val="left"/>
            </w:pPr>
            <w:r>
              <w:t xml:space="preserve">1.001</w:t>
            </w:r>
          </w:p>
        </w:tc>
      </w:tr>
      <w:tr>
        <w:tc>
          <w:tcPr/>
          <w:p>
            <w:pPr>
              <w:pStyle w:val="Compact"/>
              <w:jc w:val="left"/>
            </w:pPr>
            <w:r>
              <w:t xml:space="preserve">07</w:t>
            </w:r>
          </w:p>
        </w:tc>
        <w:tc>
          <w:tcPr/>
          <w:p>
            <w:pPr>
              <w:pStyle w:val="Compact"/>
              <w:jc w:val="left"/>
            </w:pPr>
            <w:r>
              <w:t xml:space="preserve">750</w:t>
            </w:r>
          </w:p>
        </w:tc>
        <w:tc>
          <w:tcPr/>
          <w:p>
            <w:pPr>
              <w:pStyle w:val="Compact"/>
              <w:jc w:val="left"/>
            </w:pPr>
            <w:r>
              <w:t xml:space="preserve">0.0096</w:t>
            </w:r>
          </w:p>
        </w:tc>
        <w:tc>
          <w:tcPr/>
          <w:p>
            <w:pPr>
              <w:pStyle w:val="Compact"/>
              <w:jc w:val="left"/>
            </w:pPr>
            <w:r>
              <w:t xml:space="preserve">0.9983</w:t>
            </w:r>
          </w:p>
        </w:tc>
        <w:tc>
          <w:tcPr/>
          <w:p>
            <w:pPr>
              <w:pStyle w:val="Compact"/>
              <w:jc w:val="left"/>
            </w:pPr>
            <w:r>
              <w:t xml:space="preserve">0.9979</w:t>
            </w:r>
          </w:p>
        </w:tc>
        <w:tc>
          <w:tcPr/>
          <w:p>
            <w:pPr>
              <w:pStyle w:val="Compact"/>
              <w:jc w:val="left"/>
            </w:pPr>
            <w:r>
              <w:t xml:space="preserve">1.000</w:t>
            </w:r>
          </w:p>
        </w:tc>
        <w:tc>
          <w:tcPr/>
          <w:p>
            <w:pPr>
              <w:pStyle w:val="Compact"/>
              <w:jc w:val="left"/>
            </w:pPr>
            <w:r>
              <w:t xml:space="preserve">0.986</w:t>
            </w:r>
          </w:p>
        </w:tc>
      </w:tr>
      <w:tr>
        <w:tc>
          <w:tcPr/>
          <w:p>
            <w:pPr>
              <w:pStyle w:val="Compact"/>
              <w:jc w:val="left"/>
            </w:pPr>
            <w:r>
              <w:t xml:space="preserve">13</w:t>
            </w:r>
          </w:p>
        </w:tc>
        <w:tc>
          <w:tcPr/>
          <w:p>
            <w:pPr>
              <w:pStyle w:val="Compact"/>
              <w:jc w:val="left"/>
            </w:pPr>
            <w:r>
              <w:t xml:space="preserve">400</w:t>
            </w:r>
          </w:p>
        </w:tc>
        <w:tc>
          <w:tcPr/>
          <w:p>
            <w:pPr>
              <w:pStyle w:val="Compact"/>
              <w:jc w:val="left"/>
            </w:pPr>
            <w:r>
              <w:t xml:space="preserve">0.0216</w:t>
            </w:r>
          </w:p>
        </w:tc>
        <w:tc>
          <w:tcPr/>
          <w:p>
            <w:pPr>
              <w:pStyle w:val="Compact"/>
              <w:jc w:val="left"/>
            </w:pPr>
            <w:r>
              <w:t xml:space="preserve">0.9973</w:t>
            </w:r>
          </w:p>
        </w:tc>
        <w:tc>
          <w:tcPr/>
          <w:p>
            <w:pPr>
              <w:pStyle w:val="Compact"/>
              <w:jc w:val="left"/>
            </w:pPr>
            <w:r>
              <w:t xml:space="preserve">0.9938</w:t>
            </w:r>
          </w:p>
        </w:tc>
        <w:tc>
          <w:tcPr/>
          <w:p>
            <w:pPr>
              <w:pStyle w:val="Compact"/>
              <w:jc w:val="left"/>
            </w:pPr>
            <w:r>
              <w:t xml:space="preserve">0.9990</w:t>
            </w:r>
          </w:p>
        </w:tc>
        <w:tc>
          <w:tcPr/>
          <w:p>
            <w:pPr>
              <w:pStyle w:val="Compact"/>
              <w:jc w:val="left"/>
            </w:pPr>
            <w:r>
              <w:t xml:space="preserve">1.000</w:t>
            </w:r>
          </w:p>
        </w:tc>
      </w:tr>
      <w:tr>
        <w:tc>
          <w:tcPr/>
          <w:p>
            <w:pPr>
              <w:pStyle w:val="Compact"/>
              <w:jc w:val="left"/>
            </w:pPr>
            <w:r>
              <w:t xml:space="preserve">14</w:t>
            </w:r>
          </w:p>
        </w:tc>
        <w:tc>
          <w:tcPr/>
          <w:p>
            <w:pPr>
              <w:pStyle w:val="Compact"/>
              <w:jc w:val="left"/>
            </w:pPr>
            <w:r>
              <w:t xml:space="preserve">400</w:t>
            </w:r>
          </w:p>
        </w:tc>
        <w:tc>
          <w:tcPr/>
          <w:p>
            <w:pPr>
              <w:pStyle w:val="Compact"/>
              <w:jc w:val="left"/>
            </w:pPr>
            <w:r>
              <w:t xml:space="preserve">0.0141</w:t>
            </w:r>
          </w:p>
        </w:tc>
        <w:tc>
          <w:tcPr/>
          <w:p>
            <w:pPr>
              <w:pStyle w:val="Compact"/>
              <w:jc w:val="left"/>
            </w:pPr>
            <w:r>
              <w:t xml:space="preserve">0.9995</w:t>
            </w:r>
          </w:p>
        </w:tc>
        <w:tc>
          <w:tcPr/>
          <w:p>
            <w:pPr>
              <w:pStyle w:val="Compact"/>
              <w:jc w:val="left"/>
            </w:pPr>
            <w:r>
              <w:t xml:space="preserve">0.9723</w:t>
            </w:r>
          </w:p>
        </w:tc>
        <w:tc>
          <w:tcPr/>
          <w:p>
            <w:pPr>
              <w:pStyle w:val="Compact"/>
              <w:jc w:val="left"/>
            </w:pPr>
            <w:r>
              <w:t xml:space="preserve">0.9929</w:t>
            </w:r>
          </w:p>
        </w:tc>
        <w:tc>
          <w:tcPr/>
          <w:p>
            <w:pPr>
              <w:pStyle w:val="Compact"/>
              <w:jc w:val="left"/>
            </w:pPr>
            <w:r>
              <w:t xml:space="preserve">1.000</w:t>
            </w:r>
          </w:p>
        </w:tc>
      </w:tr>
      <w:tr>
        <w:tc>
          <w:tcPr/>
          <w:p>
            <w:pPr>
              <w:pStyle w:val="Compact"/>
              <w:jc w:val="left"/>
            </w:pPr>
            <w:r>
              <w:t xml:space="preserve">15</w:t>
            </w:r>
          </w:p>
        </w:tc>
        <w:tc>
          <w:tcPr/>
          <w:p>
            <w:pPr>
              <w:pStyle w:val="Compact"/>
              <w:jc w:val="left"/>
            </w:pPr>
            <w:r>
              <w:t xml:space="preserve">400</w:t>
            </w:r>
          </w:p>
        </w:tc>
        <w:tc>
          <w:tcPr/>
          <w:p>
            <w:pPr>
              <w:pStyle w:val="Compact"/>
              <w:jc w:val="left"/>
            </w:pPr>
            <w:r>
              <w:t xml:space="preserve">0 †</w:t>
            </w:r>
          </w:p>
        </w:tc>
        <w:tc>
          <w:tcPr/>
          <w:p>
            <w:pPr>
              <w:pStyle w:val="Compact"/>
              <w:jc w:val="left"/>
            </w:pPr>
            <w:r>
              <w:t xml:space="preserve">1</w:t>
            </w:r>
          </w:p>
        </w:tc>
        <w:tc>
          <w:tcPr/>
          <w:p>
            <w:pPr>
              <w:pStyle w:val="Compact"/>
              <w:jc w:val="left"/>
            </w:pPr>
            <w:r>
              <w:t xml:space="preserve">0.9986</w:t>
            </w:r>
          </w:p>
        </w:tc>
        <w:tc>
          <w:tcPr/>
          <w:p>
            <w:pPr>
              <w:pStyle w:val="Compact"/>
              <w:jc w:val="left"/>
            </w:pPr>
            <w:r>
              <w:t xml:space="preserve">0.9950</w:t>
            </w:r>
          </w:p>
        </w:tc>
        <w:tc>
          <w:tcPr/>
          <w:p>
            <w:pPr>
              <w:pStyle w:val="Compact"/>
              <w:jc w:val="left"/>
            </w:pPr>
            <w:r>
              <w:t xml:space="preserve">—</w:t>
            </w:r>
          </w:p>
        </w:tc>
      </w:tr>
      <w:tr>
        <w:tc>
          <w:tcPr/>
          <w:p>
            <w:pPr>
              <w:pStyle w:val="Compact"/>
              <w:jc w:val="left"/>
            </w:pPr>
            <w:r>
              <w:t xml:space="preserve">24</w:t>
            </w:r>
          </w:p>
        </w:tc>
        <w:tc>
          <w:tcPr/>
          <w:p>
            <w:pPr>
              <w:pStyle w:val="Compact"/>
              <w:jc w:val="left"/>
            </w:pPr>
            <w:r>
              <w:t xml:space="preserve">800</w:t>
            </w:r>
          </w:p>
        </w:tc>
        <w:tc>
          <w:tcPr/>
          <w:p>
            <w:pPr>
              <w:pStyle w:val="Compact"/>
              <w:jc w:val="left"/>
            </w:pPr>
            <w:r>
              <w:t xml:space="preserve">0.0289</w:t>
            </w:r>
          </w:p>
        </w:tc>
        <w:tc>
          <w:tcPr/>
          <w:p>
            <w:pPr>
              <w:pStyle w:val="Compact"/>
              <w:jc w:val="left"/>
            </w:pPr>
            <w:r>
              <w:t xml:space="preserve">0.9974</w:t>
            </w:r>
          </w:p>
        </w:tc>
        <w:tc>
          <w:tcPr/>
          <w:p>
            <w:pPr>
              <w:pStyle w:val="Compact"/>
              <w:jc w:val="left"/>
            </w:pPr>
            <w:r>
              <w:t xml:space="preserve">0.9957</w:t>
            </w:r>
          </w:p>
        </w:tc>
        <w:tc>
          <w:tcPr/>
          <w:p>
            <w:pPr>
              <w:pStyle w:val="Compact"/>
              <w:jc w:val="left"/>
            </w:pPr>
            <w:r>
              <w:t xml:space="preserve">0.9972</w:t>
            </w:r>
          </w:p>
        </w:tc>
        <w:tc>
          <w:tcPr/>
          <w:p>
            <w:pPr>
              <w:pStyle w:val="Compact"/>
              <w:jc w:val="left"/>
            </w:pPr>
            <w:r>
              <w:t xml:space="preserve">1.000</w:t>
            </w:r>
          </w:p>
        </w:tc>
      </w:tr>
      <w:tr>
        <w:tc>
          <w:tcPr/>
          <w:p>
            <w:pPr>
              <w:pStyle w:val="Compact"/>
              <w:jc w:val="left"/>
            </w:pPr>
            <w:r>
              <w:t xml:space="preserve">25</w:t>
            </w:r>
          </w:p>
        </w:tc>
        <w:tc>
          <w:tcPr/>
          <w:p>
            <w:pPr>
              <w:pStyle w:val="Compact"/>
              <w:jc w:val="left"/>
            </w:pPr>
            <w:r>
              <w:t xml:space="preserve">400</w:t>
            </w:r>
          </w:p>
        </w:tc>
        <w:tc>
          <w:tcPr/>
          <w:p>
            <w:pPr>
              <w:pStyle w:val="Compact"/>
              <w:jc w:val="left"/>
            </w:pPr>
            <w:r>
              <w:t xml:space="preserve">0.0480</w:t>
            </w:r>
          </w:p>
        </w:tc>
        <w:tc>
          <w:tcPr/>
          <w:p>
            <w:pPr>
              <w:pStyle w:val="Compact"/>
              <w:jc w:val="left"/>
            </w:pPr>
            <w:r>
              <w:t xml:space="preserve">0.9943</w:t>
            </w:r>
          </w:p>
        </w:tc>
        <w:tc>
          <w:tcPr/>
          <w:p>
            <w:pPr>
              <w:pStyle w:val="Compact"/>
              <w:jc w:val="left"/>
            </w:pPr>
            <w:r>
              <w:t xml:space="preserve">0.9980</w:t>
            </w:r>
          </w:p>
        </w:tc>
        <w:tc>
          <w:tcPr/>
          <w:p>
            <w:pPr>
              <w:pStyle w:val="Compact"/>
              <w:jc w:val="left"/>
            </w:pPr>
            <w:r>
              <w:t xml:space="preserve">0.9976</w:t>
            </w:r>
          </w:p>
        </w:tc>
        <w:tc>
          <w:tcPr/>
          <w:p>
            <w:pPr>
              <w:pStyle w:val="Compact"/>
              <w:jc w:val="left"/>
            </w:pPr>
            <w:r>
              <w:t xml:space="preserve">1.243</w:t>
            </w:r>
          </w:p>
        </w:tc>
      </w:tr>
      <w:tr>
        <w:tc>
          <w:tcPr/>
          <w:p>
            <w:pPr>
              <w:pStyle w:val="Compact"/>
              <w:jc w:val="left"/>
            </w:pPr>
            <w:r>
              <w:t xml:space="preserve">26</w:t>
            </w:r>
          </w:p>
        </w:tc>
        <w:tc>
          <w:tcPr/>
          <w:p>
            <w:pPr>
              <w:pStyle w:val="Compact"/>
              <w:jc w:val="left"/>
            </w:pPr>
            <w:r>
              <w:t xml:space="preserve">1000</w:t>
            </w:r>
          </w:p>
        </w:tc>
        <w:tc>
          <w:tcPr/>
          <w:p>
            <w:pPr>
              <w:pStyle w:val="Compact"/>
              <w:jc w:val="left"/>
            </w:pPr>
            <w:r>
              <w:t xml:space="preserve">0.0282</w:t>
            </w:r>
          </w:p>
        </w:tc>
        <w:tc>
          <w:tcPr/>
          <w:p>
            <w:pPr>
              <w:pStyle w:val="Compact"/>
              <w:jc w:val="left"/>
            </w:pPr>
            <w:r>
              <w:t xml:space="preserve">0.9975</w:t>
            </w:r>
          </w:p>
        </w:tc>
        <w:tc>
          <w:tcPr/>
          <w:p>
            <w:pPr>
              <w:pStyle w:val="Compact"/>
              <w:jc w:val="left"/>
            </w:pPr>
            <w:r>
              <w:t xml:space="preserve">0.9954</w:t>
            </w:r>
          </w:p>
        </w:tc>
        <w:tc>
          <w:tcPr/>
          <w:p>
            <w:pPr>
              <w:pStyle w:val="Compact"/>
              <w:jc w:val="left"/>
            </w:pPr>
            <w:r>
              <w:t xml:space="preserve">0.9974</w:t>
            </w:r>
          </w:p>
        </w:tc>
        <w:tc>
          <w:tcPr/>
          <w:p>
            <w:pPr>
              <w:pStyle w:val="Compact"/>
              <w:jc w:val="left"/>
            </w:pPr>
            <w:r>
              <w:t xml:space="preserve">1.001</w:t>
            </w:r>
          </w:p>
        </w:tc>
      </w:tr>
      <w:tr>
        <w:tc>
          <w:tcPr/>
          <w:p>
            <w:pPr>
              <w:pStyle w:val="Compact"/>
              <w:jc w:val="left"/>
            </w:pPr>
            <w:r>
              <w:t xml:space="preserve">27</w:t>
            </w:r>
          </w:p>
        </w:tc>
        <w:tc>
          <w:tcPr/>
          <w:p>
            <w:pPr>
              <w:pStyle w:val="Compact"/>
              <w:jc w:val="left"/>
            </w:pPr>
            <w:r>
              <w:t xml:space="preserve">1000</w:t>
            </w:r>
          </w:p>
        </w:tc>
        <w:tc>
          <w:tcPr/>
          <w:p>
            <w:pPr>
              <w:pStyle w:val="Compact"/>
              <w:jc w:val="left"/>
            </w:pPr>
            <w:r>
              <w:t xml:space="preserve">0.0222</w:t>
            </w:r>
          </w:p>
        </w:tc>
        <w:tc>
          <w:tcPr/>
          <w:p>
            <w:pPr>
              <w:pStyle w:val="Compact"/>
              <w:jc w:val="left"/>
            </w:pPr>
            <w:r>
              <w:t xml:space="preserve">0.9985</w:t>
            </w:r>
          </w:p>
        </w:tc>
        <w:tc>
          <w:tcPr/>
          <w:p>
            <w:pPr>
              <w:pStyle w:val="Compact"/>
              <w:jc w:val="left"/>
            </w:pPr>
            <w:r>
              <w:t xml:space="preserve">0.9980</w:t>
            </w:r>
          </w:p>
        </w:tc>
        <w:tc>
          <w:tcPr/>
          <w:p>
            <w:pPr>
              <w:pStyle w:val="Compact"/>
              <w:jc w:val="left"/>
            </w:pPr>
            <w:r>
              <w:t xml:space="preserve">0.9981</w:t>
            </w:r>
          </w:p>
        </w:tc>
        <w:tc>
          <w:tcPr/>
          <w:p>
            <w:pPr>
              <w:pStyle w:val="Compact"/>
              <w:jc w:val="left"/>
            </w:pPr>
            <w:r>
              <w:t xml:space="preserve">1.004</w:t>
            </w:r>
          </w:p>
        </w:tc>
      </w:tr>
      <w:tr>
        <w:tc>
          <w:tcPr/>
          <w:p>
            <w:pPr>
              <w:pStyle w:val="Compact"/>
              <w:jc w:val="left"/>
            </w:pPr>
            <w:r>
              <w:t xml:space="preserve">28</w:t>
            </w:r>
          </w:p>
        </w:tc>
        <w:tc>
          <w:tcPr/>
          <w:p>
            <w:pPr>
              <w:pStyle w:val="Compact"/>
              <w:jc w:val="left"/>
            </w:pPr>
            <w:r>
              <w:t xml:space="preserve">1000</w:t>
            </w:r>
          </w:p>
        </w:tc>
        <w:tc>
          <w:tcPr/>
          <w:p>
            <w:pPr>
              <w:pStyle w:val="Compact"/>
              <w:jc w:val="left"/>
            </w:pPr>
            <w:r>
              <w:t xml:space="preserve">0.0287</w:t>
            </w:r>
          </w:p>
        </w:tc>
        <w:tc>
          <w:tcPr/>
          <w:p>
            <w:pPr>
              <w:pStyle w:val="Compact"/>
              <w:jc w:val="left"/>
            </w:pPr>
            <w:r>
              <w:t xml:space="preserve">0.9974</w:t>
            </w:r>
          </w:p>
        </w:tc>
        <w:tc>
          <w:tcPr/>
          <w:p>
            <w:pPr>
              <w:pStyle w:val="Compact"/>
              <w:jc w:val="left"/>
            </w:pPr>
            <w:r>
              <w:t xml:space="preserve">0.9952</w:t>
            </w:r>
          </w:p>
        </w:tc>
        <w:tc>
          <w:tcPr/>
          <w:p>
            <w:pPr>
              <w:pStyle w:val="Compact"/>
              <w:jc w:val="left"/>
            </w:pPr>
            <w:r>
              <w:t xml:space="preserve">0.9973</w:t>
            </w:r>
          </w:p>
        </w:tc>
        <w:tc>
          <w:tcPr/>
          <w:p>
            <w:pPr>
              <w:pStyle w:val="Compact"/>
              <w:jc w:val="left"/>
            </w:pPr>
            <w:r>
              <w:t xml:space="preserve">1.001</w:t>
            </w:r>
          </w:p>
        </w:tc>
      </w:tr>
      <w:tr>
        <w:tc>
          <w:tcPr/>
          <w:p>
            <w:pPr>
              <w:pStyle w:val="Compact"/>
              <w:jc w:val="left"/>
            </w:pPr>
            <w:r>
              <w:t xml:space="preserve">30</w:t>
            </w:r>
          </w:p>
        </w:tc>
        <w:tc>
          <w:tcPr/>
          <w:p>
            <w:pPr>
              <w:pStyle w:val="Compact"/>
              <w:jc w:val="left"/>
            </w:pPr>
            <w:r>
              <w:t xml:space="preserve">400</w:t>
            </w:r>
          </w:p>
        </w:tc>
        <w:tc>
          <w:tcPr/>
          <w:p>
            <w:pPr>
              <w:pStyle w:val="Compact"/>
              <w:jc w:val="left"/>
            </w:pPr>
            <w:r>
              <w:t xml:space="preserve">0.0340</w:t>
            </w:r>
          </w:p>
        </w:tc>
        <w:tc>
          <w:tcPr/>
          <w:p>
            <w:pPr>
              <w:pStyle w:val="Compact"/>
              <w:jc w:val="left"/>
            </w:pPr>
            <w:r>
              <w:t xml:space="preserve">0.9917</w:t>
            </w:r>
          </w:p>
        </w:tc>
        <w:tc>
          <w:tcPr/>
          <w:p>
            <w:pPr>
              <w:pStyle w:val="Compact"/>
              <w:jc w:val="left"/>
            </w:pPr>
            <w:r>
              <w:t xml:space="preserve">0.9844</w:t>
            </w:r>
          </w:p>
        </w:tc>
        <w:tc>
          <w:tcPr/>
          <w:p>
            <w:pPr>
              <w:pStyle w:val="Compact"/>
              <w:jc w:val="left"/>
            </w:pPr>
            <w:r>
              <w:t xml:space="preserve">0.9994</w:t>
            </w:r>
          </w:p>
        </w:tc>
        <w:tc>
          <w:tcPr/>
          <w:p>
            <w:pPr>
              <w:pStyle w:val="Compact"/>
              <w:jc w:val="left"/>
            </w:pPr>
            <w:r>
              <w:t xml:space="preserve">1.000</w:t>
            </w:r>
          </w:p>
        </w:tc>
      </w:tr>
      <w:tr>
        <w:tc>
          <w:tcPr/>
          <w:p>
            <w:pPr>
              <w:pStyle w:val="Compact"/>
              <w:jc w:val="left"/>
            </w:pPr>
            <w:r>
              <w:t xml:space="preserve">31</w:t>
            </w:r>
          </w:p>
        </w:tc>
        <w:tc>
          <w:tcPr/>
          <w:p>
            <w:pPr>
              <w:pStyle w:val="Compact"/>
              <w:jc w:val="left"/>
            </w:pPr>
            <w:r>
              <w:t xml:space="preserve">400</w:t>
            </w:r>
          </w:p>
        </w:tc>
        <w:tc>
          <w:tcPr/>
          <w:p>
            <w:pPr>
              <w:pStyle w:val="Compact"/>
              <w:jc w:val="left"/>
            </w:pPr>
            <w:r>
              <w:t xml:space="preserve">0.0414</w:t>
            </w:r>
          </w:p>
        </w:tc>
        <w:tc>
          <w:tcPr/>
          <w:p>
            <w:pPr>
              <w:pStyle w:val="Compact"/>
              <w:jc w:val="left"/>
            </w:pPr>
            <w:r>
              <w:t xml:space="preserve">0.9963</w:t>
            </w:r>
          </w:p>
        </w:tc>
        <w:tc>
          <w:tcPr/>
          <w:p>
            <w:pPr>
              <w:pStyle w:val="Compact"/>
              <w:jc w:val="left"/>
            </w:pPr>
            <w:r>
              <w:t xml:space="preserve">0.9961</w:t>
            </w:r>
          </w:p>
        </w:tc>
        <w:tc>
          <w:tcPr/>
          <w:p>
            <w:pPr>
              <w:pStyle w:val="Compact"/>
              <w:jc w:val="left"/>
            </w:pPr>
            <w:r>
              <w:t xml:space="preserve">0.9986</w:t>
            </w:r>
          </w:p>
        </w:tc>
        <w:tc>
          <w:tcPr/>
          <w:p>
            <w:pPr>
              <w:pStyle w:val="Compact"/>
              <w:jc w:val="left"/>
            </w:pPr>
            <w:r>
              <w:t xml:space="preserve">1.000</w:t>
            </w:r>
          </w:p>
        </w:tc>
      </w:tr>
      <w:tr>
        <w:tc>
          <w:tcPr/>
          <w:p>
            <w:pPr>
              <w:pStyle w:val="Compact"/>
              <w:jc w:val="left"/>
            </w:pPr>
            <w:r>
              <w:t xml:space="preserve">33</w:t>
            </w:r>
          </w:p>
        </w:tc>
        <w:tc>
          <w:tcPr/>
          <w:p>
            <w:pPr>
              <w:pStyle w:val="Compact"/>
              <w:jc w:val="left"/>
            </w:pPr>
            <w:r>
              <w:t xml:space="preserve">800</w:t>
            </w:r>
          </w:p>
        </w:tc>
        <w:tc>
          <w:tcPr/>
          <w:p>
            <w:pPr>
              <w:pStyle w:val="Compact"/>
              <w:jc w:val="left"/>
            </w:pPr>
            <w:r>
              <w:t xml:space="preserve">0.0303</w:t>
            </w:r>
          </w:p>
        </w:tc>
        <w:tc>
          <w:tcPr/>
          <w:p>
            <w:pPr>
              <w:pStyle w:val="Compact"/>
              <w:jc w:val="left"/>
            </w:pPr>
            <w:r>
              <w:t xml:space="preserve">0.9971</w:t>
            </w:r>
          </w:p>
        </w:tc>
        <w:tc>
          <w:tcPr/>
          <w:p>
            <w:pPr>
              <w:pStyle w:val="Compact"/>
              <w:jc w:val="left"/>
            </w:pPr>
            <w:r>
              <w:t xml:space="preserve">0.9950</w:t>
            </w:r>
          </w:p>
        </w:tc>
        <w:tc>
          <w:tcPr/>
          <w:p>
            <w:pPr>
              <w:pStyle w:val="Compact"/>
              <w:jc w:val="left"/>
            </w:pPr>
            <w:r>
              <w:t xml:space="preserve">0.9970</w:t>
            </w:r>
          </w:p>
        </w:tc>
        <w:tc>
          <w:tcPr/>
          <w:p>
            <w:pPr>
              <w:pStyle w:val="Compact"/>
              <w:jc w:val="left"/>
            </w:pPr>
            <w:r>
              <w:t xml:space="preserve">1.000</w:t>
            </w:r>
          </w:p>
        </w:tc>
      </w:tr>
      <w:tr>
        <w:tc>
          <w:tcPr/>
          <w:p>
            <w:pPr>
              <w:pStyle w:val="Compact"/>
              <w:jc w:val="left"/>
            </w:pPr>
            <w:r>
              <w:t xml:space="preserve">34</w:t>
            </w:r>
          </w:p>
        </w:tc>
        <w:tc>
          <w:tcPr/>
          <w:p>
            <w:pPr>
              <w:pStyle w:val="Compact"/>
              <w:jc w:val="left"/>
            </w:pPr>
            <w:r>
              <w:t xml:space="preserve">800</w:t>
            </w:r>
          </w:p>
        </w:tc>
        <w:tc>
          <w:tcPr/>
          <w:p>
            <w:pPr>
              <w:pStyle w:val="Compact"/>
              <w:jc w:val="left"/>
            </w:pPr>
            <w:r>
              <w:t xml:space="preserve">0.0266</w:t>
            </w:r>
          </w:p>
        </w:tc>
        <w:tc>
          <w:tcPr/>
          <w:p>
            <w:pPr>
              <w:pStyle w:val="Compact"/>
              <w:jc w:val="left"/>
            </w:pPr>
            <w:r>
              <w:t xml:space="preserve">0.9978</w:t>
            </w:r>
          </w:p>
        </w:tc>
        <w:tc>
          <w:tcPr/>
          <w:p>
            <w:pPr>
              <w:pStyle w:val="Compact"/>
              <w:jc w:val="left"/>
            </w:pPr>
            <w:r>
              <w:t xml:space="preserve">0.9967</w:t>
            </w:r>
          </w:p>
        </w:tc>
        <w:tc>
          <w:tcPr/>
          <w:p>
            <w:pPr>
              <w:pStyle w:val="Compact"/>
              <w:jc w:val="left"/>
            </w:pPr>
            <w:r>
              <w:t xml:space="preserve">0.9976</w:t>
            </w:r>
          </w:p>
        </w:tc>
        <w:tc>
          <w:tcPr/>
          <w:p>
            <w:pPr>
              <w:pStyle w:val="Compact"/>
              <w:jc w:val="left"/>
            </w:pPr>
            <w:r>
              <w:t xml:space="preserve">1.000</w:t>
            </w:r>
          </w:p>
        </w:tc>
      </w:tr>
      <w:tr>
        <w:tc>
          <w:tcPr/>
          <w:p>
            <w:pPr>
              <w:pStyle w:val="Compact"/>
              <w:jc w:val="left"/>
            </w:pPr>
            <w:r>
              <w:t xml:space="preserve">35</w:t>
            </w:r>
          </w:p>
        </w:tc>
        <w:tc>
          <w:tcPr/>
          <w:p>
            <w:pPr>
              <w:pStyle w:val="Compact"/>
              <w:jc w:val="left"/>
            </w:pPr>
            <w:r>
              <w:t xml:space="preserve">750</w:t>
            </w:r>
          </w:p>
        </w:tc>
        <w:tc>
          <w:tcPr/>
          <w:p>
            <w:pPr>
              <w:pStyle w:val="Compact"/>
              <w:jc w:val="left"/>
            </w:pPr>
            <w:r>
              <w:t xml:space="preserve">0.0030</w:t>
            </w:r>
          </w:p>
        </w:tc>
        <w:tc>
          <w:tcPr/>
          <w:p>
            <w:pPr>
              <w:pStyle w:val="Compact"/>
              <w:jc w:val="left"/>
            </w:pPr>
            <w:r>
              <w:t xml:space="preserve">0.9994</w:t>
            </w:r>
          </w:p>
        </w:tc>
        <w:tc>
          <w:tcPr/>
          <w:p>
            <w:pPr>
              <w:pStyle w:val="Compact"/>
              <w:jc w:val="left"/>
            </w:pPr>
            <w:r>
              <w:t xml:space="preserve">0.9994</w:t>
            </w:r>
          </w:p>
        </w:tc>
        <w:tc>
          <w:tcPr/>
          <w:p>
            <w:pPr>
              <w:pStyle w:val="Compact"/>
              <w:jc w:val="left"/>
            </w:pPr>
            <w:r>
              <w:t xml:space="preserve">1.000</w:t>
            </w:r>
          </w:p>
        </w:tc>
        <w:tc>
          <w:tcPr/>
          <w:p>
            <w:pPr>
              <w:pStyle w:val="Compact"/>
              <w:jc w:val="left"/>
            </w:pPr>
            <w:r>
              <w:t xml:space="preserve">0.994</w:t>
            </w:r>
          </w:p>
        </w:tc>
      </w:tr>
      <w:tr>
        <w:tc>
          <w:tcPr/>
          <w:p>
            <w:pPr>
              <w:pStyle w:val="Compact"/>
              <w:jc w:val="left"/>
            </w:pPr>
            <w:r>
              <w:t xml:space="preserve">36</w:t>
            </w:r>
          </w:p>
        </w:tc>
        <w:tc>
          <w:tcPr/>
          <w:p>
            <w:pPr>
              <w:pStyle w:val="Compact"/>
              <w:jc w:val="left"/>
            </w:pPr>
            <w:r>
              <w:t xml:space="preserve">750</w:t>
            </w:r>
          </w:p>
        </w:tc>
        <w:tc>
          <w:tcPr/>
          <w:p>
            <w:pPr>
              <w:pStyle w:val="Compact"/>
              <w:jc w:val="left"/>
            </w:pPr>
            <w:r>
              <w:t xml:space="preserve">0.0023</w:t>
            </w:r>
          </w:p>
        </w:tc>
        <w:tc>
          <w:tcPr/>
          <w:p>
            <w:pPr>
              <w:pStyle w:val="Compact"/>
              <w:jc w:val="left"/>
            </w:pPr>
            <w:r>
              <w:t xml:space="preserve">0.9998</w:t>
            </w:r>
          </w:p>
        </w:tc>
        <w:tc>
          <w:tcPr/>
          <w:p>
            <w:pPr>
              <w:pStyle w:val="Compact"/>
              <w:jc w:val="left"/>
            </w:pPr>
            <w:r>
              <w:t xml:space="preserve">0.9998</w:t>
            </w:r>
          </w:p>
        </w:tc>
        <w:tc>
          <w:tcPr/>
          <w:p>
            <w:pPr>
              <w:pStyle w:val="Compact"/>
              <w:jc w:val="left"/>
            </w:pPr>
            <w:r>
              <w:t xml:space="preserve">1.000</w:t>
            </w:r>
          </w:p>
        </w:tc>
        <w:tc>
          <w:tcPr/>
          <w:p>
            <w:pPr>
              <w:pStyle w:val="Compact"/>
              <w:jc w:val="left"/>
            </w:pPr>
            <w:r>
              <w:t xml:space="preserve">1.001</w:t>
            </w:r>
          </w:p>
        </w:tc>
      </w:tr>
    </w:tbl>
    <w:p>
      <w:pPr>
        <w:pStyle w:val="BodyText"/>
      </w:pPr>
      <w:r>
        <w:t xml:space="preserve">† Floor-limited core pressure (self-consistency reference); see Section 4.16.</w:t>
      </w:r>
    </w:p>
    <w:bookmarkEnd w:id="115"/>
    <w:bookmarkStart w:id="116" w:name="reproducibility-and-scope"/>
    <w:p>
      <w:pPr>
        <w:pStyle w:val="Heading2"/>
      </w:pPr>
      <w:r>
        <w:t xml:space="preserve">4.20 Reproducibility and scope</w:t>
      </w:r>
    </w:p>
    <w:p>
      <w:pPr>
        <w:pStyle w:val="FirstParagraph"/>
      </w:pPr>
      <w:r>
        <w:t xml:space="preserve">Every metric above is produced by the released validation binary directly from the solver and reference states, with no post-processing beyond Section 4.2, on the single parameter set of Section 3.11. All references are exact except the stated self-consistency case 15; cases 29 and 32 are excluded per Section 4.1. The ablation, Courant and refinement studies (Sections 4.13–4.15) used the solver’s environment opt-outs and a temporary, subsequently reverted measurement patch; the reverted source reproduces the byte-identical nineteen-case suite. Source and data will be made available (Acknowledgements).</w:t>
      </w:r>
    </w:p>
    <w:bookmarkEnd w:id="116"/>
    <w:bookmarkEnd w:id="117"/>
    <w:bookmarkStart w:id="118" w:name="conclusions"/>
    <w:p>
      <w:pPr>
        <w:pStyle w:val="Heading1"/>
      </w:pPr>
      <w:r>
        <w:t xml:space="preserve">5. Conclusions</w:t>
      </w:r>
    </w:p>
    <w:p>
      <w:pPr>
        <w:pStyle w:val="FirstParagraph"/>
      </w:pPr>
      <w:r>
        <w:t xml:space="preserve">A fully-coupled pressure-based algorithm for inviscid compressible two-phase flows at all speeds has been presented and verified, following the ACID framework of Denner et al. [17] with NASG thermodynamics [19, 29]. Four developments were measured: an exact closed-form block-pentadiagonal Jacobian of the coupled (velocity, pressure, enthalpy) system including the MWI cross-coupling, cutting Jacobian-assembly cost from fifteen residual evaluations to one with the converged solution unchanged; an L-stable second-order TR-BDF2 integration of a conservative total-energy residual that removes the acoustic pressure wake and restores wave amplitude while leaving every shock-capturing computation byte-for-byte unchanged; a conservative semi-Lagrangian THINC transport with a parameter-free density-monotonicity guard that sharpens material contacts to a few cells without density oscillation or loss of the discrete pressure-equilibrium property; and a nineteen-case verification — machine-precision interface preservation to a Mach 100 shock — carried by one locally-adaptive scheme with a single global parameter set, the Courant-number dependence of the MWI dissipation documented as a systematic negative-result analysis.</w:t>
      </w:r>
    </w:p>
    <w:p>
      <w:pPr>
        <w:pStyle w:val="BodyText"/>
      </w:pPr>
      <w:r>
        <w:t xml:space="preserve">The limitations are stated explicitly. All computations are one-dimensional and inviscid; the multi-dimensional extension of the analytical Jacobian involves additional geometric terms and is left to future work. The reversed shock tube retains a smeared contact band — the four-equation model carries one mixture temperature per cell, so a cell whose volume fraction flips within one to two cells relaxes its state over the following cells; the guard removes the oscillatory component but not the smear, whose cure (phase-consistent energy transport, a five-equation-model-like extension) is a model change — and the guard costs a one-cell offset on the uniform contact (correlation</w:t>
      </w:r>
      <w:r>
        <w:t xml:space="preserve"> </w:t>
      </w:r>
      <m:oMath>
        <m:r>
          <m:t>0.997</m:t>
        </m:r>
      </m:oMath>
      <w:r>
        <w:t xml:space="preserve">, Section 4.10). The case 25 reflected-shock overshoot is a start-up imprint shared by the reference computation of Ref. [17] (Fig. 23); a parameter-free time-step-independent MWI dissipation valid across the full Mach range is constraint-bound by the pick-two trade-off of Section 4.12 — an open problem. The double rarefaction is a robustness and self-consistency test only. Cases 29 and 32 are excluded for the documented blockers of Section 4.1.</w:t>
      </w:r>
    </w:p>
    <w:bookmarkEnd w:id="118"/>
    <w:bookmarkStart w:id="119" w:name="X4a5430dada7bdbfff2784aacc8b843b807afee4"/>
    <w:p>
      <w:pPr>
        <w:pStyle w:val="Heading1"/>
      </w:pPr>
      <w:r>
        <w:t xml:space="preserve">Appendix A. NASG thermodynamic derivatives</w:t>
      </w:r>
    </w:p>
    <w:p>
      <w:pPr>
        <w:pStyle w:val="FirstParagraph"/>
      </w:pPr>
      <w:r>
        <w:t xml:space="preserve">From the NASG relations of Section 2.2, with</w:t>
      </w:r>
      <w:r>
        <w:t xml:space="preserve"> </w:t>
      </w:r>
      <m:oMath>
        <m:sSub>
          <m:e>
            <m:r>
              <m:t>D</m:t>
            </m:r>
          </m:e>
          <m:sub>
            <m:r>
              <m:t>k</m:t>
            </m:r>
          </m:sub>
        </m:sSub>
        <m:r>
          <m:rPr>
            <m:sty m:val="p"/>
          </m:rPr>
          <m:t>=</m:t>
        </m:r>
        <m:sSub>
          <m:e>
            <m:r>
              <m:t>c</m:t>
            </m:r>
          </m:e>
          <m:sub>
            <m:r>
              <m:t>v</m:t>
            </m:r>
            <m:r>
              <m:rPr>
                <m:sty m:val="p"/>
              </m:rPr>
              <m:t>,</m:t>
            </m:r>
            <m:r>
              <m:t>k</m:t>
            </m:r>
          </m:sub>
        </m:sSub>
        <m:d>
          <m:dPr>
            <m:begChr m:val="("/>
            <m:endChr m:val=")"/>
            <m:sepChr m:val=""/>
            <m:grow/>
          </m:dPr>
          <m:e>
            <m:sSub>
              <m:e>
                <m:r>
                  <m:t>γ</m:t>
                </m:r>
              </m:e>
              <m:sub>
                <m:r>
                  <m:t>k</m:t>
                </m:r>
              </m:sub>
            </m:sSub>
            <m:r>
              <m:rPr>
                <m:sty m:val="p"/>
              </m:rPr>
              <m:t>−</m:t>
            </m:r>
            <m:r>
              <m:t>1</m:t>
            </m:r>
          </m:e>
        </m:d>
        <m:r>
          <m:t>T</m:t>
        </m:r>
        <m:r>
          <m:rPr>
            <m:sty m:val="p"/>
          </m:rPr>
          <m:t>+</m:t>
        </m:r>
        <m:sSub>
          <m:e>
            <m:r>
              <m:t>b</m:t>
            </m:r>
          </m:e>
          <m:sub>
            <m:r>
              <m:t>k</m:t>
            </m:r>
          </m:sub>
        </m:sSub>
        <m:d>
          <m:dPr>
            <m:begChr m:val="("/>
            <m:endChr m:val=")"/>
            <m:sepChr m:val=""/>
            <m:grow/>
          </m:dPr>
          <m:e>
            <m:r>
              <m:t>p</m:t>
            </m:r>
            <m:r>
              <m:rPr>
                <m:sty m:val="p"/>
              </m:rPr>
              <m:t>+</m:t>
            </m:r>
            <m:sSub>
              <m:e>
                <m:r>
                  <m:t>Π</m:t>
                </m:r>
              </m:e>
              <m:sub>
                <m:r>
                  <m:t>k</m:t>
                </m:r>
              </m:sub>
            </m:sSub>
          </m:e>
        </m:d>
      </m:oMath>
      <w:r>
        <w:t xml:space="preserve"> </w:t>
      </w:r>
      <w:r>
        <w:t xml:space="preserve">so that</w:t>
      </w:r>
      <w:r>
        <w:t xml:space="preserve"> </w:t>
      </w:r>
      <m:oMath>
        <m:sSub>
          <m:e>
            <m:r>
              <m:t>ρ</m:t>
            </m:r>
          </m:e>
          <m:sub>
            <m:r>
              <m:t>k</m:t>
            </m:r>
          </m:sub>
        </m:sSub>
        <m:r>
          <m:rPr>
            <m:sty m:val="p"/>
          </m:rPr>
          <m:t>=</m:t>
        </m:r>
        <m:d>
          <m:dPr>
            <m:begChr m:val="("/>
            <m:endChr m:val=")"/>
            <m:sepChr m:val=""/>
            <m:grow/>
          </m:dPr>
          <m:e>
            <m:r>
              <m:t>p</m:t>
            </m:r>
            <m:r>
              <m:rPr>
                <m:sty m:val="p"/>
              </m:rPr>
              <m:t>+</m:t>
            </m:r>
            <m:sSub>
              <m:e>
                <m:r>
                  <m:t>Π</m:t>
                </m:r>
              </m:e>
              <m:sub>
                <m:r>
                  <m:t>k</m:t>
                </m:r>
              </m:sub>
            </m:sSub>
          </m:e>
        </m:d>
        <m:r>
          <m:rPr>
            <m:sty m:val="p"/>
          </m:rPr>
          <m:t>/</m:t>
        </m:r>
        <m:sSub>
          <m:e>
            <m:r>
              <m:t>D</m:t>
            </m:r>
          </m:e>
          <m:sub>
            <m:r>
              <m:t>k</m:t>
            </m:r>
          </m:sub>
        </m:sSub>
      </m:oMath>
      <w:r>
        <w:t xml:space="preserve">:</w:t>
      </w:r>
    </w:p>
    <w:p>
      <w:pPr>
        <w:pStyle w:val="BodyText"/>
      </w:pPr>
      <m:oMathPara>
        <m:oMathParaPr>
          <m:jc m:val="center"/>
        </m:oMathParaPr>
        <m:oMath>
          <m:sSub>
            <m:e>
              <m:d>
                <m:dPr>
                  <m:begChr m:val="("/>
                  <m:endChr m:val=")"/>
                  <m:sepChr m:val=""/>
                  <m:grow/>
                </m:dPr>
                <m:e>
                  <m:f>
                    <m:fPr>
                      <m:type m:val="bar"/>
                    </m:fPr>
                    <m:num>
                      <m:r>
                        <m:rPr>
                          <m:sty m:val="p"/>
                        </m:rPr>
                        <m:t>∂</m:t>
                      </m:r>
                      <m:sSub>
                        <m:e>
                          <m:r>
                            <m:t>ρ</m:t>
                          </m:r>
                        </m:e>
                        <m:sub>
                          <m:r>
                            <m:t>k</m:t>
                          </m:r>
                        </m:sub>
                      </m:sSub>
                    </m:num>
                    <m:den>
                      <m:r>
                        <m:rPr>
                          <m:sty m:val="p"/>
                        </m:rPr>
                        <m:t>∂</m:t>
                      </m:r>
                      <m:r>
                        <m:t>p</m:t>
                      </m:r>
                    </m:den>
                  </m:f>
                </m:e>
              </m:d>
            </m:e>
            <m:sub>
              <m:r>
                <m:t>T</m:t>
              </m:r>
            </m:sub>
          </m:sSub>
          <m:r>
            <m:rPr>
              <m:sty m:val="p"/>
            </m:rPr>
            <m:t>=</m:t>
          </m:r>
          <m:f>
            <m:fPr>
              <m:type m:val="bar"/>
            </m:fPr>
            <m:num>
              <m:sSub>
                <m:e>
                  <m:r>
                    <m:t>D</m:t>
                  </m:r>
                </m:e>
                <m:sub>
                  <m:r>
                    <m:t>k</m:t>
                  </m:r>
                </m:sub>
              </m:sSub>
              <m:r>
                <m:rPr>
                  <m:sty m:val="p"/>
                </m:rPr>
                <m:t>−</m:t>
              </m:r>
              <m:sSub>
                <m:e>
                  <m:r>
                    <m:t>b</m:t>
                  </m:r>
                </m:e>
                <m:sub>
                  <m:r>
                    <m:t>k</m:t>
                  </m:r>
                </m:sub>
              </m:sSub>
              <m:d>
                <m:dPr>
                  <m:begChr m:val="("/>
                  <m:endChr m:val=")"/>
                  <m:sepChr m:val=""/>
                  <m:grow/>
                </m:dPr>
                <m:e>
                  <m:r>
                    <m:t>p</m:t>
                  </m:r>
                  <m:r>
                    <m:rPr>
                      <m:sty m:val="p"/>
                    </m:rPr>
                    <m:t>+</m:t>
                  </m:r>
                  <m:sSub>
                    <m:e>
                      <m:r>
                        <m:t>Π</m:t>
                      </m:r>
                    </m:e>
                    <m:sub>
                      <m:r>
                        <m:t>k</m:t>
                      </m:r>
                    </m:sub>
                  </m:sSub>
                </m:e>
              </m:d>
            </m:num>
            <m:den>
              <m:sSubSup>
                <m:e>
                  <m:r>
                    <m:t>D</m:t>
                  </m:r>
                </m:e>
                <m:sub>
                  <m:r>
                    <m:t>k</m:t>
                  </m:r>
                </m:sub>
                <m:sup>
                  <m:r>
                    <m:t>2</m:t>
                  </m:r>
                </m:sup>
              </m:sSubSup>
            </m:den>
          </m:f>
          <m:r>
            <m:rPr>
              <m:sty m:val="p"/>
            </m:rPr>
            <m:t>=</m:t>
          </m:r>
          <m:f>
            <m:fPr>
              <m:type m:val="bar"/>
            </m:fPr>
            <m:num>
              <m:sSub>
                <m:e>
                  <m:r>
                    <m:t>c</m:t>
                  </m:r>
                </m:e>
                <m:sub>
                  <m:r>
                    <m:t>v</m:t>
                  </m:r>
                  <m:r>
                    <m:rPr>
                      <m:sty m:val="p"/>
                    </m:rPr>
                    <m:t>,</m:t>
                  </m:r>
                  <m:r>
                    <m:t>k</m:t>
                  </m:r>
                </m:sub>
              </m:sSub>
              <m:d>
                <m:dPr>
                  <m:begChr m:val="("/>
                  <m:endChr m:val=")"/>
                  <m:sepChr m:val=""/>
                  <m:grow/>
                </m:dPr>
                <m:e>
                  <m:sSub>
                    <m:e>
                      <m:r>
                        <m:t>γ</m:t>
                      </m:r>
                    </m:e>
                    <m:sub>
                      <m:r>
                        <m:t>k</m:t>
                      </m:r>
                    </m:sub>
                  </m:sSub>
                  <m:r>
                    <m:rPr>
                      <m:sty m:val="p"/>
                    </m:rPr>
                    <m:t>−</m:t>
                  </m:r>
                  <m:r>
                    <m:t>1</m:t>
                  </m:r>
                </m:e>
              </m:d>
              <m:r>
                <m:t>T</m:t>
              </m:r>
            </m:num>
            <m:den>
              <m:sSubSup>
                <m:e>
                  <m:r>
                    <m:t>D</m:t>
                  </m:r>
                </m:e>
                <m:sub>
                  <m:r>
                    <m:t>k</m:t>
                  </m:r>
                </m:sub>
                <m:sup>
                  <m:r>
                    <m:t>2</m:t>
                  </m:r>
                </m:sup>
              </m:sSubSup>
            </m:den>
          </m:f>
          <m:r>
            <m:rPr>
              <m:sty m:val="p"/>
            </m:rPr>
            <m:t>,</m:t>
          </m:r>
          <m:r>
            <m:t>  </m:t>
          </m:r>
          <m:sSub>
            <m:e>
              <m:d>
                <m:dPr>
                  <m:begChr m:val="("/>
                  <m:endChr m:val=")"/>
                  <m:sepChr m:val=""/>
                  <m:grow/>
                </m:dPr>
                <m:e>
                  <m:f>
                    <m:fPr>
                      <m:type m:val="bar"/>
                    </m:fPr>
                    <m:num>
                      <m:r>
                        <m:rPr>
                          <m:sty m:val="p"/>
                        </m:rPr>
                        <m:t>∂</m:t>
                      </m:r>
                      <m:sSub>
                        <m:e>
                          <m:r>
                            <m:t>ρ</m:t>
                          </m:r>
                        </m:e>
                        <m:sub>
                          <m:r>
                            <m:t>k</m:t>
                          </m:r>
                        </m:sub>
                      </m:sSub>
                    </m:num>
                    <m:den>
                      <m:r>
                        <m:rPr>
                          <m:sty m:val="p"/>
                        </m:rPr>
                        <m:t>∂</m:t>
                      </m:r>
                      <m:r>
                        <m:t>T</m:t>
                      </m:r>
                    </m:den>
                  </m:f>
                </m:e>
              </m:d>
            </m:e>
            <m:sub>
              <m:r>
                <m:t>p</m:t>
              </m:r>
            </m:sub>
          </m:sSub>
          <m:r>
            <m:rPr>
              <m:sty m:val="p"/>
            </m:rPr>
            <m:t>=</m:t>
          </m:r>
          <m:r>
            <m:rPr>
              <m:sty m:val="p"/>
            </m:rPr>
            <m:t>−</m:t>
          </m:r>
          <m:f>
            <m:fPr>
              <m:type m:val="bar"/>
            </m:fPr>
            <m:num>
              <m:d>
                <m:dPr>
                  <m:begChr m:val="("/>
                  <m:endChr m:val=")"/>
                  <m:sepChr m:val=""/>
                  <m:grow/>
                </m:dPr>
                <m:e>
                  <m:r>
                    <m:t>p</m:t>
                  </m:r>
                  <m:r>
                    <m:rPr>
                      <m:sty m:val="p"/>
                    </m:rPr>
                    <m:t>+</m:t>
                  </m:r>
                  <m:sSub>
                    <m:e>
                      <m:r>
                        <m:t>Π</m:t>
                      </m:r>
                    </m:e>
                    <m:sub>
                      <m:r>
                        <m:t>k</m:t>
                      </m:r>
                    </m:sub>
                  </m:sSub>
                </m:e>
              </m:d>
              <m:r>
                <m:t> </m:t>
              </m:r>
              <m:sSub>
                <m:e>
                  <m:r>
                    <m:t>c</m:t>
                  </m:r>
                </m:e>
                <m:sub>
                  <m:r>
                    <m:t>v</m:t>
                  </m:r>
                  <m:r>
                    <m:rPr>
                      <m:sty m:val="p"/>
                    </m:rPr>
                    <m:t>,</m:t>
                  </m:r>
                  <m:r>
                    <m:t>k</m:t>
                  </m:r>
                </m:sub>
              </m:sSub>
              <m:d>
                <m:dPr>
                  <m:begChr m:val="("/>
                  <m:endChr m:val=")"/>
                  <m:sepChr m:val=""/>
                  <m:grow/>
                </m:dPr>
                <m:e>
                  <m:sSub>
                    <m:e>
                      <m:r>
                        <m:t>γ</m:t>
                      </m:r>
                    </m:e>
                    <m:sub>
                      <m:r>
                        <m:t>k</m:t>
                      </m:r>
                    </m:sub>
                  </m:sSub>
                  <m:r>
                    <m:rPr>
                      <m:sty m:val="p"/>
                    </m:rPr>
                    <m:t>−</m:t>
                  </m:r>
                  <m:r>
                    <m:t>1</m:t>
                  </m:r>
                </m:e>
              </m:d>
            </m:num>
            <m:den>
              <m:sSubSup>
                <m:e>
                  <m:r>
                    <m:t>D</m:t>
                  </m:r>
                </m:e>
                <m:sub>
                  <m:r>
                    <m:t>k</m:t>
                  </m:r>
                </m:sub>
                <m:sup>
                  <m:r>
                    <m:t>2</m:t>
                  </m:r>
                </m:sup>
              </m:sSubSup>
            </m:den>
          </m:f>
          <m:r>
            <m:rPr>
              <m:sty m:val="p"/>
            </m:rPr>
            <m:t>,</m:t>
          </m:r>
        </m:oMath>
      </m:oMathPara>
    </w:p>
    <w:p>
      <w:pPr>
        <w:pStyle w:val="FirstParagraph"/>
      </w:pPr>
      <m:oMathPara>
        <m:oMathParaPr>
          <m:jc m:val="center"/>
        </m:oMathParaPr>
        <m:oMath>
          <m:sSub>
            <m:e>
              <m:d>
                <m:dPr>
                  <m:begChr m:val="("/>
                  <m:endChr m:val=")"/>
                  <m:sepChr m:val=""/>
                  <m:grow/>
                </m:dPr>
                <m:e>
                  <m:f>
                    <m:fPr>
                      <m:type m:val="bar"/>
                    </m:fPr>
                    <m:num>
                      <m:r>
                        <m:rPr>
                          <m:sty m:val="p"/>
                        </m:rPr>
                        <m:t>∂</m:t>
                      </m:r>
                      <m:sSub>
                        <m:e>
                          <m:r>
                            <m:t>h</m:t>
                          </m:r>
                        </m:e>
                        <m:sub>
                          <m:r>
                            <m:t>k</m:t>
                          </m:r>
                        </m:sub>
                      </m:sSub>
                    </m:num>
                    <m:den>
                      <m:r>
                        <m:rPr>
                          <m:sty m:val="p"/>
                        </m:rPr>
                        <m:t>∂</m:t>
                      </m:r>
                      <m:r>
                        <m:t>p</m:t>
                      </m:r>
                    </m:den>
                  </m:f>
                </m:e>
              </m:d>
            </m:e>
            <m:sub>
              <m:r>
                <m:t>T</m:t>
              </m:r>
            </m:sub>
          </m:sSub>
          <m:r>
            <m:rPr>
              <m:sty m:val="p"/>
            </m:rPr>
            <m:t>=</m:t>
          </m:r>
          <m:sSub>
            <m:e>
              <m:r>
                <m:t>b</m:t>
              </m:r>
            </m:e>
            <m:sub>
              <m:r>
                <m:t>k</m:t>
              </m:r>
            </m:sub>
          </m:sSub>
          <m:r>
            <m:rPr>
              <m:sty m:val="p"/>
            </m:rPr>
            <m:t>,</m:t>
          </m:r>
          <m:r>
            <m:t>  </m:t>
          </m:r>
          <m:sSub>
            <m:e>
              <m:d>
                <m:dPr>
                  <m:begChr m:val="("/>
                  <m:endChr m:val=")"/>
                  <m:sepChr m:val=""/>
                  <m:grow/>
                </m:dPr>
                <m:e>
                  <m:f>
                    <m:fPr>
                      <m:type m:val="bar"/>
                    </m:fPr>
                    <m:num>
                      <m:r>
                        <m:rPr>
                          <m:sty m:val="p"/>
                        </m:rPr>
                        <m:t>∂</m:t>
                      </m:r>
                      <m:sSub>
                        <m:e>
                          <m:r>
                            <m:t>h</m:t>
                          </m:r>
                        </m:e>
                        <m:sub>
                          <m:r>
                            <m:t>k</m:t>
                          </m:r>
                        </m:sub>
                      </m:sSub>
                    </m:num>
                    <m:den>
                      <m:r>
                        <m:rPr>
                          <m:sty m:val="p"/>
                        </m:rPr>
                        <m:t>∂</m:t>
                      </m:r>
                      <m:r>
                        <m:t>T</m:t>
                      </m:r>
                    </m:den>
                  </m:f>
                </m:e>
              </m:d>
            </m:e>
            <m:sub>
              <m:r>
                <m:t>p</m:t>
              </m:r>
            </m:sub>
          </m:sSub>
          <m:r>
            <m:rPr>
              <m:sty m:val="p"/>
            </m:rPr>
            <m:t>=</m:t>
          </m:r>
          <m:sSub>
            <m:e>
              <m:r>
                <m:t>γ</m:t>
              </m:r>
            </m:e>
            <m:sub>
              <m:r>
                <m:t>k</m:t>
              </m:r>
            </m:sub>
          </m:sSub>
          <m:sSub>
            <m:e>
              <m:r>
                <m:t>c</m:t>
              </m:r>
            </m:e>
            <m:sub>
              <m:r>
                <m:t>v</m:t>
              </m:r>
              <m:r>
                <m:rPr>
                  <m:sty m:val="p"/>
                </m:rPr>
                <m:t>,</m:t>
              </m:r>
              <m:r>
                <m:t>k</m:t>
              </m:r>
            </m:sub>
          </m:sSub>
          <m:r>
            <m:rPr>
              <m:sty m:val="p"/>
            </m:rPr>
            <m:t>,</m:t>
          </m:r>
          <m:r>
            <m:t>  </m:t>
          </m:r>
          <m:sSub>
            <m:e>
              <m:r>
                <m:t>c</m:t>
              </m:r>
            </m:e>
            <m:sub>
              <m:r>
                <m:t>p</m:t>
              </m:r>
              <m:r>
                <m:rPr>
                  <m:sty m:val="p"/>
                </m:rPr>
                <m:t>,</m:t>
              </m:r>
              <m:r>
                <m:t>k</m:t>
              </m:r>
            </m:sub>
          </m:sSub>
          <m:r>
            <m:rPr>
              <m:sty m:val="p"/>
            </m:rPr>
            <m:t>=</m:t>
          </m:r>
          <m:sSub>
            <m:e>
              <m:r>
                <m:t>γ</m:t>
              </m:r>
            </m:e>
            <m:sub>
              <m:r>
                <m:t>k</m:t>
              </m:r>
            </m:sub>
          </m:sSub>
          <m:sSub>
            <m:e>
              <m:r>
                <m:t>c</m:t>
              </m:r>
            </m:e>
            <m:sub>
              <m:r>
                <m:t>v</m:t>
              </m:r>
              <m:r>
                <m:rPr>
                  <m:sty m:val="p"/>
                </m:rPr>
                <m:t>,</m:t>
              </m:r>
              <m:r>
                <m:t>k</m:t>
              </m:r>
            </m:sub>
          </m:sSub>
          <m:r>
            <m:rPr>
              <m:sty m:val="p"/>
            </m:rPr>
            <m:t>.</m:t>
          </m:r>
        </m:oMath>
      </m:oMathPara>
    </w:p>
    <w:p>
      <w:pPr>
        <w:pStyle w:val="FirstParagraph"/>
      </w:pPr>
      <w:r>
        <w:t xml:space="preserve">The mixture derivatives at fixed</w:t>
      </w:r>
      <w:r>
        <w:t xml:space="preserve"> </w:t>
      </w:r>
      <m:oMath>
        <m:r>
          <m:t>α</m:t>
        </m:r>
      </m:oMath>
      <w:r>
        <w:t xml:space="preserve"> </w:t>
      </w:r>
      <w:r>
        <w:t xml:space="preserve">follow by volume-fraction weighting, e.g. </w:t>
      </w:r>
      <m:oMath>
        <m:sSub>
          <m:e>
            <m:d>
              <m:dPr>
                <m:begChr m:val="("/>
                <m:endChr m:val=")"/>
                <m:sepChr m:val=""/>
                <m:grow/>
              </m:dPr>
              <m:e>
                <m:r>
                  <m:rPr>
                    <m:sty m:val="p"/>
                  </m:rPr>
                  <m:t>∂</m:t>
                </m:r>
                <m:r>
                  <m:t>ρ</m:t>
                </m:r>
                <m:r>
                  <m:rPr>
                    <m:sty m:val="p"/>
                  </m:rPr>
                  <m:t>/</m:t>
                </m:r>
                <m:r>
                  <m:rPr>
                    <m:sty m:val="p"/>
                  </m:rPr>
                  <m:t>∂</m:t>
                </m:r>
                <m:r>
                  <m:t>p</m:t>
                </m:r>
              </m:e>
            </m:d>
          </m:e>
          <m:sub>
            <m:r>
              <m:t>T</m:t>
            </m:r>
          </m:sub>
        </m:sSub>
        <m:r>
          <m:rPr>
            <m:sty m:val="p"/>
          </m:rPr>
          <m:t>=</m:t>
        </m:r>
        <m:r>
          <m:t>α</m:t>
        </m:r>
        <m:sSub>
          <m:e>
            <m:d>
              <m:dPr>
                <m:begChr m:val="("/>
                <m:endChr m:val=")"/>
                <m:sepChr m:val=""/>
                <m:grow/>
              </m:dPr>
              <m:e>
                <m:r>
                  <m:rPr>
                    <m:sty m:val="p"/>
                  </m:rPr>
                  <m:t>∂</m:t>
                </m:r>
                <m:sSub>
                  <m:e>
                    <m:r>
                      <m:t>ρ</m:t>
                    </m:r>
                  </m:e>
                  <m:sub>
                    <m:r>
                      <m:t>1</m:t>
                    </m:r>
                  </m:sub>
                </m:sSub>
                <m:r>
                  <m:rPr>
                    <m:sty m:val="p"/>
                  </m:rPr>
                  <m:t>/</m:t>
                </m:r>
                <m:r>
                  <m:rPr>
                    <m:sty m:val="p"/>
                  </m:rPr>
                  <m:t>∂</m:t>
                </m:r>
                <m:r>
                  <m:t>p</m:t>
                </m:r>
              </m:e>
            </m:d>
          </m:e>
          <m:sub>
            <m:r>
              <m:t>T</m:t>
            </m:r>
          </m:sub>
        </m:sSub>
        <m:r>
          <m:rPr>
            <m:sty m:val="p"/>
          </m:rPr>
          <m:t>+</m:t>
        </m:r>
        <m:d>
          <m:dPr>
            <m:begChr m:val="("/>
            <m:endChr m:val=")"/>
            <m:sepChr m:val=""/>
            <m:grow/>
          </m:dPr>
          <m:e>
            <m:r>
              <m:t>1</m:t>
            </m:r>
            <m:r>
              <m:rPr>
                <m:sty m:val="p"/>
              </m:rPr>
              <m:t>−</m:t>
            </m:r>
            <m:r>
              <m:t>α</m:t>
            </m:r>
          </m:e>
        </m:d>
        <m:sSub>
          <m:e>
            <m:d>
              <m:dPr>
                <m:begChr m:val="("/>
                <m:endChr m:val=")"/>
                <m:sepChr m:val=""/>
                <m:grow/>
              </m:dPr>
              <m:e>
                <m:r>
                  <m:rPr>
                    <m:sty m:val="p"/>
                  </m:rPr>
                  <m:t>∂</m:t>
                </m:r>
                <m:sSub>
                  <m:e>
                    <m:r>
                      <m:t>ρ</m:t>
                    </m:r>
                  </m:e>
                  <m:sub>
                    <m:r>
                      <m:t>2</m:t>
                    </m:r>
                  </m:sub>
                </m:sSub>
                <m:r>
                  <m:rPr>
                    <m:sty m:val="p"/>
                  </m:rPr>
                  <m:t>/</m:t>
                </m:r>
                <m:r>
                  <m:rPr>
                    <m:sty m:val="p"/>
                  </m:rPr>
                  <m:t>∂</m:t>
                </m:r>
                <m:r>
                  <m:t>p</m:t>
                </m:r>
              </m:e>
            </m:d>
          </m:e>
          <m:sub>
            <m:r>
              <m:t>T</m:t>
            </m:r>
          </m:sub>
        </m:sSub>
      </m:oMath>
      <w:r>
        <w:t xml:space="preserve">. The temperature-recovery chain factor used in the Jacobian is</w:t>
      </w:r>
      <w:r>
        <w:t xml:space="preserve"> </w:t>
      </w:r>
      <m:oMath>
        <m:r>
          <m:rPr>
            <m:sty m:val="p"/>
          </m:rPr>
          <m:t>∂</m:t>
        </m:r>
        <m:r>
          <m:t>T</m:t>
        </m:r>
        <m:r>
          <m:rPr>
            <m:sty m:val="p"/>
          </m:rPr>
          <m:t>/</m:t>
        </m:r>
        <m:r>
          <m:rPr>
            <m:sty m:val="p"/>
          </m:rPr>
          <m:t>∂</m:t>
        </m:r>
        <m:d>
          <m:dPr>
            <m:begChr m:val="("/>
            <m:endChr m:val=")"/>
            <m:sepChr m:val=""/>
            <m:grow/>
          </m:dPr>
          <m:e>
            <m:r>
              <m:t>ρ</m:t>
            </m:r>
            <m:sSub>
              <m:e>
                <m:r>
                  <m:t>h</m:t>
                </m:r>
              </m:e>
              <m:sub>
                <m:r>
                  <m:t>s</m:t>
                </m:r>
              </m:sub>
            </m:sSub>
          </m:e>
        </m:d>
        <m:r>
          <m:rPr>
            <m:sty m:val="p"/>
          </m:rPr>
          <m:t>=</m:t>
        </m:r>
        <m:r>
          <m:t>1</m:t>
        </m:r>
        <m:r>
          <m:rPr>
            <m:sty m:val="p"/>
          </m:rPr>
          <m:t>/</m:t>
        </m:r>
        <m:nary>
          <m:naryPr>
            <m:chr m:val="∑"/>
            <m:limLoc m:val="undOvr"/>
            <m:subHide m:val="off"/>
            <m:supHide m:val="on"/>
          </m:naryPr>
          <m:sub>
            <m:r>
              <m:t>k</m:t>
            </m:r>
          </m:sub>
          <m:sup>
            <m:r>
              <m:t>​</m:t>
            </m:r>
          </m:sup>
          <m:e>
            <m:sSub>
              <m:e>
                <m:r>
                  <m:t>α</m:t>
                </m:r>
              </m:e>
              <m:sub>
                <m:r>
                  <m:t>k</m:t>
                </m:r>
              </m:sub>
            </m:sSub>
          </m:e>
        </m:nary>
        <m:sSub>
          <m:e>
            <m:r>
              <m:t>ρ</m:t>
            </m:r>
          </m:e>
          <m:sub>
            <m:r>
              <m:t>k</m:t>
            </m:r>
          </m:sub>
        </m:sSub>
        <m:sSub>
          <m:e>
            <m:r>
              <m:t>γ</m:t>
            </m:r>
          </m:e>
          <m:sub>
            <m:r>
              <m:t>k</m:t>
            </m:r>
          </m:sub>
        </m:sSub>
        <m:sSub>
          <m:e>
            <m:r>
              <m:t>c</m:t>
            </m:r>
          </m:e>
          <m:sub>
            <m:r>
              <m:t>v</m:t>
            </m:r>
            <m:r>
              <m:rPr>
                <m:sty m:val="p"/>
              </m:rPr>
              <m:t>,</m:t>
            </m:r>
            <m:r>
              <m:t>k</m:t>
            </m:r>
          </m:sub>
        </m:sSub>
      </m:oMath>
      <w:r>
        <w:t xml:space="preserve"> </w:t>
      </w:r>
      <w:r>
        <w:t xml:space="preserve">at frozen</w:t>
      </w:r>
      <w:r>
        <w:t xml:space="preserve"> </w:t>
      </w:r>
      <m:oMath>
        <m:sSub>
          <m:e>
            <m:r>
              <m:t>ρ</m:t>
            </m:r>
          </m:e>
          <m:sub>
            <m:r>
              <m:t>k</m:t>
            </m:r>
          </m:sub>
        </m:sSub>
      </m:oMath>
      <w:r>
        <w:t xml:space="preserve">, consistent with the under-relaxed inversion of Section 3.7.</w:t>
      </w:r>
    </w:p>
    <w:bookmarkEnd w:id="119"/>
    <w:bookmarkStart w:id="120" w:name="X3ba74fd4e8855a910a9537a6f059b8993f101db"/>
    <w:p>
      <w:pPr>
        <w:pStyle w:val="Heading1"/>
      </w:pPr>
      <w:r>
        <w:t xml:space="preserve">Appendix B. Exact two-material NASG Riemann references</w:t>
      </w:r>
    </w:p>
    <w:p>
      <w:pPr>
        <w:pStyle w:val="FirstParagraph"/>
      </w:pPr>
      <w:r>
        <w:t xml:space="preserve">The references for the shock tubes (13, 14) and shock–interface interactions (25, 30, 31) are exact two-material NASG Riemann solutions. Rarefactions follow the NASG isentrope,</w:t>
      </w:r>
    </w:p>
    <w:p>
      <w:pPr>
        <w:pStyle w:val="BodyText"/>
      </w:pPr>
      <m:oMathPara>
        <m:oMathParaPr>
          <m:jc m:val="center"/>
        </m:oMathParaPr>
        <m:oMath>
          <m:r>
            <m:t>p</m:t>
          </m:r>
          <m:r>
            <m:rPr>
              <m:sty m:val="p"/>
            </m:rPr>
            <m:t>+</m:t>
          </m:r>
          <m:r>
            <m:t>Π</m:t>
          </m:r>
          <m:r>
            <m:rPr>
              <m:sty m:val="p"/>
            </m:rPr>
            <m:t>=</m:t>
          </m:r>
          <m:r>
            <m:t>K</m:t>
          </m:r>
          <m:sSup>
            <m:e>
              <m:d>
                <m:dPr>
                  <m:begChr m:val="("/>
                  <m:endChr m:val=")"/>
                  <m:sepChr m:val=""/>
                  <m:grow/>
                </m:dPr>
                <m:e>
                  <m:f>
                    <m:fPr>
                      <m:type m:val="bar"/>
                    </m:fPr>
                    <m:num>
                      <m:r>
                        <m:t>ρ</m:t>
                      </m:r>
                    </m:num>
                    <m:den>
                      <m:r>
                        <m:t>1</m:t>
                      </m:r>
                      <m:r>
                        <m:rPr>
                          <m:sty m:val="p"/>
                        </m:rPr>
                        <m:t>−</m:t>
                      </m:r>
                      <m:r>
                        <m:t>b</m:t>
                      </m:r>
                      <m:r>
                        <m:t>ρ</m:t>
                      </m:r>
                    </m:den>
                  </m:f>
                </m:e>
              </m:d>
            </m:e>
            <m:sup>
              <m:r>
                <m:t>γ</m:t>
              </m:r>
            </m:sup>
          </m:sSup>
          <m:r>
            <m:rPr>
              <m:sty m:val="p"/>
            </m:rPr>
            <m:t>,</m:t>
          </m:r>
          <m:r>
            <m:t>  </m:t>
          </m:r>
          <m:sSup>
            <m:e>
              <m:r>
                <m:t>c</m:t>
              </m:r>
            </m:e>
            <m:sup>
              <m:r>
                <m:t>2</m:t>
              </m:r>
            </m:sup>
          </m:sSup>
          <m:r>
            <m:rPr>
              <m:sty m:val="p"/>
            </m:rPr>
            <m:t>=</m:t>
          </m:r>
          <m:f>
            <m:fPr>
              <m:type m:val="bar"/>
            </m:fPr>
            <m:num>
              <m:r>
                <m:t>γ</m:t>
              </m:r>
              <m:d>
                <m:dPr>
                  <m:begChr m:val="("/>
                  <m:endChr m:val=")"/>
                  <m:sepChr m:val=""/>
                  <m:grow/>
                </m:dPr>
                <m:e>
                  <m:r>
                    <m:t>p</m:t>
                  </m:r>
                  <m:r>
                    <m:rPr>
                      <m:sty m:val="p"/>
                    </m:rPr>
                    <m:t>+</m:t>
                  </m:r>
                  <m:r>
                    <m:t>Π</m:t>
                  </m:r>
                </m:e>
              </m:d>
            </m:num>
            <m:den>
              <m:r>
                <m:t>ρ</m:t>
              </m:r>
              <m:d>
                <m:dPr>
                  <m:begChr m:val="("/>
                  <m:endChr m:val=")"/>
                  <m:sepChr m:val=""/>
                  <m:grow/>
                </m:dPr>
                <m:e>
                  <m:r>
                    <m:t>1</m:t>
                  </m:r>
                  <m:r>
                    <m:rPr>
                      <m:sty m:val="p"/>
                    </m:rPr>
                    <m:t>−</m:t>
                  </m:r>
                  <m:r>
                    <m:t>b</m:t>
                  </m:r>
                  <m:r>
                    <m:t>ρ</m:t>
                  </m:r>
                </m:e>
              </m:d>
            </m:den>
          </m:f>
          <m:r>
            <m:rPr>
              <m:sty m:val="p"/>
            </m:rPr>
            <m:t>,</m:t>
          </m:r>
        </m:oMath>
      </m:oMathPara>
    </w:p>
    <w:p>
      <w:pPr>
        <w:pStyle w:val="FirstParagraph"/>
      </w:pPr>
      <w:r>
        <w:t xml:space="preserve">with the Riemann invariant</w:t>
      </w:r>
      <w:r>
        <w:t xml:space="preserve"> </w:t>
      </w:r>
      <m:oMath>
        <m:r>
          <m:t>u</m:t>
        </m:r>
        <m:r>
          <m:rPr>
            <m:sty m:val="p"/>
          </m:rPr>
          <m:t>±</m:t>
        </m:r>
        <m:r>
          <m:rPr>
            <m:sty m:val="p"/>
          </m:rPr>
          <m:t>∫</m:t>
        </m:r>
        <m:r>
          <m:t>c</m:t>
        </m:r>
        <m:r>
          <m:t> </m:t>
        </m:r>
        <m:r>
          <m:t>d</m:t>
        </m:r>
        <m:r>
          <m:t>ρ</m:t>
        </m:r>
        <m:r>
          <m:rPr>
            <m:sty m:val="p"/>
          </m:rPr>
          <m:t>/</m:t>
        </m:r>
        <m:r>
          <m:t>ρ</m:t>
        </m:r>
      </m:oMath>
      <w:r>
        <w:t xml:space="preserve"> </w:t>
      </w:r>
      <w:r>
        <w:t xml:space="preserve">in closed form; shocks satisfy the NASG Rankine–Hugoniot conditions; the waves are connected across the contact by continuity of pressure and velocity, the star state found by Newton iteration on the pressure. For the shock–interface cases the incident shock is constructed in the driver gas and the interaction solved as a Riemann problem at the interface, evaluated at the final time on the grid. The single-phase shocks (26–28) use the exact Hugoniot state; the mixture shocks (24, 33, 34) the mixture Rankine–Hugoniot relations (Eqs. 57–62 of Ref. [17]) with the thermodynamically-consistent mixture sound speed and the volume fraction held across the shock.</w:t>
      </w:r>
    </w:p>
    <w:bookmarkEnd w:id="120"/>
    <w:bookmarkStart w:id="121" w:name="Xc1ce6b1cf9b8a9a17ebc1ef3fe603675c031d45"/>
    <w:p>
      <w:pPr>
        <w:pStyle w:val="Heading1"/>
      </w:pPr>
      <w:r>
        <w:t xml:space="preserve">Appendix C. Entries of the analytical Jacobian</w:t>
      </w:r>
    </w:p>
    <w:p>
      <w:pPr>
        <w:pStyle w:val="FirstParagraph"/>
      </w:pPr>
      <w:r>
        <w:t xml:space="preserve">[This appendix tabulates the non-zero entries of the 3×3 blocks</w:t>
      </w:r>
      <w:r>
        <w:t xml:space="preserve"> </w:t>
      </w:r>
      <m:oMath>
        <m:sSub>
          <m:e>
            <m:r>
              <m:rPr>
                <m:sty m:val="b"/>
              </m:rPr>
              <m:t>E</m:t>
            </m:r>
          </m:e>
          <m:sub>
            <m:r>
              <m:t>i</m:t>
            </m:r>
          </m:sub>
        </m:sSub>
        <m:r>
          <m:rPr>
            <m:sty m:val="p"/>
          </m:rPr>
          <m:t>,</m:t>
        </m:r>
        <m:sSub>
          <m:e>
            <m:r>
              <m:rPr>
                <m:sty m:val="b"/>
              </m:rPr>
              <m:t>A</m:t>
            </m:r>
          </m:e>
          <m:sub>
            <m:r>
              <m:t>i</m:t>
            </m:r>
          </m:sub>
        </m:sSub>
        <m:r>
          <m:rPr>
            <m:sty m:val="p"/>
          </m:rPr>
          <m:t>,</m:t>
        </m:r>
        <m:sSub>
          <m:e>
            <m:r>
              <m:rPr>
                <m:sty m:val="b"/>
              </m:rPr>
              <m:t>B</m:t>
            </m:r>
          </m:e>
          <m:sub>
            <m:r>
              <m:t>i</m:t>
            </m:r>
          </m:sub>
        </m:sSub>
        <m:r>
          <m:rPr>
            <m:sty m:val="p"/>
          </m:rPr>
          <m:t>,</m:t>
        </m:r>
        <m:sSub>
          <m:e>
            <m:r>
              <m:rPr>
                <m:sty m:val="b"/>
              </m:rPr>
              <m:t>C</m:t>
            </m:r>
          </m:e>
          <m:sub>
            <m:r>
              <m:t>i</m:t>
            </m:r>
          </m:sub>
        </m:sSub>
        <m:r>
          <m:rPr>
            <m:sty m:val="p"/>
          </m:rPr>
          <m:t>,</m:t>
        </m:r>
        <m:sSub>
          <m:e>
            <m:r>
              <m:rPr>
                <m:sty m:val="b"/>
              </m:rPr>
              <m:t>F</m:t>
            </m:r>
          </m:e>
          <m:sub>
            <m:r>
              <m:t>i</m:t>
            </m:r>
          </m:sub>
        </m:sSub>
      </m:oMath>
      <w:r>
        <w:t xml:space="preserve"> </w:t>
      </w:r>
      <w:r>
        <w:t xml:space="preserve">by contribution: transient (diagonal), convective upwind chain (first neighbours), pressure force (up to second neighbours through the fourth-order face weights), and MWI cross-coupling (up to second neighbours through the wide gradient), including the gating indicators for the sound-speed bound and the reconstruction selector. To be included in the final version; the entries follow mechanically from Sections 3.3–3.8 and Appendix A.]</w:t>
      </w:r>
    </w:p>
    <w:bookmarkEnd w:id="121"/>
    <w:bookmarkStart w:id="122" w:name="acknowledgements"/>
    <w:p>
      <w:pPr>
        <w:pStyle w:val="Heading1"/>
      </w:pPr>
      <w:r>
        <w:t xml:space="preserve">Acknowledgements</w:t>
      </w:r>
    </w:p>
    <w:p>
      <w:pPr>
        <w:pStyle w:val="FirstParagraph"/>
      </w:pPr>
      <w:r>
        <w:t xml:space="preserve">[Funding and acknowledgement information to be completed.] The author declares no competing financial interests. The verification data and the solver source code will be made available upon reasonable request [or: at a public repository, DOI to be added].</w:t>
      </w:r>
    </w:p>
    <w:bookmarkEnd w:id="122"/>
    <w:bookmarkStart w:id="123" w:name="references"/>
    <w:p>
      <w:pPr>
        <w:pStyle w:val="Heading1"/>
      </w:pPr>
      <w:r>
        <w:t xml:space="preserve">References</w:t>
      </w:r>
    </w:p>
    <w:p>
      <w:pPr>
        <w:pStyle w:val="FirstParagraph"/>
      </w:pPr>
      <w:r>
        <w:t xml:space="preserve">[1] F.H. Harlow, A.A. Amsden, A numerical fluid dynamics calculation method for all flow speeds, J. Comput. Phys. 8 (1971) 197–213.</w:t>
      </w:r>
    </w:p>
    <w:p>
      <w:pPr>
        <w:pStyle w:val="BodyText"/>
      </w:pPr>
      <w:r>
        <w:t xml:space="preserve">[2] S.V. Patankar, Numerical Heat Transfer and Fluid Flow, Hemisphere, Washington, DC, 1980.</w:t>
      </w:r>
    </w:p>
    <w:p>
      <w:pPr>
        <w:pStyle w:val="BodyText"/>
      </w:pPr>
      <w:r>
        <w:t xml:space="preserve">[3] R.I. Issa, Solution of the implicitly discretised fluid flow equations by operator-splitting, J. Comput. Phys. 62 (1986) 40–65.</w:t>
      </w:r>
    </w:p>
    <w:p>
      <w:pPr>
        <w:pStyle w:val="BodyText"/>
      </w:pPr>
      <w:r>
        <w:t xml:space="preserve">[4] K.C. Karki, S.V. Patankar, Pressure based calculation procedure for viscous flows at all speeds in arbitrary configurations, AIAA J. 27 (1989) 1167–1174.</w:t>
      </w:r>
    </w:p>
    <w:p>
      <w:pPr>
        <w:pStyle w:val="BodyText"/>
      </w:pPr>
      <w:r>
        <w:t xml:space="preserve">[5] I. Demirdžić, Ž. Lilek, M. Perić, A collocated finite volume method for predicting flows at all speeds, Int. J. Numer. Methods Fluids 16 (1993) 1029–1050.</w:t>
      </w:r>
    </w:p>
    <w:p>
      <w:pPr>
        <w:pStyle w:val="BodyText"/>
      </w:pPr>
      <w:r>
        <w:t xml:space="preserve">[6] D.R. van der Heul, C. Vuik, P. Wesseling, A conservative pressure-correction method for flow at all speeds, Comput. Fluids 32 (2003) 1113–1132.</w:t>
      </w:r>
    </w:p>
    <w:p>
      <w:pPr>
        <w:pStyle w:val="BodyText"/>
      </w:pPr>
      <w:r>
        <w:t xml:space="preserve">[7] N. Kwatra, J. Su, J.T. Grétarsson, R. Fedkiw, A method for avoiding the acoustic time step restriction in compressible flow, J. Comput. Phys. 228 (2009) 4146–4161.</w:t>
      </w:r>
    </w:p>
    <w:p>
      <w:pPr>
        <w:pStyle w:val="BodyText"/>
      </w:pPr>
      <w:r>
        <w:t xml:space="preserve">[8] F. Moukalled, L. Mangani, M. Darwish, The Finite Volume Method in Computational Fluid Dynamics, Springer, 2016.</w:t>
      </w:r>
    </w:p>
    <w:p>
      <w:pPr>
        <w:pStyle w:val="BodyText"/>
      </w:pPr>
      <w:r>
        <w:t xml:space="preserve">[9] C.M. Rhie, W.L. Chow, Numerical study of the turbulent flow past an airfoil with trailing edge separation, AIAA J. 21 (1983) 1525–1532.</w:t>
      </w:r>
    </w:p>
    <w:p>
      <w:pPr>
        <w:pStyle w:val="BodyText"/>
      </w:pPr>
      <w:r>
        <w:t xml:space="preserve">[10] S. Majumdar, Role of underrelaxation in momentum interpolation for calculation of flow with nonstaggered grids, Numer. Heat Transf. 13 (1988) 125–132.</w:t>
      </w:r>
    </w:p>
    <w:p>
      <w:pPr>
        <w:pStyle w:val="BodyText"/>
      </w:pPr>
      <w:r>
        <w:t xml:space="preserve">[11] B. Yu, W.-Q. Tao, J.-J. Wei, Y. Kawaguchi, T. Tagawa, H. Ozoe, Discussion on momentum interpolation method for collocated grids of incompressible flow, Numer. Heat Transf. B 42 (2002) 141–166.</w:t>
      </w:r>
    </w:p>
    <w:p>
      <w:pPr>
        <w:pStyle w:val="BodyText"/>
      </w:pPr>
      <w:r>
        <w:t xml:space="preserve">[12] A. Cubero, N. Fueyo, A compact momentum interpolation procedure for unsteady flows and relaxation, Numer. Heat Transf. B 52 (2007) 507–529.</w:t>
      </w:r>
    </w:p>
    <w:p>
      <w:pPr>
        <w:pStyle w:val="BodyText"/>
      </w:pPr>
      <w:r>
        <w:t xml:space="preserve">[13] A. Pascau, Cell face velocity alternatives in a structured colocated grid for the unsteady Navier–Stokes equations, Int. J. Numer. Methods Fluids 65 (2011) 812–833.</w:t>
      </w:r>
    </w:p>
    <w:p>
      <w:pPr>
        <w:pStyle w:val="BodyText"/>
      </w:pPr>
      <w:r>
        <w:t xml:space="preserve">[14] P. Bartholomew, F. Denner, M.H. Abdol-Azis, A. Marquis, B.G.M. van Wachem, Unified formulation of the momentum-weighted interpolation for collocated variable arrangements, J. Comput. Phys. 375 (2018) 177–208.</w:t>
      </w:r>
    </w:p>
    <w:p>
      <w:pPr>
        <w:pStyle w:val="BodyText"/>
      </w:pPr>
      <w:r>
        <w:t xml:space="preserve">[15] C.-N. Xiao, F. Denner, B.G.M. van Wachem, Fully-coupled pressure-based finite-volume framework for the simulation of fluid flows at all speeds in complex geometries, J. Comput. Phys. 346 (2017) 91–130.</w:t>
      </w:r>
    </w:p>
    <w:p>
      <w:pPr>
        <w:pStyle w:val="BodyText"/>
      </w:pPr>
      <w:r>
        <w:t xml:space="preserve">[16] F. Denner, Fully-coupled pressure-based algorithm for compressible flows: linearisation and iterative solution strategies, Comput. Fluids 175 (2018) 53–65.</w:t>
      </w:r>
    </w:p>
    <w:p>
      <w:pPr>
        <w:pStyle w:val="BodyText"/>
      </w:pPr>
      <w:r>
        <w:t xml:space="preserve">[17] F. Denner, C.-N. Xiao, B.G.M. van Wachem, Pressure-based algorithm for compressible interfacial flows with acoustically-conservative interface discretisation, J. Comput. Phys. 367 (2018) 192–234.</w:t>
      </w:r>
    </w:p>
    <w:p>
      <w:pPr>
        <w:pStyle w:val="BodyText"/>
      </w:pPr>
      <w:r>
        <w:t xml:space="preserve">[18] F. Denner, B.G.M. van Wachem, Corrigendum to</w:t>
      </w:r>
      <w:r>
        <w:t xml:space="preserve"> </w:t>
      </w:r>
      <w:r>
        <w:t xml:space="preserve">“</w:t>
      </w:r>
      <w:r>
        <w:t xml:space="preserve">Pressure-based algorithm for compressible interfacial flows with acoustically-conservative interface discretisation</w:t>
      </w:r>
      <w:r>
        <w:t xml:space="preserve">”</w:t>
      </w:r>
      <w:r>
        <w:t xml:space="preserve"> </w:t>
      </w:r>
      <w:r>
        <w:t xml:space="preserve">[J. Comput. Phys. 367 (2018) 192–234], J. Comput. Phys. 381 (2019) 290–291.</w:t>
      </w:r>
    </w:p>
    <w:p>
      <w:pPr>
        <w:pStyle w:val="BodyText"/>
      </w:pPr>
      <w:r>
        <w:t xml:space="preserve">[19] F. Denner, F. Evrard, B.G.M. van Wachem, Conservative finite-volume framework and pressure-based algorithm for flows of incompressible, ideal-gas and real-gas fluids at all speeds, J. Comput. Phys. 409 (2020) 109348.</w:t>
      </w:r>
    </w:p>
    <w:p>
      <w:pPr>
        <w:pStyle w:val="BodyText"/>
      </w:pPr>
      <w:r>
        <w:t xml:space="preserve">[20] F. Denner, B.G.M. van Wachem, A unified algorithm for interfacial flows with incompressible and compressible fluids, in: Advances in Fluid Mechanics: Modelling and Simulations, Springer, Singapore, 2022.</w:t>
      </w:r>
    </w:p>
    <w:p>
      <w:pPr>
        <w:pStyle w:val="BodyText"/>
      </w:pPr>
      <w:r>
        <w:t xml:space="preserve">[21] R. Abgrall, How to prevent pressure oscillations in multicomponent flow calculations: a quasi conservative approach, J. Comput. Phys. 125 (1996) 150–160.</w:t>
      </w:r>
    </w:p>
    <w:p>
      <w:pPr>
        <w:pStyle w:val="BodyText"/>
      </w:pPr>
      <w:r>
        <w:t xml:space="preserve">[22] K.-M. Shyue, An efficient shock-capturing algorithm for compressible multicomponent problems, J. Comput. Phys. 142 (1998) 208–242.</w:t>
      </w:r>
    </w:p>
    <w:p>
      <w:pPr>
        <w:pStyle w:val="BodyText"/>
      </w:pPr>
      <w:r>
        <w:t xml:space="preserve">[23] R. Saurel, R. Abgrall, A multiphase Godunov method for compressible multifluid and multiphase flows, J. Comput. Phys. 150 (1999) 425–467.</w:t>
      </w:r>
    </w:p>
    <w:p>
      <w:pPr>
        <w:pStyle w:val="BodyText"/>
      </w:pPr>
      <w:r>
        <w:t xml:space="preserve">[24] A.K. Kapila, R. Menikoff, J.B. Bdzil, S.F. Son, D.S. Stewart, Two-phase modeling of deflagration-to-detonation transition in granular materials: reduced equations, Phys. Fluids 13 (2001) 3002–3024.</w:t>
      </w:r>
    </w:p>
    <w:p>
      <w:pPr>
        <w:pStyle w:val="BodyText"/>
      </w:pPr>
      <w:r>
        <w:t xml:space="preserve">[25] G. Allaire, S. Clerc, S. Kokh, A five-equation model for the simulation of interfaces between compressible fluids, J. Comput. Phys. 181 (2002) 577–616.</w:t>
      </w:r>
    </w:p>
    <w:p>
      <w:pPr>
        <w:pStyle w:val="BodyText"/>
      </w:pPr>
      <w:r>
        <w:t xml:space="preserve">[26] A. Murrone, H. Guillard, A five equation reduced model for compressible two phase flow problems, J. Comput. Phys. 202 (2005) 664–698.</w:t>
      </w:r>
    </w:p>
    <w:p>
      <w:pPr>
        <w:pStyle w:val="BodyText"/>
      </w:pPr>
      <w:r>
        <w:t xml:space="preserve">[27] E. Johnsen, T. Colonius, Implementation of WENO schemes in compressible multicomponent flow problems, J. Comput. Phys. 219 (2006) 715–732.</w:t>
      </w:r>
    </w:p>
    <w:p>
      <w:pPr>
        <w:pStyle w:val="BodyText"/>
      </w:pPr>
      <w:r>
        <w:t xml:space="preserve">[28] V. Coralic, T. Colonius, Finite-volume WENO scheme for viscous compressible multicomponent flows, J. Comput. Phys. 274 (2014) 95–121.</w:t>
      </w:r>
    </w:p>
    <w:p>
      <w:pPr>
        <w:pStyle w:val="BodyText"/>
      </w:pPr>
      <w:r>
        <w:t xml:space="preserve">[29] O. Le Métayer, R. Saurel, The Noble-Abel stiffened-gas equation of state, Phys. Fluids 28 (2016) 046102.</w:t>
      </w:r>
    </w:p>
    <w:p>
      <w:pPr>
        <w:pStyle w:val="BodyText"/>
      </w:pPr>
      <w:r>
        <w:t xml:space="preserve">[30] A.B. Wood, A Textbook of Sound, G. Bell and Sons, London, 1930.</w:t>
      </w:r>
    </w:p>
    <w:p>
      <w:pPr>
        <w:pStyle w:val="BodyText"/>
      </w:pPr>
      <w:r>
        <w:t xml:space="preserve">[31] G.B. Wallis, One-dimensional Two-phase Flow, McGraw-Hill, New York, 1969.</w:t>
      </w:r>
    </w:p>
    <w:p>
      <w:pPr>
        <w:pStyle w:val="BodyText"/>
      </w:pPr>
      <w:r>
        <w:t xml:space="preserve">[32] B. van Leer, Towards the ultimate conservative difference scheme. V. A second-order sequel to Godunov’s method, J. Comput. Phys. 32 (1979) 101–136.</w:t>
      </w:r>
    </w:p>
    <w:p>
      <w:pPr>
        <w:pStyle w:val="BodyText"/>
      </w:pPr>
      <w:r>
        <w:t xml:space="preserve">[33] A. Harten, High resolution schemes for hyperbolic conservation laws, J. Comput. Phys. 49 (1983) 357–393.</w:t>
      </w:r>
    </w:p>
    <w:p>
      <w:pPr>
        <w:pStyle w:val="BodyText"/>
      </w:pPr>
      <w:r>
        <w:t xml:space="preserve">[34] P.K. Sweby, High resolution schemes using flux limiters for hyperbolic conservation laws, SIAM J. Numer. Anal. 21 (1984) 995–1011.</w:t>
      </w:r>
    </w:p>
    <w:p>
      <w:pPr>
        <w:pStyle w:val="BodyText"/>
      </w:pPr>
      <w:r>
        <w:t xml:space="preserve">[35] A. Jameson, W. Schmidt, E. Turkel, Numerical solution of the Euler equations by finite volume methods using Runge–Kutta time stepping schemes, AIAA Paper 81-1259, 1981.</w:t>
      </w:r>
    </w:p>
    <w:p>
      <w:pPr>
        <w:pStyle w:val="BodyText"/>
      </w:pPr>
      <w:r>
        <w:t xml:space="preserve">[36] C.W. Gear, Numerical Initial Value Problems in Ordinary Differential Equations, Prentice-Hall, Englewood Cliffs, NJ, 1971.</w:t>
      </w:r>
    </w:p>
    <w:p>
      <w:pPr>
        <w:pStyle w:val="BodyText"/>
      </w:pPr>
      <w:r>
        <w:t xml:space="preserve">[37] E.F. Toro, Riemann Solvers and Numerical Methods for Fluid Dynamics, third ed., Springer, Berlin, 2009.</w:t>
      </w:r>
    </w:p>
    <w:p>
      <w:pPr>
        <w:pStyle w:val="BodyText"/>
      </w:pPr>
      <w:r>
        <w:t xml:space="preserve">[38] R. Saurel, F. Petitpas, R.A. Berry, Simple and efficient relaxation methods for interfaces separating compressible fluids, cavitating flows and shocks in multiphase mixtures, J. Comput. Phys. 228 (2009) 1678–1712.</w:t>
      </w:r>
    </w:p>
    <w:p>
      <w:pPr>
        <w:pStyle w:val="BodyText"/>
      </w:pPr>
      <w:r>
        <w:t xml:space="preserve">[39] A. Zein, M. Hantke, G. Warnecke, Modeling phase transition for compressible two-phase flows applied to metastable liquids, J. Comput. Phys. 229 (2010) 2964–2998.</w:t>
      </w:r>
    </w:p>
    <w:p>
      <w:pPr>
        <w:pStyle w:val="BodyText"/>
      </w:pPr>
      <w:r>
        <w:t xml:space="preserve">[40] C.E. Brennen, Cavitation and Bubble Dynamics, Oxford University Press, New York, 1995.</w:t>
      </w:r>
    </w:p>
    <w:p>
      <w:pPr>
        <w:pStyle w:val="BodyText"/>
      </w:pPr>
      <w:r>
        <w:t xml:space="preserve">[41] Y. Moguen, P. Bruel, E. Dick, A combined momentum-interpolation and advection upstream splitting pressure-correction algorithm for simulation of convective and acoustic transport at all levels of Mach number, J. Comput. Phys. 384 (2019) 16–41.</w:t>
      </w:r>
    </w:p>
    <w:p>
      <w:pPr>
        <w:pStyle w:val="BodyText"/>
      </w:pPr>
      <w:r>
        <w:t xml:space="preserve">[42] F. Denner, S. Schenke, Modeling acoustic emissions and shock formation of cavitation bubbles, Phys. Fluids 35 (2023) 012114.</w:t>
      </w:r>
    </w:p>
    <w:p>
      <w:pPr>
        <w:pStyle w:val="BodyText"/>
      </w:pPr>
      <w:r>
        <w:t xml:space="preserve">[43] R. Janodet, B.G.M. van Wachem, F. Denner, A fully-coupled algorithm with implicit surface tension treatment for interfacial flows with large density ratios, J. Comput. Phys. (2025), in press.</w:t>
      </w:r>
    </w:p>
    <w:p>
      <w:pPr>
        <w:pStyle w:val="BodyText"/>
      </w:pPr>
      <w:r>
        <w:t xml:space="preserve">[44] F. Xiao, Y. Honma, T. Kono, A simple algebraic interface capturing scheme using hyperbolic tangent function, Int. J. Numer. Methods Fluids 48 (2005) 1023–1040.</w:t>
      </w:r>
    </w:p>
    <w:p>
      <w:pPr>
        <w:pStyle w:val="BodyText"/>
      </w:pPr>
      <w:r>
        <w:t xml:space="preserve">[45] K.-M. Shyue, F. Xiao, An Eulerian interface sharpening algorithm for compressible two-phase flow: the algebraic THINC approach, J. Comput. Phys. 268 (2014) 326–354.</w:t>
      </w:r>
    </w:p>
    <w:p>
      <w:pPr>
        <w:pStyle w:val="BodyText"/>
      </w:pPr>
      <w:r>
        <w:t xml:space="preserve">[46] Z. Sun, S. Inaba, F. Xiao, Boundary variation diminishing (BVD) reconstruction: a new approach to improve Godunov schemes, J. Comput. Phys. 322 (2016) 309–325.</w:t>
      </w:r>
    </w:p>
    <w:p>
      <w:pPr>
        <w:pStyle w:val="BodyText"/>
      </w:pPr>
      <w:r>
        <w:t xml:space="preserve">[47] R.E. Bank, W.M. Coughran, W. Fichtner, E.H. Grosse, D.J. Rose, R.K. Smith, Transient simulation of silicon devices and circuits, IEEE Trans. Comput.-Aided Des. 4 (1985) 436–451.</w:t>
      </w:r>
    </w:p>
    <w:bookmarkEnd w:id="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rFonts w:asciiTheme="minorHAnsi" w:cstheme="minorBidi" w:eastAsiaTheme="minorHAnsi" w:hAnsiTheme="minorHAnsi"/>
        <w:sz w:val="24"/>
        <w:szCs w:val="24"/>
        <w:lang w:bidi="ar-SA" w:eastAsia="en-US" w:val="en-US"/>
      </w:rPr>
    </w:rPrDefault>
    <w:pPrDefault>
      <w:pPr>
        <w:spacing w:after="1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90" w:before="90"/>
    </w:pPr>
  </w:style>
  <w:style w:customStyle="1" w:styleId="FirstParagraph" w:type="paragraph">
    <w:name w:val="First Paragraph"/>
    <w:basedOn w:val="BodyText"/>
    <w:next w:val="BodyText"/>
    <w:qFormat/>
  </w:style>
  <w:style w:customStyle="1" w:styleId="Compact" w:type="paragraph">
    <w:name w:val="Compact"/>
    <w:basedOn w:val="BodyText"/>
    <w:qFormat/>
    <w:pPr>
      <w:spacing w:after="18" w:before="18"/>
    </w:pPr>
  </w:style>
  <w:style w:styleId="Title" w:type="paragraph">
    <w:name w:val="Title"/>
    <w:basedOn w:val="Normal"/>
    <w:next w:val="BodyText"/>
    <w:qFormat/>
    <w:pPr>
      <w:keepNext/>
      <w:keepLines/>
      <w:spacing w:after="120" w:before="24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120" w:before="12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150"/>
      <w:jc w:val="center"/>
    </w:pPr>
    <w:rPr>
      <w:b/>
      <w:color w:val="000000"/>
      <w:sz w:val="20"/>
      <w:szCs w:val="20"/>
    </w:rPr>
  </w:style>
  <w:style w:customStyle="1" w:styleId="Abstract" w:type="paragraph">
    <w:name w:val="Abstract"/>
    <w:basedOn w:val="Normal"/>
    <w:next w:val="BodyText"/>
    <w:qFormat/>
    <w:pPr>
      <w:keepNext/>
      <w:keepLines/>
      <w:spacing w:after="150" w:before="5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24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1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1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100"/>
      <w:outlineLvl w:val="3"/>
    </w:pPr>
    <w:rPr>
      <w:rFonts w:asciiTheme="majorHAnsi" w:cstheme="majorBidi" w:eastAsiaTheme="majorEastAsia" w:hAnsiTheme="majorHAnsi"/>
      <w:bCs/>
      <w:i/>
      <w:color w:val="000000"/>
      <w:sz w:val="24"/>
      <w:szCs w:val="24"/>
    </w:rPr>
  </w:style>
  <w:style w:styleId="Heading5" w:type="paragraph">
    <w:name w:val="Heading 5"/>
    <w:basedOn w:val="Normal"/>
    <w:next w:val="BodyText"/>
    <w:uiPriority w:val="9"/>
    <w:unhideWhenUsed/>
    <w:qFormat/>
    <w:pPr>
      <w:keepNext/>
      <w:keepLines/>
      <w:spacing w:after="0" w:before="1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1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1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1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1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50" w:before="5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50" w:before="5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6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12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6" Target="media/rId86.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62" Target="media/rId62.png" /><Relationship Type="http://schemas.openxmlformats.org/officeDocument/2006/relationships/image" Id="rId65" Target="media/rId6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2026-07-13T23:43:22Z</dcterms:created>
  <dcterms:modified xsi:type="dcterms:W3CDTF">2026-07-13T23:43:22Z</dcterms:modified>
</cp:coreProperties>
</file>

<file path=docProps/custom.xml><?xml version="1.0" encoding="utf-8"?>
<Properties xmlns="http://schemas.openxmlformats.org/officeDocument/2006/custom-properties" xmlns:vt="http://schemas.openxmlformats.org/officeDocument/2006/docPropsVTypes"/>
</file>