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umerical-method"/>
    <w:p>
      <w:pPr>
        <w:pStyle w:val="Heading1"/>
      </w:pPr>
      <w:r>
        <w:t xml:space="preserve">Numerical Method</w:t>
      </w:r>
    </w:p>
    <w:bookmarkStart w:id="20" w:name="finite-volume-framework"/>
    <w:p>
      <w:pPr>
        <w:pStyle w:val="Heading2"/>
      </w:pPr>
      <w:r>
        <w:t xml:space="preserve">Finite-volume framework</w:t>
      </w:r>
    </w:p>
    <w:p>
      <w:pPr>
        <w:pStyle w:val="FirstParagraph"/>
      </w:pPr>
      <w:r>
        <w:t xml:space="preserve">We solve the two-dimensional compressible Euler equations on an unstructured</w:t>
      </w:r>
      <w:r>
        <w:t xml:space="preserve"> </w:t>
      </w:r>
      <w:r>
        <w:t xml:space="preserve">triangular mesh with a cell-centred finite-volume method. For each cell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semi-discrete update reads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  <m:scr m:val="script"/>
                </m:rPr>
                <m:t>F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f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W</m:t>
                  </m:r>
                </m:e>
                <m:sub>
                  <m:r>
                    <m:t>f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t>f</m:t>
                  </m:r>
                </m:sub>
              </m:sSub>
            </m:e>
          </m:d>
          <m:r>
            <m:t> </m:t>
          </m:r>
          <m:d>
            <m:dPr>
              <m:begChr m:val="|"/>
              <m:endChr m:val="|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cell-averaged conservative state,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ρ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the primitive state,</w:t>
      </w:r>
      <w: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outward face normal,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the face</w:t>
      </w:r>
      <w:r>
        <w:t xml:space="preserve"> </w:t>
      </w:r>
      <w:r>
        <w:t xml:space="preserve">length. The numerical flux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is a fixed rotated-Roe hybrid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 in this work; the contribution is confined to the</w:t>
      </w:r>
      <w:r>
        <w:t xml:space="preserve"> </w:t>
      </w:r>
      <w:r>
        <w:t xml:space="preserve">reconstruction of the face states</w:t>
      </w:r>
      <w:r>
        <w:t xml:space="preserve"> </w:t>
      </w:r>
      <m:oMath>
        <m:sSubSup>
          <m:e>
            <m:r>
              <m:t>W</m:t>
            </m:r>
          </m:e>
          <m:sub>
            <m:r>
              <m:t>f</m:t>
            </m:r>
          </m:sub>
          <m:sup>
            <m:r>
              <m:t>L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f</m:t>
            </m:r>
          </m:sub>
          <m:sup>
            <m:r>
              <m:t>R</m:t>
            </m:r>
          </m:sup>
        </m:sSubSup>
      </m:oMath>
      <w:r>
        <w:t xml:space="preserve">. Time integration uses a</w:t>
      </w:r>
      <w:r>
        <w:t xml:space="preserve"> </w:t>
      </w:r>
      <w:r>
        <w:t xml:space="preserve">strong-stability-preserving Runge–Kutta scheme (SSP-RK2/RK3).</w:t>
      </w:r>
    </w:p>
    <w:bookmarkEnd w:id="20"/>
    <w:bookmarkStart w:id="21" w:name="linear-least-squares-gradient"/>
    <w:p>
      <w:pPr>
        <w:pStyle w:val="Heading2"/>
      </w:pPr>
      <w:r>
        <w:t xml:space="preserve">Linear least-squares gradient</w:t>
      </w:r>
    </w:p>
    <w:p>
      <w:pPr>
        <w:pStyle w:val="FirstParagraph"/>
      </w:pPr>
      <w:r>
        <w:t xml:space="preserve">A single first-order (P1) gradient is computed per cell by weighted least</w:t>
      </w:r>
      <w:r>
        <w:t xml:space="preserve"> </w:t>
      </w:r>
      <w:r>
        <w:t xml:space="preserve">squares over the face/vertex neighbour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sSubSup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  <m:scr m:val="sans-serif"/>
                        </m:rPr>
                        <m:t>T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second derivatives (Hessian) are used, so the per-step cost matches a</w:t>
      </w:r>
      <w:r>
        <w:t xml:space="preserve"> </w:t>
      </w:r>
      <w:r>
        <w:t xml:space="preserve">standard linear scheme. Mesh non-orthogonality and skewness are accounted for</w:t>
      </w:r>
      <w:r>
        <w:t xml:space="preserve"> </w:t>
      </w:r>
      <w:r>
        <w:t xml:space="preserve">geometrically through the true centroid offsets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vertex offsets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used in the limiter below.</w:t>
      </w:r>
    </w:p>
    <w:p>
      <w:pPr>
        <w:pStyle w:val="BodyText"/>
      </w:pPr>
      <w:r>
        <w:t xml:space="preserve">The unlimited face value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f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L</m:t>
              </m:r>
            </m:sub>
          </m:sSub>
          <m:r>
            <m:t> </m:t>
          </m:r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bookmarkEnd w:id="21"/>
    <w:bookmarkStart w:id="22" w:name="vertex-local-maximum-principle-limiter"/>
    <w:p>
      <w:pPr>
        <w:pStyle w:val="Heading2"/>
      </w:pPr>
      <w:r>
        <w:t xml:space="preserve">Vertex local-maximum-principle limiter</w:t>
      </w:r>
    </w:p>
    <w:p>
      <w:pPr>
        <w:pStyle w:val="FirstParagraph"/>
      </w:pPr>
      <w:r>
        <w:t xml:space="preserve">Monotonicity is enforced by a vertex-based local-maximum-principle (LMP)</w:t>
      </w:r>
      <w:r>
        <w:t xml:space="preserve"> </w:t>
      </w:r>
      <w:r>
        <w:t xml:space="preserve">limiter. For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 reconstructed value is required to</w:t>
      </w:r>
      <w:r>
        <w:t xml:space="preserve"> </w:t>
      </w:r>
      <w:r>
        <w:t xml:space="preserve">lie within the min/max of the cells sharing that vertex,</w:t>
      </w:r>
      <w:r>
        <w:t xml:space="preserve"> 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r>
              <m:rPr>
                <m:sty m:val="p"/>
              </m:rPr>
              <m:t>min</m:t>
            </m:r>
          </m:sup>
        </m:sSubSup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ψ</m:t>
        </m:r>
        <m:r>
          <m:t> </m:t>
        </m:r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​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sSubSup>
          <m:e>
            <m:r>
              <m:t>W</m:t>
            </m:r>
          </m:e>
          <m:sub>
            <m:r>
              <m:t>v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.</w:t>
      </w:r>
      <w:r>
        <w:t xml:space="preserve"> </w:t>
      </w:r>
      <w:r>
        <w:t xml:space="preserve">Solving for the largest admissible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v</m:t>
                        </m:r>
                      </m:sub>
                      <m:sup>
                        <m:r>
                          <m:rPr>
                            <m:sty m:val="p"/>
                          </m:rPr>
                          <m:t>max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v</m:t>
                        </m:r>
                      </m:sub>
                      <m:sup>
                        <m:r>
                          <m:rPr>
                            <m:sty m:val="p"/>
                          </m:rPr>
                          <m:t>min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capped at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Because the reconstructed value never exceeds the</w:t>
      </w:r>
      <w:r>
        <w:t xml:space="preserve"> </w:t>
      </w:r>
      <w:r>
        <w:t xml:space="preserve">neighbouring extrema, no new extrema are created and the scheme is monotone even</w:t>
      </w:r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approaches the compressive limit</w:t>
      </w:r>
      <w:r>
        <w:t xml:space="preserve"> </w:t>
      </w:r>
      <m:oMath>
        <m:r>
          <m:t>2</m:t>
        </m:r>
      </m:oMath>
      <w:r>
        <w:t xml:space="preserve">. This LMP wrapper is the core of</w:t>
      </w:r>
      <w:r>
        <w:t xml:space="preserve"> </w:t>
      </w:r>
      <w:r>
        <w:t xml:space="preserve">the T-MLP-u construction.</w:t>
      </w:r>
    </w:p>
    <w:p>
      <w:pPr>
        <w:pStyle w:val="BodyText"/>
      </w:pPr>
      <w:r>
        <w:t xml:space="preserve">Three admissibility regimes are distinguished and used throughout: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ψ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(I) bounded compression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ψ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(II) smooth-extremum un-clip</m:t>
              </m:r>
            </m:lim>
          </m:limLow>
          <m:r>
            <m:t> </m:t>
          </m:r>
          <m:r>
            <m:rPr>
              <m:sty m:val="p"/>
            </m:rPr>
            <m:t>|</m:t>
          </m:r>
          <m:r>
            <m:t> </m:t>
          </m:r>
          <m:limLow>
            <m:e>
              <m:limLow>
                <m:e>
                  <m:r>
                    <m:t>ψ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(III) anti-diffusion: excluded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Regimes (I) and (II) are admissible; regime (III), reconstruction beyond the</w:t>
      </w:r>
      <w:r>
        <w:t xml:space="preserve"> </w:t>
      </w:r>
      <w:r>
        <w:t xml:space="preserve">bound (injected anti-diffusion), is never used.</w:t>
      </w:r>
    </w:p>
    <w:bookmarkEnd w:id="22"/>
    <w:bookmarkStart w:id="23" w:name="feature-detection"/>
    <w:p>
      <w:pPr>
        <w:pStyle w:val="Heading2"/>
      </w:pPr>
      <w:r>
        <w:t xml:space="preserve">Feature detection</w:t>
      </w:r>
    </w:p>
    <w:p>
      <w:pPr>
        <w:pStyle w:val="FirstParagraph"/>
      </w:pPr>
      <w:r>
        <w:rPr>
          <w:b/>
          <w:bCs/>
        </w:rPr>
        <w:t xml:space="preserve">Smoothness gate.</w:t>
      </w:r>
      <w:r>
        <w:t xml:space="preserve"> </w:t>
      </w:r>
      <w:r>
        <w:t xml:space="preserve">A cell is flagged as a genuine discontinuity only when both</w:t>
      </w:r>
      <w:r>
        <w:t xml:space="preserve"> </w:t>
      </w:r>
      <w:r>
        <w:t xml:space="preserve">the normalized least-squares residual and the stencil bimodality gap exceed a</w:t>
      </w:r>
      <w:r>
        <w:t xml:space="preserve"> </w:t>
      </w:r>
      <w:r>
        <w:t xml:space="preserve">threshold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∇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Δ</m:t>
                      </m:r>
                    </m:e>
                  </m:nary>
                  <m:sSubSup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sub>
                  </m:sSub>
                </m:e>
              </m:d>
            </m:num>
            <m:den>
              <m:sSub>
                <m:e>
                  <m:r>
                    <m:t>ϕ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sharp</m:t>
          </m:r>
          <m:r>
            <m:rPr>
              <m:sty m:val="p"/>
            </m:rPr>
            <m:t>⇔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θ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Δ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ϕ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ϕ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b>
        </m:sSub>
      </m:oMath>
      <w:r>
        <w:t xml:space="preserve"> </w:t>
      </w:r>
      <w:r>
        <w:t xml:space="preserve">the sorted</w:t>
      </w:r>
      <w:r>
        <w:t xml:space="preserve"> </w:t>
      </w:r>
      <w:r>
        <w:t xml:space="preserve">stencil values. The residual measures non-planarity, the gap measures</w:t>
      </w:r>
      <w:r>
        <w:t xml:space="preserve"> </w:t>
      </w:r>
      <w:r>
        <w:t xml:space="preserve">bimodality; together they separate a true step from smooth curvature.</w:t>
      </w:r>
    </w:p>
    <w:p>
      <w:pPr>
        <w:pStyle w:val="BodyText"/>
      </w:pPr>
      <w:r>
        <w:rPr>
          <w:b/>
          <w:bCs/>
        </w:rPr>
        <w:t xml:space="preserve">Physical gates.</w:t>
      </w:r>
      <w:r>
        <w:t xml:space="preserve"> </w:t>
      </w:r>
      <w:r>
        <w:t xml:space="preserve">Using the dilatation</w:t>
      </w:r>
      <w:r>
        <w:t xml:space="preserve"> </w:t>
      </w:r>
      <m:oMath>
        <m:r>
          <m:t>ϑ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vorticity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t>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t>u</m:t>
        </m:r>
      </m:oMath>
      <w:r>
        <w:t xml:space="preserve">, a compression-dominance indicator</w:t>
      </w:r>
      <w:r>
        <w:t xml:space="preserve"> </w:t>
      </w:r>
      <w:r>
        <w:t xml:space="preserve">and a relative pressure jump are formed,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ϑ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max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ϑ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from which a shock gate and a non-shock rotation gate are defined with a</w:t>
      </w:r>
      <w:r>
        <w:t xml:space="preserve"> </w:t>
      </w:r>
      <w:r>
        <w:t xml:space="preserve">smoothstep blend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t> </m:t>
          </m:r>
          <m:r>
            <m:rPr>
              <m:sty m:val="p"/>
              <m:scr m:val="script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pressure-jump factor is essential: a slip line is a contact</w:t>
      </w:r>
      <w:r>
        <w:t xml:space="preserve"> </w:t>
      </w:r>
      <w:r>
        <w:t xml:space="preserve">(</w:t>
      </w:r>
      <m:oMath>
        <m:r>
          <m:t>P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0</m:t>
        </m:r>
      </m:oMath>
      <w:r>
        <w:t xml:space="preserve">) whereas a shock has large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distinguishes a rolling</w:t>
      </w:r>
      <w:r>
        <w:t xml:space="preserve"> </w:t>
      </w:r>
      <w:r>
        <w:t xml:space="preserve">shear layer from a true shock and prevents vortices from being misclassified.</w:t>
      </w:r>
    </w:p>
    <w:bookmarkEnd w:id="23"/>
    <w:bookmarkStart w:id="24" w:name="component-wise-limiter"/>
    <w:p>
      <w:pPr>
        <w:pStyle w:val="Heading2"/>
      </w:pPr>
      <w:r>
        <w:t xml:space="preserve">Component-wise limiter</w:t>
      </w:r>
    </w:p>
    <w:p>
      <w:pPr>
        <w:pStyle w:val="FirstParagraph"/>
      </w:pPr>
      <w:r>
        <w:t xml:space="preserve">With the far-upwind ratio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t>​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, two</w:t>
      </w:r>
      <w:r>
        <w:t xml:space="preserve"> </w:t>
      </w:r>
      <w:r>
        <w:t xml:space="preserve">base limiters are used: the smooth TVD limiter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r</m:t>
            </m:r>
          </m:e>
        </m:d>
      </m:oMath>
      <w:r>
        <w:t xml:space="preserve"> </w:t>
      </w:r>
      <w:r>
        <w:t xml:space="preserve">and a compressive STACS-type limiter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ψ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2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C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t xml:space="preserve">is the superbee limiter and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 compression parameter.</w:t>
      </w:r>
      <w:r>
        <w:t xml:space="preserve"> </w:t>
      </w:r>
      <w:r>
        <w:t xml:space="preserve">The target limiter is assigned per variable,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(shear/vortex treatment below)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v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contact gate. A shock cap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κ</m:t>
        </m:r>
        <m:r>
          <m:t> 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keeps all</w:t>
      </w:r>
      <w:r>
        <w:t xml:space="preserve"> </w:t>
      </w:r>
      <w:r>
        <w:t xml:space="preserve">variables conservative across shocks, suppressing carbuncle and post-shock</w:t>
      </w:r>
      <w:r>
        <w:t xml:space="preserve"> </w:t>
      </w:r>
      <w:r>
        <w:t xml:space="preserve">oscillations.</w:t>
      </w:r>
    </w:p>
    <w:bookmarkEnd w:id="24"/>
    <w:bookmarkStart w:id="25" w:name="X1ed5268f4e11f7ca937bfc411321fbb27e41fe4"/>
    <w:p>
      <w:pPr>
        <w:pStyle w:val="Heading2"/>
      </w:pPr>
      <w:r>
        <w:t xml:space="preserve">Shear-layer compression and vortex-core un-clipping</w:t>
      </w:r>
    </w:p>
    <w:p>
      <w:pPr>
        <w:pStyle w:val="FirstParagraph"/>
      </w:pPr>
      <w:r>
        <w:t xml:space="preserve">For the velocity components the limiter exploits the admissible compressive</w:t>
      </w:r>
      <w:r>
        <w:t xml:space="preserve"> </w:t>
      </w:r>
      <w:r>
        <w:t xml:space="preserve">range while remaining monotone. The shear-layer compression blends the</w:t>
      </w:r>
      <w:r>
        <w:t xml:space="preserve"> </w:t>
      </w:r>
      <w:r>
        <w:t xml:space="preserve">low-dissipation smooth value toward the compressive limiter in proportion to the</w:t>
      </w:r>
      <w:r>
        <w:t xml:space="preserve"> </w:t>
      </w:r>
      <w:r>
        <w:t xml:space="preserve">rotation gate,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t</m:t>
              </m:r>
            </m:sub>
            <m:sup>
              <m:r>
                <m:t> 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d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r>
            <m:t> 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β</m:t>
          </m:r>
          <m:r>
            <m:t> </m:t>
          </m:r>
          <m:sSub>
            <m:e>
              <m:r>
                <m:t>c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ψ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(regime I): the shear sheet is sharpened</w:t>
      </w:r>
      <w:r>
        <w:t xml:space="preserve"> </w:t>
      </w:r>
      <w:r>
        <w:t xml:space="preserve">toward its physical thin-vortex-sheet limit without creating new extrema.</w:t>
      </w:r>
    </w:p>
    <w:p>
      <w:pPr>
        <w:pStyle w:val="BodyText"/>
      </w:pPr>
      <w:r>
        <w:t xml:space="preserve">Because a developing Kelvin–Helmholtz core is a smooth local extremum, the LMP</w:t>
      </w:r>
      <w:r>
        <w:t xml:space="preserve"> </w:t>
      </w:r>
      <w:r>
        <w:t xml:space="preserve">bound drives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t>​</m:t>
        </m:r>
        <m:r>
          <m:rPr>
            <m:sty m:val="p"/>
          </m:rPr>
          <m:t>→</m:t>
        </m:r>
        <m:r>
          <m:t>​</m:t>
        </m:r>
        <m:r>
          <m:t>0</m:t>
        </m:r>
      </m:oMath>
      <w:r>
        <w:t xml:space="preserve"> </w:t>
      </w:r>
      <w:r>
        <w:t xml:space="preserve">there and clips the core. A</w:t>
      </w:r>
      <w:r>
        <w:t xml:space="preserve"> </w:t>
      </w:r>
      <w:r>
        <w:t xml:space="preserve">smooth-extremum un-clipping (MLP-u2 type), restricted to velocity and gated by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</m:oMath>
      <w:r>
        <w:t xml:space="preserve">, relaxes the bound,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  <m:sup>
              <m:r>
                <m:t> 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ψ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Density and pressure retain the strict bound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, which</w:t>
      </w:r>
      <w:r>
        <w:t xml:space="preserve"> </w:t>
      </w:r>
      <w:r>
        <w:t xml:space="preserve">preserves positivity of the fixed flux. The fixed-fraction relaxation may be</w:t>
      </w:r>
      <w:r>
        <w:t xml:space="preserve"> </w:t>
      </w:r>
      <w:r>
        <w:t xml:space="preserve">replaced by a Venkatakrishnan-type dimensionless margin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 </m:t>
                </m:r>
                <m:r>
                  <m:t>Δ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to make the un-clipping resolution-consistent.</w:t>
      </w:r>
    </w:p>
    <w:bookmarkEnd w:id="25"/>
    <w:bookmarkStart w:id="26" w:name="positivity-and-time-integration"/>
    <w:p>
      <w:pPr>
        <w:pStyle w:val="Heading2"/>
      </w:pPr>
      <w:r>
        <w:t xml:space="preserve">Positivity and time integration</w:t>
      </w:r>
    </w:p>
    <w:p>
      <w:pPr>
        <w:pStyle w:val="FirstParagraph"/>
      </w:pPr>
      <w:r>
        <w:t xml:space="preserve">After reconstruction, density and pressure face values are floored,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≥</m:t>
        </m:r>
        <m:r>
          <m:t>η</m:t>
        </m:r>
        <m:r>
          <m:t> </m:t>
        </m:r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  <m:r>
          <m:rPr>
            <m:sty m:val="p"/>
          </m:rPr>
          <m:t>≥</m:t>
        </m:r>
        <m:r>
          <m:t>η</m:t>
        </m:r>
        <m:r>
          <m:t> 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and the update is advanced with an</w:t>
      </w:r>
      <w:r>
        <w:t xml:space="preserve"> </w:t>
      </w:r>
      <w:r>
        <w:t xml:space="preserve">SSP Runge–Kutta scheme. A Zhang–Shu positivity-preserving pullback can be</w:t>
      </w:r>
      <w:r>
        <w:t xml:space="preserve"> </w:t>
      </w:r>
      <w:r>
        <w:t xml:space="preserve">appended as a final admissibility layer.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2026-06-19T11:09:42Z</dcterms:created>
  <dcterms:modified xsi:type="dcterms:W3CDTF">2026-06-19T11:09:42Z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