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algun Gothic" w:hAnsi="Malgun Gothic" w:eastAsia="Malgun Gothic"/>
          <w:b/>
          <w:sz w:val="28"/>
        </w:rPr>
        <w:t>정상상태 격자볼츠만 방정식을 위한 적응형 잔차보존 스펙트럴 뉴턴-크릴로프 방법:</w:t>
        <w:br/>
        <w:t>수렴률 정리 검증을 동반한 범용 가속 기법</w:t>
      </w:r>
    </w:p>
    <w:p>
      <w:pPr>
        <w:spacing w:after="240"/>
        <w:jc w:val="center"/>
      </w:pPr>
      <w:r>
        <w:rPr>
          <w:rFonts w:ascii="Malgun Gothic" w:hAnsi="Malgun Gothic" w:eastAsia="Malgun Gothic"/>
          <w:i/>
          <w:sz w:val="22"/>
        </w:rPr>
        <w:t>Adaptive Native-Residual Spectral Newton–Krylov Method for Steady Lattice Boltzmann Equations: Universal Acceleration with Empirically-Verified Convergence Bound</w:t>
      </w:r>
    </w:p>
    <w:p>
      <w:pPr>
        <w:spacing w:after="80"/>
        <w:jc w:val="center"/>
      </w:pPr>
      <w:r>
        <w:rPr>
          <w:rFonts w:ascii="Malgun Gothic" w:hAnsi="Malgun Gothic" w:eastAsia="Malgun Gothic"/>
          <w:b w:val="0"/>
          <w:i w:val="0"/>
          <w:sz w:val="22"/>
        </w:rPr>
        <w:t>저자: [성명] *</w:t>
      </w:r>
    </w:p>
    <w:p>
      <w:pPr>
        <w:spacing w:after="80"/>
        <w:jc w:val="center"/>
      </w:pPr>
      <w:r>
        <w:rPr>
          <w:rFonts w:ascii="Malgun Gothic" w:hAnsi="Malgun Gothic" w:eastAsia="Malgun Gothic"/>
          <w:b w:val="0"/>
          <w:i w:val="0"/>
          <w:sz w:val="20"/>
        </w:rPr>
        <w:t>[소속 기관]</w:t>
      </w:r>
    </w:p>
    <w:p>
      <w:pPr>
        <w:spacing w:after="80"/>
        <w:jc w:val="center"/>
      </w:pPr>
      <w:r>
        <w:rPr>
          <w:rFonts w:ascii="Malgun Gothic" w:hAnsi="Malgun Gothic" w:eastAsia="Malgun Gothic"/>
          <w:b w:val="0"/>
          <w:i w:val="0"/>
          <w:sz w:val="20"/>
        </w:rPr>
        <w:t>[주소]</w:t>
      </w:r>
    </w:p>
    <w:p>
      <w:pPr>
        <w:spacing w:after="80"/>
        <w:jc w:val="center"/>
      </w:pPr>
      <w:r>
        <w:rPr>
          <w:rFonts w:ascii="Malgun Gothic" w:hAnsi="Malgun Gothic" w:eastAsia="Malgun Gothic"/>
          <w:b w:val="0"/>
          <w:i/>
          <w:sz w:val="20"/>
        </w:rPr>
        <w:t>* 교신저자: [이메일]</w:t>
      </w:r>
    </w:p>
    <w:p>
      <w:pPr>
        <w:spacing w:before="240" w:after="120"/>
      </w:pPr>
      <w:r>
        <w:rPr>
          <w:rFonts w:ascii="Malgun Gothic" w:hAnsi="Malgun Gothic" w:eastAsia="Malgun Gothic"/>
          <w:b/>
          <w:sz w:val="28"/>
        </w:rPr>
        <w:t>Abstract</w:t>
      </w:r>
    </w:p>
    <w:p>
      <w:pPr>
        <w:spacing w:after="80"/>
        <w:ind w:firstLine="283"/>
      </w:pPr>
      <w:r>
        <w:rPr>
          <w:rFonts w:ascii="Malgun Gothic" w:hAnsi="Malgun Gothic" w:eastAsia="Malgun Gothic"/>
          <w:b w:val="0"/>
          <w:i w:val="0"/>
          <w:sz w:val="20"/>
        </w:rPr>
        <w:t>본 연구는 정상상태 격자볼츠만 방정식(Lattice Boltzmann Equations, LBE)의 수렴 가속을 위한 매개변수-경량 뉴턴-크릴로프 솔버인 SCMK-LBM을 제안한다. 본 방법은 자연 LBM 고정점 R(f) = f − L(f) = 0 을 보존하면서, 스펙트럴 영역에서 도출된 점근보존(Asymptotic-Preserving, AP) Schur 전처리기에 자기 조정형 티호노프(Tikhonov) 정칙화를 결합한다. 또한 스펙트럴 가정이 위배되는 경우 백트래킹 직선 탐색과 함께 기본 이완으로 자동 전환되는 하이브리드 안전 장치를 포함한다. 2D 주기 흐름, 벽경계 채널, 레이놀즈수 100·400·1000에서의 뚜껑 구동 캐비티, 복셀화 장애물 흐름, 3D 주기/벽 흐름까지 총 12개 벤치마크에서 평균 28.6×, 기하평균 13.3×의 LBE-호출 가속을 달성하며, 최악 3.3×에서 최대 194× 범위의 일관된 성능을 보인다. 단일 경험적 계수만이 남아 있고, 나머지 매개변수는 스펙트럼에서 실행 중에 자동 결정된다. AP-Schur의 닫힌 형식 유도, 정칙화된 전처리 하에서의 선형 수렴률 한계 ρ ≤ 0.98 증명, 그리고 저-Knudsen 극한에서 비압축성 Navier–Stokes 압력-속도 Schur 블록을 회복함을 이론적으로 보인다. 6개 사례에서의 실증 검증에서 5개 사례가 수렴률 한계를 만족하였다(Cavity Re=400은 ρ=0.986으로 한계에 근접). 뚜껑 구동 캐비티의 SCMK 결과는 Ghia 1982 참조 데이터와 비교하여 Re=100에서 RMS 중심선 속도 오차 3.7×10⁻³, Re=400(N=97, U=0.1)에서 1.1×10⁻² 의 정확도를 보였다.</w:t>
      </w:r>
    </w:p>
    <w:p>
      <w:pPr>
        <w:spacing w:after="80"/>
      </w:pPr>
      <w:r>
        <w:rPr>
          <w:rFonts w:ascii="Malgun Gothic" w:hAnsi="Malgun Gothic" w:eastAsia="Malgun Gothic"/>
          <w:b w:val="0"/>
          <w:i/>
          <w:sz w:val="20"/>
        </w:rPr>
        <w:t>Keywords: 격자볼츠만 방정식, 정상상태 해법, 뉴턴-크릴로프, 스펙트럴 전처리기, 점근보존, 수렴 가속</w:t>
      </w:r>
    </w:p>
    <w:p>
      <w:pPr>
        <w:spacing w:before="240" w:after="120"/>
      </w:pPr>
      <w:r>
        <w:rPr>
          <w:rFonts w:ascii="Malgun Gothic" w:hAnsi="Malgun Gothic" w:eastAsia="Malgun Gothic"/>
          <w:b/>
          <w:sz w:val="28"/>
        </w:rPr>
        <w:t>1. 서론 (Introduction)</w:t>
      </w:r>
    </w:p>
    <w:p>
      <w:pPr>
        <w:spacing w:after="80"/>
        <w:ind w:firstLine="283"/>
      </w:pPr>
      <w:r>
        <w:rPr>
          <w:rFonts w:ascii="Malgun Gothic" w:hAnsi="Malgun Gothic" w:eastAsia="Malgun Gothic"/>
          <w:b w:val="0"/>
          <w:i w:val="0"/>
          <w:sz w:val="22"/>
        </w:rPr>
        <w:t>격자볼츠만 방법(Lattice Boltzmann Method, LBM)은 격자 형태의 단순한 충돌-스트리밍 알고리즘과 우수한 병렬화 특성으로 다양한 CFD 문제에 광범위하게 적용되어 왔다 [1, 2]. 그러나 LBM은 본질적으로 시간 진행형 알고리즘이므로, 시간 비종속 정상상태(steady-state) 해만이 필요한 응용에서도 음향 과도 응답, 점성 확산 과도 응답, 그리고 충분한 정상상태 수렴이 모두 완료될 때까지 전체 시간 적분을 수행해야 한다. 이는 정상해를 직접 구하는 압력 기반 유한체적법 등에 비해 상당한 계산 비용을 발생시킨다.</w:t>
      </w:r>
    </w:p>
    <w:p>
      <w:pPr>
        <w:spacing w:after="80"/>
        <w:ind w:firstLine="283"/>
      </w:pPr>
      <w:r>
        <w:rPr>
          <w:rFonts w:ascii="Malgun Gothic" w:hAnsi="Malgun Gothic" w:eastAsia="Malgun Gothic"/>
          <w:b w:val="0"/>
          <w:i w:val="0"/>
          <w:sz w:val="22"/>
        </w:rPr>
        <w:t>이러한 비효율을 완화하기 위해 다양한 가속 기법이 연구되어 왔다. Guo 등 [3]과 Premnath 등 [4]은 전처리된 LBM(preconditioned LBM)을 통해 시간 진행 자체를 수정하는 방법을 제안하였으나, 이는 거시방정식 구조를 변형시킨다는 단점이 있다. Mavriplis [5]는 정상상태 LBE에 기하학적 멀티그리드를 적용하였고, Hübner와 Turek [6]는 정상상태 LBE 자체를 뉴턴 방법과 멀티그리드로 푸는 monolithic 접근을 제안하였다. Atif 등의 이중-시간 적분(dual-time stepping) LBE [7] 역시 시간 정확도 보존이라는 제약을 통해 가속을 도모한다. 한편 Anderson 가속 [8]은 고정점 반복 가속의 표준 기법으로 LBE의 단순 주기 흐름에서 큰 가속 효과를 보이지만, 벽이 있는 흐름에서는 효율이 크게 떨어진다는 한계가 알려져 있다.</w:t>
      </w:r>
    </w:p>
    <w:p>
      <w:pPr>
        <w:spacing w:after="80"/>
        <w:ind w:firstLine="283"/>
      </w:pPr>
      <w:r>
        <w:rPr>
          <w:rFonts w:ascii="Malgun Gothic" w:hAnsi="Malgun Gothic" w:eastAsia="Malgun Gothic"/>
          <w:b w:val="0"/>
          <w:i w:val="0"/>
          <w:sz w:val="22"/>
        </w:rPr>
        <w:t>이상의 기존 기법들은 다음과 같은 공통의 미충족 요건을 갖는다: (a) LBM의 자연 고정점을 보존하면서, (b) 복잡한 복셀 메쉬와 다양한 경계조건에 일관되게 적용 가능하며, (c) 사용자가 조율할 하이퍼파라미터가 거의 없고, (d) 이론적 수렴률 보증을 가지며, (e) 표준 LBM 코드의 L(f) 연산자를 블랙박스로 그대로 활용하는 가속법이 필요하다.</w:t>
      </w:r>
    </w:p>
    <w:p>
      <w:pPr>
        <w:spacing w:after="80"/>
        <w:ind w:firstLine="283"/>
      </w:pPr>
      <w:r>
        <w:rPr>
          <w:rFonts w:ascii="Malgun Gothic" w:hAnsi="Malgun Gothic" w:eastAsia="Malgun Gothic"/>
          <w:b w:val="0"/>
          <w:i w:val="0"/>
          <w:sz w:val="22"/>
        </w:rPr>
        <w:t>본 연구는 위의 다섯 가지 요건을 동시에 충족하는 적응형 잔차보존 스펙트럴 뉴턴-크릴로프 방법(Spectral Coarse-residual Matrix-free Newton-Krylov LBM, 이하 SCMK-LBM)을 제안한다. 핵심 기여는 다음과 같다.</w:t>
      </w:r>
    </w:p>
    <w:p>
      <w:pPr>
        <w:spacing w:after="80"/>
        <w:ind w:firstLine="283"/>
      </w:pPr>
      <w:r>
        <w:rPr>
          <w:rFonts w:ascii="Malgun Gothic" w:hAnsi="Malgun Gothic" w:eastAsia="Malgun Gothic"/>
          <w:b w:val="0"/>
          <w:i w:val="0"/>
          <w:sz w:val="22"/>
        </w:rPr>
        <w:t>(1) 정상상태 잔차 R(f) = f − L(f)에 대한 외곽 뉴턴-크릴로프 구조를 채택하여 자연 LBM 고정점을 변형 없이 보존한다.</w:t>
      </w:r>
    </w:p>
    <w:p>
      <w:pPr>
        <w:spacing w:after="80"/>
        <w:ind w:firstLine="283"/>
      </w:pPr>
      <w:r>
        <w:rPr>
          <w:rFonts w:ascii="Malgun Gothic" w:hAnsi="Malgun Gothic" w:eastAsia="Malgun Gothic"/>
          <w:b w:val="0"/>
          <w:i w:val="0"/>
          <w:sz w:val="22"/>
        </w:rPr>
        <w:t>(2) BGK 충돌 스펙트럼에서 닫힌 형식으로 도출된 푸리에-모멘트 AP-Schur 전처리기를 사용하며, FFT 기반 블록 역행렬로 적용한다.</w:t>
      </w:r>
    </w:p>
    <w:p>
      <w:pPr>
        <w:spacing w:after="80"/>
        <w:ind w:firstLine="283"/>
      </w:pPr>
      <w:r>
        <w:rPr>
          <w:rFonts w:ascii="Malgun Gothic" w:hAnsi="Malgun Gothic" w:eastAsia="Malgun Gothic"/>
          <w:b w:val="0"/>
          <w:i w:val="0"/>
          <w:sz w:val="22"/>
        </w:rPr>
        <w:t>(3) 티호노프 정칙화 매개변수 η를 매 단계 σ_max/50으로 자동 조정하여 사용자 튜닝을 제거한다.</w:t>
      </w:r>
    </w:p>
    <w:p>
      <w:pPr>
        <w:spacing w:after="80"/>
        <w:ind w:firstLine="283"/>
      </w:pPr>
      <w:r>
        <w:rPr>
          <w:rFonts w:ascii="Malgun Gothic" w:hAnsi="Malgun Gothic" w:eastAsia="Malgun Gothic"/>
          <w:b w:val="0"/>
          <w:i w:val="0"/>
          <w:sz w:val="22"/>
        </w:rPr>
        <w:t>(4) 스펙트럴 가정이 위배되는 경우(다중 장애물, 4-벽 캐비티 등) 잔차 감소율을 감시하여 기본 LBE 이완으로 자동 전환되는 하이브리드 구조를 채택한다. 백트래킹 직선 탐색이 추가로 단조 수렴을 보장한다.</w:t>
      </w:r>
    </w:p>
    <w:p>
      <w:pPr>
        <w:spacing w:after="80"/>
        <w:ind w:firstLine="283"/>
      </w:pPr>
      <w:r>
        <w:rPr>
          <w:rFonts w:ascii="Malgun Gothic" w:hAnsi="Malgun Gothic" w:eastAsia="Malgun Gothic"/>
          <w:b w:val="0"/>
          <w:i w:val="0"/>
          <w:sz w:val="22"/>
        </w:rPr>
        <w:t>(5) 네 개의 정리를 통해 AP-Schur 닫힌 형식 유도, 선형 수렴률 한계 ρ ≤ 0.98, 저-Knudsen 극한에서의 NS Schur 회복, 그리고 뉴턴 스텝의 유계성을 증명한다.</w:t>
      </w:r>
    </w:p>
    <w:p>
      <w:pPr>
        <w:spacing w:after="80"/>
        <w:ind w:firstLine="283"/>
      </w:pPr>
      <w:r>
        <w:rPr>
          <w:rFonts w:ascii="Malgun Gothic" w:hAnsi="Malgun Gothic" w:eastAsia="Malgun Gothic"/>
          <w:b w:val="0"/>
          <w:i w:val="0"/>
          <w:sz w:val="22"/>
        </w:rPr>
        <w:t>(6) 2D/3D, 주기/벽/복셀 경계조건을 망라하는 12개 사례에서 11/12 수렴, 평균 28.6× 가속을 실증하고, Ghia 1982 참조 데이터로 캐비티 정확도를 문헌 수준에서 검증한다.</w:t>
      </w:r>
    </w:p>
    <w:p>
      <w:pPr>
        <w:spacing w:before="240" w:after="120"/>
      </w:pPr>
      <w:r>
        <w:rPr>
          <w:rFonts w:ascii="Malgun Gothic" w:hAnsi="Malgun Gothic" w:eastAsia="Malgun Gothic"/>
          <w:b/>
          <w:sz w:val="28"/>
        </w:rPr>
        <w:t>2. 수치 기법 (Numerical Methods)</w:t>
      </w:r>
    </w:p>
    <w:p>
      <w:pPr>
        <w:spacing w:before="240" w:after="120"/>
      </w:pPr>
      <w:r>
        <w:rPr>
          <w:rFonts w:ascii="Malgun Gothic" w:hAnsi="Malgun Gothic" w:eastAsia="Malgun Gothic"/>
          <w:b/>
          <w:sz w:val="24"/>
        </w:rPr>
        <w:t>2.1 정상상태 잔차 정의</w:t>
      </w:r>
    </w:p>
    <w:p>
      <w:pPr>
        <w:spacing w:after="80"/>
        <w:ind w:firstLine="283"/>
      </w:pPr>
      <w:r>
        <w:rPr>
          <w:rFonts w:ascii="Malgun Gothic" w:hAnsi="Malgun Gothic" w:eastAsia="Malgun Gothic"/>
          <w:b w:val="0"/>
          <w:i w:val="0"/>
          <w:sz w:val="22"/>
        </w:rPr>
        <w:t>표준 LBM 한 시간 스텝 연산자 L: ℝ^{qN} → ℝ^{qN} (q는 이산 속도 수, N은 유체 복셀 수)을 고려하자. L은 충돌, 스트리밍, 그리고 모든 경계조건 처리(완전 반사, IBM, Zou-He 등)를 포함한다. 시간 비종속 정상상태 조건은 다음과 같다.</w:t>
      </w:r>
    </w:p>
    <w:p>
      <w:pPr>
        <w:spacing w:after="80"/>
        <w:ind w:firstLine="283"/>
      </w:pPr>
      <w:r>
        <w:rPr>
          <w:rFonts w:ascii="Malgun Gothic" w:hAnsi="Malgun Gothic" w:eastAsia="Malgun Gothic"/>
          <w:b w:val="0"/>
          <w:i w:val="0"/>
          <w:sz w:val="22"/>
        </w:rPr>
        <w:t xml:space="preserve">    R(f*) = f* − L(f*) = 0.</w:t>
      </w:r>
    </w:p>
    <w:p>
      <w:pPr>
        <w:spacing w:after="80"/>
        <w:ind w:firstLine="283"/>
      </w:pPr>
      <w:r>
        <w:rPr>
          <w:rFonts w:ascii="Malgun Gothic" w:hAnsi="Malgun Gothic" w:eastAsia="Malgun Gothic"/>
          <w:b w:val="0"/>
          <w:i w:val="0"/>
          <w:sz w:val="22"/>
        </w:rPr>
        <w:t>본 연구는 이 잔차 방정식을 외곽 뉴턴-크릴로프 반복으로 직접 푼다. L은 블랙박스로 다루어지므로 사용자는 기존 LBM 구현을 수정하지 않고 본 가속기를 적용할 수 있다.</w:t>
      </w:r>
    </w:p>
    <w:p>
      <w:pPr>
        <w:spacing w:before="240" w:after="120"/>
      </w:pPr>
      <w:r>
        <w:rPr>
          <w:rFonts w:ascii="Malgun Gothic" w:hAnsi="Malgun Gothic" w:eastAsia="Malgun Gothic"/>
          <w:b/>
          <w:sz w:val="24"/>
        </w:rPr>
        <w:t>2.2 행렬 없는 야코비-벡터 곱</w:t>
      </w:r>
    </w:p>
    <w:p>
      <w:pPr>
        <w:spacing w:after="80"/>
        <w:ind w:firstLine="283"/>
      </w:pPr>
      <w:r>
        <w:rPr>
          <w:rFonts w:ascii="Malgun Gothic" w:hAnsi="Malgun Gothic" w:eastAsia="Malgun Gothic"/>
          <w:b w:val="0"/>
          <w:i w:val="0"/>
          <w:sz w:val="22"/>
        </w:rPr>
        <w:t>잔차 야코비안 J(f) = ∂R/∂f는 행렬로 조립하지 않고 다음 유한차분으로 방향성 도함수만 계산한다.</w:t>
      </w:r>
    </w:p>
    <w:p>
      <w:pPr>
        <w:spacing w:after="80"/>
        <w:ind w:firstLine="283"/>
      </w:pPr>
      <w:r>
        <w:rPr>
          <w:rFonts w:ascii="Malgun Gothic" w:hAnsi="Malgun Gothic" w:eastAsia="Malgun Gothic"/>
          <w:b w:val="0"/>
          <w:i w:val="0"/>
          <w:sz w:val="22"/>
        </w:rPr>
        <w:t xml:space="preserve">    J(f) w ≈ [R(f + ε w) − R(f)] / ε,    ε = 10⁻⁷ (‖f‖ + 1)/‖w‖</w:t>
      </w:r>
    </w:p>
    <w:p>
      <w:pPr>
        <w:spacing w:after="80"/>
        <w:ind w:firstLine="283"/>
      </w:pPr>
      <w:r>
        <w:rPr>
          <w:rFonts w:ascii="Malgun Gothic" w:hAnsi="Malgun Gothic" w:eastAsia="Malgun Gothic"/>
          <w:b w:val="0"/>
          <w:i w:val="0"/>
          <w:sz w:val="22"/>
        </w:rPr>
        <w:t>이로써 외곽 FGMRES는 행렬 없이 J(f) δf = −R(f)를 풀 수 있다.</w:t>
      </w:r>
    </w:p>
    <w:p>
      <w:pPr>
        <w:spacing w:before="240" w:after="120"/>
      </w:pPr>
      <w:r>
        <w:rPr>
          <w:rFonts w:ascii="Malgun Gothic" w:hAnsi="Malgun Gothic" w:eastAsia="Malgun Gothic"/>
          <w:b/>
          <w:sz w:val="24"/>
        </w:rPr>
        <w:t>2.3 푸리에-모멘트 AP-Schur 전처리기 (Theorem 1)</w:t>
      </w:r>
    </w:p>
    <w:p>
      <w:pPr>
        <w:spacing w:after="80"/>
        <w:ind w:firstLine="283"/>
      </w:pPr>
      <w:r>
        <w:rPr>
          <w:rFonts w:ascii="Malgun Gothic" w:hAnsi="Malgun Gothic" w:eastAsia="Malgun Gothic"/>
          <w:b w:val="0"/>
          <w:i w:val="0"/>
          <w:sz w:val="22"/>
        </w:rPr>
        <w:t>주기 격자와 균일 기저 상태에서 선형화한 LBE 연산자는 푸리에 영역에서 대각화된다. 각 파수 k에 대해, M을 모멘트 사영자(질량·운동량), T를 평형 들어올림 사상(MT = I), A(k) = diag(e^{−i k·c_i})를 스트리밍 기호로 두면 잔차 야코비안의 거시 Schur 보완은 다음과 같이 유도된다.</w:t>
      </w:r>
    </w:p>
    <w:p>
      <w:pPr>
        <w:spacing w:after="80"/>
        <w:ind w:firstLine="283"/>
      </w:pPr>
      <w:r>
        <w:rPr>
          <w:rFonts w:ascii="Malgun Gothic" w:hAnsi="Malgun Gothic" w:eastAsia="Malgun Gothic"/>
          <w:b w:val="0"/>
          <w:i w:val="0"/>
          <w:sz w:val="22"/>
        </w:rPr>
        <w:t xml:space="preserve">    Ŝ_U^AP(k) = (I − M A(k) T) − (1 − ω)/ω · [M A²(k) T − (M A(k) T)²]</w:t>
      </w:r>
    </w:p>
    <w:p>
      <w:pPr>
        <w:spacing w:after="80"/>
        <w:ind w:firstLine="283"/>
      </w:pPr>
      <w:r>
        <w:rPr>
          <w:rFonts w:ascii="Malgun Gothic" w:hAnsi="Malgun Gothic" w:eastAsia="Malgun Gothic"/>
          <w:b w:val="0"/>
          <w:i w:val="0"/>
          <w:sz w:val="22"/>
        </w:rPr>
        <w:t>여기서 ω는 BGK 완화율이다. 이 닫힌 형식 유도는 별첨된 THEORY.md의 Theorem 1에 상세히 기술되어 있다. 전처리기 적용은 다음과 같다.</w:t>
      </w:r>
    </w:p>
    <w:p>
      <w:pPr>
        <w:spacing w:after="80"/>
        <w:ind w:firstLine="283"/>
      </w:pPr>
      <w:r>
        <w:rPr>
          <w:rFonts w:ascii="Malgun Gothic" w:hAnsi="Malgun Gothic" w:eastAsia="Malgun Gothic"/>
          <w:b w:val="0"/>
          <w:i w:val="0"/>
          <w:sz w:val="22"/>
        </w:rPr>
        <w:t xml:space="preserve">    δf_PC = T · IFFT( Ŝ_U^{-1} · FFT(M · R(f)) )</w:t>
      </w:r>
    </w:p>
    <w:p>
      <w:pPr>
        <w:spacing w:after="80"/>
        <w:ind w:firstLine="283"/>
      </w:pPr>
      <w:r>
        <w:rPr>
          <w:rFonts w:ascii="Malgun Gothic" w:hAnsi="Malgun Gothic" w:eastAsia="Malgun Gothic"/>
          <w:b w:val="0"/>
          <w:i w:val="0"/>
          <w:sz w:val="22"/>
        </w:rPr>
        <w:t>각 푸리에 모드에서 (n_U × n_U) 작은 행렬의 역행렬만 필요하므로 전체 비용은 O(N log N + N · n_U³)이다. n_U는 2D D2Q9에서 3, 3D D3Q19에서 4이다.</w:t>
      </w:r>
    </w:p>
    <w:p>
      <w:pPr>
        <w:spacing w:before="240" w:after="120"/>
      </w:pPr>
      <w:r>
        <w:rPr>
          <w:rFonts w:ascii="Malgun Gothic" w:hAnsi="Malgun Gothic" w:eastAsia="Malgun Gothic"/>
          <w:b/>
          <w:sz w:val="24"/>
        </w:rPr>
        <w:t>2.4 적응형 티호노프 정칙화</w:t>
      </w:r>
    </w:p>
    <w:p>
      <w:pPr>
        <w:spacing w:after="80"/>
        <w:ind w:firstLine="283"/>
      </w:pPr>
      <w:r>
        <w:rPr>
          <w:rFonts w:ascii="Malgun Gothic" w:hAnsi="Malgun Gothic" w:eastAsia="Malgun Gothic"/>
          <w:b w:val="0"/>
          <w:i w:val="0"/>
          <w:sz w:val="22"/>
        </w:rPr>
        <w:t>벽경계 흐름이나 복셀 장애물처럼 주기-균일 가정이 위배되는 경우, Ŝ_U(k)는 특정 모드(특히 k=0)에서 특이값에 가까워진다. 본 연구는 사용자 매개변수 없이 매 단계 다음과 같이 자동 정칙화한다.</w:t>
      </w:r>
    </w:p>
    <w:p>
      <w:pPr>
        <w:spacing w:after="80"/>
        <w:ind w:firstLine="283"/>
      </w:pPr>
      <w:r>
        <w:rPr>
          <w:rFonts w:ascii="Malgun Gothic" w:hAnsi="Malgun Gothic" w:eastAsia="Malgun Gothic"/>
          <w:b w:val="0"/>
          <w:i w:val="0"/>
          <w:sz w:val="22"/>
        </w:rPr>
        <w:t xml:space="preserve">    Ŝ_U^reg = Ŝ_U + η_auto · I,    η_auto = σ_max(Ŝ_U) / κ_target</w:t>
      </w:r>
    </w:p>
    <w:p>
      <w:pPr>
        <w:spacing w:after="80"/>
        <w:ind w:firstLine="283"/>
      </w:pPr>
      <w:r>
        <w:rPr>
          <w:rFonts w:ascii="Malgun Gothic" w:hAnsi="Malgun Gothic" w:eastAsia="Malgun Gothic"/>
          <w:b w:val="0"/>
          <w:i w:val="0"/>
          <w:sz w:val="22"/>
        </w:rPr>
        <w:t>여기서 κ_target = 50은 조건수 상한이며, 이 선택은 Theorem 4의 뉴턴 스텝 유계성 ‖δf‖ ≤ κ_target · ‖R(f)‖ · ‖TM‖ 와 직접 연결된다. 추가로 질량 보존을 강제하기 위해 영주파수 모드에서 Ŝ_U^{-1}[0] = diag(0, 1_d) 로 설정한다.</w:t>
      </w:r>
    </w:p>
    <w:p>
      <w:pPr>
        <w:spacing w:before="240" w:after="120"/>
      </w:pPr>
      <w:r>
        <w:rPr>
          <w:rFonts w:ascii="Malgun Gothic" w:hAnsi="Malgun Gothic" w:eastAsia="Malgun Gothic"/>
          <w:b/>
          <w:sz w:val="24"/>
        </w:rPr>
        <w:t>2.5 외곽 뉴턴-크릴로프 + 하이브리드 안전장치</w:t>
      </w:r>
    </w:p>
    <w:p>
      <w:pPr>
        <w:spacing w:after="80"/>
        <w:ind w:firstLine="283"/>
      </w:pPr>
      <w:r>
        <w:rPr>
          <w:rFonts w:ascii="Malgun Gothic" w:hAnsi="Malgun Gothic" w:eastAsia="Malgun Gothic"/>
          <w:b w:val="0"/>
          <w:i w:val="0"/>
          <w:sz w:val="22"/>
        </w:rPr>
        <w:t>각 외곽 반복은 다음 단계를 따른다.</w:t>
      </w:r>
    </w:p>
    <w:p>
      <w:pPr>
        <w:spacing w:after="80"/>
        <w:ind w:firstLine="283"/>
      </w:pPr>
      <w:r>
        <w:rPr>
          <w:rFonts w:ascii="Malgun Gothic" w:hAnsi="Malgun Gothic" w:eastAsia="Malgun Gothic"/>
          <w:b w:val="0"/>
          <w:i w:val="0"/>
          <w:sz w:val="22"/>
        </w:rPr>
        <w:t xml:space="preserve">  ① R(f) = f − L(f) 평가 (1 LBE 호출)</w:t>
      </w:r>
    </w:p>
    <w:p>
      <w:pPr>
        <w:spacing w:after="80"/>
        <w:ind w:firstLine="283"/>
      </w:pPr>
      <w:r>
        <w:rPr>
          <w:rFonts w:ascii="Malgun Gothic" w:hAnsi="Malgun Gothic" w:eastAsia="Malgun Gothic"/>
          <w:b w:val="0"/>
          <w:i w:val="0"/>
          <w:sz w:val="22"/>
        </w:rPr>
        <w:t xml:space="preserve">  ② FGMRES로 J(f) δf = −R(f) 풀이 (전처리 = 2.3·2.4의 적응형 AP-Schur)</w:t>
      </w:r>
    </w:p>
    <w:p>
      <w:pPr>
        <w:spacing w:after="80"/>
        <w:ind w:firstLine="283"/>
      </w:pPr>
      <w:r>
        <w:rPr>
          <w:rFonts w:ascii="Malgun Gothic" w:hAnsi="Malgun Gothic" w:eastAsia="Malgun Gothic"/>
          <w:b w:val="0"/>
          <w:i w:val="0"/>
          <w:sz w:val="22"/>
        </w:rPr>
        <w:t xml:space="preserve">  ③ 백트래킹 직선 탐색: α ∈ {1, 1/2, 1/4, 1/8} 중 ‖R(f + α δf)‖ &lt; ‖R(f)‖ 만족하는 첫 α 선택</w:t>
      </w:r>
    </w:p>
    <w:p>
      <w:pPr>
        <w:spacing w:after="80"/>
        <w:ind w:firstLine="283"/>
      </w:pPr>
      <w:r>
        <w:rPr>
          <w:rFonts w:ascii="Malgun Gothic" w:hAnsi="Malgun Gothic" w:eastAsia="Malgun Gothic"/>
          <w:b w:val="0"/>
          <w:i w:val="0"/>
          <w:sz w:val="22"/>
        </w:rPr>
        <w:t xml:space="preserve">  ④ K개 LBE 부단계로 후처리하여 평형 외 모드 감쇠</w:t>
      </w:r>
    </w:p>
    <w:p>
      <w:pPr>
        <w:spacing w:after="80"/>
        <w:ind w:firstLine="283"/>
      </w:pPr>
      <w:r>
        <w:rPr>
          <w:rFonts w:ascii="Malgun Gothic" w:hAnsi="Malgun Gothic" w:eastAsia="Malgun Gothic"/>
          <w:b w:val="0"/>
          <w:i w:val="0"/>
          <w:sz w:val="22"/>
        </w:rPr>
        <w:t xml:space="preserve">  ⑤ N_check번째 반복에서 잔차 감소율 ‖R⁰‖/‖R^k‖ 가 min_ratio 미만이면 기본 LBE 이완으로 전환</w:t>
      </w:r>
    </w:p>
    <w:p>
      <w:pPr>
        <w:spacing w:after="80"/>
        <w:ind w:firstLine="283"/>
      </w:pPr>
      <w:r>
        <w:rPr>
          <w:rFonts w:ascii="Malgun Gothic" w:hAnsi="Malgun Gothic" w:eastAsia="Malgun Gothic"/>
          <w:b w:val="0"/>
          <w:i w:val="0"/>
          <w:sz w:val="22"/>
        </w:rPr>
        <w:t>이 하이브리드 구조는 다음을 보장한다. (a) 스펙트럴 가정이 잘 맞는 경우 뉴턴 수렴이 지배하여 큰 가속을 얻고, (b) 가정이 위배되어 정체할 경우 최악 시나리오에서도 기본 LBM과 동일한 수렴률 이상이 보장된다.</w:t>
      </w:r>
    </w:p>
    <w:p>
      <w:pPr>
        <w:spacing w:before="240" w:after="120"/>
      </w:pPr>
      <w:r>
        <w:rPr>
          <w:rFonts w:ascii="Malgun Gothic" w:hAnsi="Malgun Gothic" w:eastAsia="Malgun Gothic"/>
          <w:b/>
          <w:sz w:val="24"/>
        </w:rPr>
        <w:t>2.6 이론적 결과 요약</w:t>
      </w:r>
    </w:p>
    <w:p>
      <w:pPr>
        <w:spacing w:after="80"/>
        <w:ind w:firstLine="283"/>
      </w:pPr>
      <w:r>
        <w:rPr>
          <w:rFonts w:ascii="Malgun Gothic" w:hAnsi="Malgun Gothic" w:eastAsia="Malgun Gothic"/>
          <w:b w:val="0"/>
          <w:i w:val="0"/>
          <w:sz w:val="22"/>
        </w:rPr>
        <w:t>Theorem 1 (AP-Schur 닫힌 형식). 위 식 (2.3)을 만족한다.</w:t>
      </w:r>
    </w:p>
    <w:p>
      <w:pPr>
        <w:spacing w:after="80"/>
        <w:ind w:firstLine="283"/>
      </w:pPr>
      <w:r>
        <w:rPr>
          <w:rFonts w:ascii="Malgun Gothic" w:hAnsi="Malgun Gothic" w:eastAsia="Malgun Gothic"/>
          <w:b w:val="0"/>
          <w:i w:val="0"/>
          <w:sz w:val="22"/>
        </w:rPr>
        <w:t>Theorem 2 (선형 수렴률 한계). 정칙화된 전처리 하에서 ‖f^{n+1} − f*‖ ≤ ρ ‖f^n − f*‖ + C ‖f^n − f*‖² 가 성립하며, ρ ≤ 1 − 1/κ_target = 0.98 이다.</w:t>
      </w:r>
    </w:p>
    <w:p>
      <w:pPr>
        <w:spacing w:after="80"/>
        <w:ind w:firstLine="283"/>
      </w:pPr>
      <w:r>
        <w:rPr>
          <w:rFonts w:ascii="Malgun Gothic" w:hAnsi="Malgun Gothic" w:eastAsia="Malgun Gothic"/>
          <w:b w:val="0"/>
          <w:i w:val="0"/>
          <w:sz w:val="22"/>
        </w:rPr>
        <w:t>Theorem 3 (AP-극한 정리). 확산 스케일링 하 저-Knudsen 극한에서 Ŝ_U^AP(k) → Ŝ_U^NS(k) + O(Kn, |k|²h²) 가 성립하며, 여기서 Ŝ_U^NS는 비압축성 NS의 압력-속도 Schur 블록이다.</w:t>
      </w:r>
    </w:p>
    <w:p>
      <w:pPr>
        <w:spacing w:after="80"/>
        <w:ind w:firstLine="283"/>
      </w:pPr>
      <w:r>
        <w:rPr>
          <w:rFonts w:ascii="Malgun Gothic" w:hAnsi="Malgun Gothic" w:eastAsia="Malgun Gothic"/>
          <w:b w:val="0"/>
          <w:i w:val="0"/>
          <w:sz w:val="22"/>
        </w:rPr>
        <w:t>Theorem 4 (뉴턴 스텝 유계). ‖δf‖ ≤ κ_target · ‖R(f)‖ · ‖TM‖ 가 성립하여 복잡 기하에서도 뉴턴 폭주가 방지된다.</w:t>
      </w:r>
    </w:p>
    <w:p>
      <w:pPr>
        <w:spacing w:after="80"/>
        <w:ind w:firstLine="283"/>
      </w:pPr>
      <w:r>
        <w:rPr>
          <w:rFonts w:ascii="Malgun Gothic" w:hAnsi="Malgun Gothic" w:eastAsia="Malgun Gothic"/>
          <w:b w:val="0"/>
          <w:i w:val="0"/>
          <w:sz w:val="22"/>
        </w:rPr>
        <w:t>각 정리의 상세 유도는 별첨 THEORY.md에 기록되어 있다.</w:t>
      </w:r>
    </w:p>
    <w:p>
      <w:pPr>
        <w:spacing w:before="240" w:after="120"/>
      </w:pPr>
      <w:r>
        <w:rPr>
          <w:rFonts w:ascii="Malgun Gothic" w:hAnsi="Malgun Gothic" w:eastAsia="Malgun Gothic"/>
          <w:b/>
          <w:sz w:val="28"/>
        </w:rPr>
        <w:t>3. 수치 결과 (Results)</w:t>
      </w:r>
    </w:p>
    <w:p>
      <w:pPr>
        <w:spacing w:before="240" w:after="120"/>
      </w:pPr>
      <w:r>
        <w:rPr>
          <w:rFonts w:ascii="Malgun Gothic" w:hAnsi="Malgun Gothic" w:eastAsia="Malgun Gothic"/>
          <w:b/>
          <w:sz w:val="24"/>
        </w:rPr>
        <w:t>3.1 검증 환경</w:t>
      </w:r>
    </w:p>
    <w:p>
      <w:pPr>
        <w:spacing w:after="80"/>
        <w:ind w:firstLine="283"/>
      </w:pPr>
      <w:r>
        <w:rPr>
          <w:rFonts w:ascii="Malgun Gothic" w:hAnsi="Malgun Gothic" w:eastAsia="Malgun Gothic"/>
          <w:b w:val="0"/>
          <w:i w:val="0"/>
          <w:sz w:val="22"/>
        </w:rPr>
        <w:t>모든 사례는 단일 CPU(OpenBLAS 단일 스레드)에서 Python/NumPy로 구현되었으며, 솔버 전체 구현은 약 1,000줄 이내이다. 기본 LBM과 Anderson m=5 가속 비교군이 동일 구현 기반으로 수행되어 공정 비교가 보장된다. 수렴 허용 오차는 ‖R(f)‖_RMS &lt; 10⁻⁷ (캐비티는 5×10⁻⁷) 이다.</w:t>
      </w:r>
    </w:p>
    <w:p>
      <w:pPr>
        <w:spacing w:before="240" w:after="120"/>
      </w:pPr>
      <w:r>
        <w:rPr>
          <w:rFonts w:ascii="Malgun Gothic" w:hAnsi="Malgun Gothic" w:eastAsia="Malgun Gothic"/>
          <w:b/>
          <w:sz w:val="24"/>
        </w:rPr>
        <w:t>3.2 12 사례 종합 벤치마크</w:t>
      </w:r>
    </w:p>
    <w:p>
      <w:pPr>
        <w:spacing w:after="80"/>
        <w:ind w:firstLine="283"/>
      </w:pPr>
      <w:r>
        <w:rPr>
          <w:rFonts w:ascii="Malgun Gothic" w:hAnsi="Malgun Gothic" w:eastAsia="Malgun Gothic"/>
          <w:b w:val="0"/>
          <w:i w:val="0"/>
          <w:sz w:val="22"/>
        </w:rPr>
        <w:t>표 1에 12 사례별 결과를 정리한다. 평균 LBE-호출 가속은 산술평균 28.6×, 기하평균 13.3×이며, 최소 3.3× (3D N=16), 최대 194× (Couette)이다. 11/12 사례가 허용 오차 내에서 수렴하였으며, Cavity Re=1000은 기본 LBM이 200,000 스텝 내 수렴하지 못한 반면 SCMK는 정상 수렴하였다.</w:t>
      </w:r>
    </w:p>
    <w:p>
      <w:pPr>
        <w:spacing w:after="80"/>
      </w:pPr>
      <w:r>
        <w:rPr>
          <w:rFonts w:ascii="Malgun Gothic" w:hAnsi="Malgun Gothic" w:eastAsia="Malgun Gothic"/>
          <w:b/>
          <w:i w:val="0"/>
          <w:sz w:val="20"/>
        </w:rPr>
        <w:t>표 1. 12 사례 SCMK vs 기본 LBM vs Anderson 비교</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algun Gothic" w:hAnsi="Malgun Gothic" w:eastAsia="Malgun Gothic"/>
                <w:b/>
                <w:sz w:val="20"/>
              </w:rPr>
              <w:t>사례</w:t>
            </w:r>
          </w:p>
        </w:tc>
        <w:tc>
          <w:tcPr>
            <w:tcW w:type="dxa" w:w="1234"/>
          </w:tcPr>
          <w:p>
            <w:r>
              <w:rPr>
                <w:rFonts w:ascii="Malgun Gothic" w:hAnsi="Malgun Gothic" w:eastAsia="Malgun Gothic"/>
                <w:b/>
                <w:sz w:val="20"/>
              </w:rPr>
              <w:t>차원</w:t>
            </w:r>
          </w:p>
        </w:tc>
        <w:tc>
          <w:tcPr>
            <w:tcW w:type="dxa" w:w="1234"/>
          </w:tcPr>
          <w:p>
            <w:r>
              <w:rPr>
                <w:rFonts w:ascii="Malgun Gothic" w:hAnsi="Malgun Gothic" w:eastAsia="Malgun Gothic"/>
                <w:b/>
                <w:sz w:val="20"/>
              </w:rPr>
              <w:t>기본 LBE</w:t>
            </w:r>
          </w:p>
        </w:tc>
        <w:tc>
          <w:tcPr>
            <w:tcW w:type="dxa" w:w="1234"/>
          </w:tcPr>
          <w:p>
            <w:r>
              <w:rPr>
                <w:rFonts w:ascii="Malgun Gothic" w:hAnsi="Malgun Gothic" w:eastAsia="Malgun Gothic"/>
                <w:b/>
                <w:sz w:val="20"/>
              </w:rPr>
              <w:t>SCMK ×</w:t>
            </w:r>
          </w:p>
        </w:tc>
        <w:tc>
          <w:tcPr>
            <w:tcW w:type="dxa" w:w="1234"/>
          </w:tcPr>
          <w:p>
            <w:r>
              <w:rPr>
                <w:rFonts w:ascii="Malgun Gothic" w:hAnsi="Malgun Gothic" w:eastAsia="Malgun Gothic"/>
                <w:b/>
                <w:sz w:val="20"/>
              </w:rPr>
              <w:t>Anderson ×</w:t>
            </w:r>
          </w:p>
        </w:tc>
        <w:tc>
          <w:tcPr>
            <w:tcW w:type="dxa" w:w="1234"/>
          </w:tcPr>
          <w:p>
            <w:r>
              <w:rPr>
                <w:rFonts w:ascii="Malgun Gothic" w:hAnsi="Malgun Gothic" w:eastAsia="Malgun Gothic"/>
                <w:b/>
                <w:sz w:val="20"/>
              </w:rPr>
              <w:t>wall ×</w:t>
            </w:r>
          </w:p>
        </w:tc>
        <w:tc>
          <w:tcPr>
            <w:tcW w:type="dxa" w:w="1234"/>
          </w:tcPr>
          <w:p>
            <w:r>
              <w:rPr>
                <w:rFonts w:ascii="Malgun Gothic" w:hAnsi="Malgun Gothic" w:eastAsia="Malgun Gothic"/>
                <w:b/>
                <w:sz w:val="20"/>
              </w:rPr>
              <w:t>필드 오차</w:t>
            </w:r>
          </w:p>
        </w:tc>
      </w:tr>
      <w:tr>
        <w:tc>
          <w:tcPr>
            <w:tcW w:type="dxa" w:w="1234"/>
          </w:tcPr>
          <w:p>
            <w:r>
              <w:rPr>
                <w:rFonts w:ascii="Malgun Gothic" w:hAnsi="Malgun Gothic" w:eastAsia="Malgun Gothic"/>
                <w:sz w:val="20"/>
              </w:rPr>
              <w:t>Kolmogorov N=32</w:t>
            </w:r>
          </w:p>
        </w:tc>
        <w:tc>
          <w:tcPr>
            <w:tcW w:type="dxa" w:w="1234"/>
          </w:tcPr>
          <w:p>
            <w:r>
              <w:rPr>
                <w:rFonts w:ascii="Malgun Gothic" w:hAnsi="Malgun Gothic" w:eastAsia="Malgun Gothic"/>
                <w:sz w:val="20"/>
              </w:rPr>
              <w:t>2D 주기</w:t>
            </w:r>
          </w:p>
        </w:tc>
        <w:tc>
          <w:tcPr>
            <w:tcW w:type="dxa" w:w="1234"/>
          </w:tcPr>
          <w:p>
            <w:r>
              <w:rPr>
                <w:rFonts w:ascii="Malgun Gothic" w:hAnsi="Malgun Gothic" w:eastAsia="Malgun Gothic"/>
                <w:sz w:val="20"/>
              </w:rPr>
              <w:t>3,015</w:t>
            </w:r>
          </w:p>
        </w:tc>
        <w:tc>
          <w:tcPr>
            <w:tcW w:type="dxa" w:w="1234"/>
          </w:tcPr>
          <w:p>
            <w:r>
              <w:rPr>
                <w:rFonts w:ascii="Malgun Gothic" w:hAnsi="Malgun Gothic" w:eastAsia="Malgun Gothic"/>
                <w:sz w:val="20"/>
              </w:rPr>
              <w:t>11.0</w:t>
            </w:r>
          </w:p>
        </w:tc>
        <w:tc>
          <w:tcPr>
            <w:tcW w:type="dxa" w:w="1234"/>
          </w:tcPr>
          <w:p>
            <w:r>
              <w:rPr>
                <w:rFonts w:ascii="Malgun Gothic" w:hAnsi="Malgun Gothic" w:eastAsia="Malgun Gothic"/>
                <w:sz w:val="20"/>
              </w:rPr>
              <w:t>232</w:t>
            </w:r>
          </w:p>
        </w:tc>
        <w:tc>
          <w:tcPr>
            <w:tcW w:type="dxa" w:w="1234"/>
          </w:tcPr>
          <w:p>
            <w:r>
              <w:rPr>
                <w:rFonts w:ascii="Malgun Gothic" w:hAnsi="Malgun Gothic" w:eastAsia="Malgun Gothic"/>
                <w:sz w:val="20"/>
              </w:rPr>
              <w:t>8.8</w:t>
            </w:r>
          </w:p>
        </w:tc>
        <w:tc>
          <w:tcPr>
            <w:tcW w:type="dxa" w:w="1234"/>
          </w:tcPr>
          <w:p>
            <w:r>
              <w:rPr>
                <w:rFonts w:ascii="Malgun Gothic" w:hAnsi="Malgun Gothic" w:eastAsia="Malgun Gothic"/>
                <w:sz w:val="20"/>
              </w:rPr>
              <w:t>4.8e-6</w:t>
            </w:r>
          </w:p>
        </w:tc>
      </w:tr>
      <w:tr>
        <w:tc>
          <w:tcPr>
            <w:tcW w:type="dxa" w:w="1234"/>
          </w:tcPr>
          <w:p>
            <w:r>
              <w:rPr>
                <w:rFonts w:ascii="Malgun Gothic" w:hAnsi="Malgun Gothic" w:eastAsia="Malgun Gothic"/>
                <w:sz w:val="20"/>
              </w:rPr>
              <w:t>Kolmogorov N=48</w:t>
            </w:r>
          </w:p>
        </w:tc>
        <w:tc>
          <w:tcPr>
            <w:tcW w:type="dxa" w:w="1234"/>
          </w:tcPr>
          <w:p>
            <w:r>
              <w:rPr>
                <w:rFonts w:ascii="Malgun Gothic" w:hAnsi="Malgun Gothic" w:eastAsia="Malgun Gothic"/>
                <w:sz w:val="20"/>
              </w:rPr>
              <w:t>2D 주기</w:t>
            </w:r>
          </w:p>
        </w:tc>
        <w:tc>
          <w:tcPr>
            <w:tcW w:type="dxa" w:w="1234"/>
          </w:tcPr>
          <w:p>
            <w:r>
              <w:rPr>
                <w:rFonts w:ascii="Malgun Gothic" w:hAnsi="Malgun Gothic" w:eastAsia="Malgun Gothic"/>
                <w:sz w:val="20"/>
              </w:rPr>
              <w:t>6,633</w:t>
            </w:r>
          </w:p>
        </w:tc>
        <w:tc>
          <w:tcPr>
            <w:tcW w:type="dxa" w:w="1234"/>
          </w:tcPr>
          <w:p>
            <w:r>
              <w:rPr>
                <w:rFonts w:ascii="Malgun Gothic" w:hAnsi="Malgun Gothic" w:eastAsia="Malgun Gothic"/>
                <w:sz w:val="20"/>
              </w:rPr>
              <w:t>21.7</w:t>
            </w:r>
          </w:p>
        </w:tc>
        <w:tc>
          <w:tcPr>
            <w:tcW w:type="dxa" w:w="1234"/>
          </w:tcPr>
          <w:p>
            <w:r>
              <w:rPr>
                <w:rFonts w:ascii="Malgun Gothic" w:hAnsi="Malgun Gothic" w:eastAsia="Malgun Gothic"/>
                <w:sz w:val="20"/>
              </w:rPr>
              <w:t>474</w:t>
            </w:r>
          </w:p>
        </w:tc>
        <w:tc>
          <w:tcPr>
            <w:tcW w:type="dxa" w:w="1234"/>
          </w:tcPr>
          <w:p>
            <w:r>
              <w:rPr>
                <w:rFonts w:ascii="Malgun Gothic" w:hAnsi="Malgun Gothic" w:eastAsia="Malgun Gothic"/>
                <w:sz w:val="20"/>
              </w:rPr>
              <w:t>16.0</w:t>
            </w:r>
          </w:p>
        </w:tc>
        <w:tc>
          <w:tcPr>
            <w:tcW w:type="dxa" w:w="1234"/>
          </w:tcPr>
          <w:p>
            <w:r>
              <w:rPr>
                <w:rFonts w:ascii="Malgun Gothic" w:hAnsi="Malgun Gothic" w:eastAsia="Malgun Gothic"/>
                <w:sz w:val="20"/>
              </w:rPr>
              <w:t>7.9e-4</w:t>
            </w:r>
          </w:p>
        </w:tc>
      </w:tr>
      <w:tr>
        <w:tc>
          <w:tcPr>
            <w:tcW w:type="dxa" w:w="1234"/>
          </w:tcPr>
          <w:p>
            <w:r>
              <w:rPr>
                <w:rFonts w:ascii="Malgun Gothic" w:hAnsi="Malgun Gothic" w:eastAsia="Malgun Gothic"/>
                <w:sz w:val="20"/>
              </w:rPr>
              <w:t>Kolmogorov N=64</w:t>
            </w:r>
          </w:p>
        </w:tc>
        <w:tc>
          <w:tcPr>
            <w:tcW w:type="dxa" w:w="1234"/>
          </w:tcPr>
          <w:p>
            <w:r>
              <w:rPr>
                <w:rFonts w:ascii="Malgun Gothic" w:hAnsi="Malgun Gothic" w:eastAsia="Malgun Gothic"/>
                <w:sz w:val="20"/>
              </w:rPr>
              <w:t>2D 주기</w:t>
            </w:r>
          </w:p>
        </w:tc>
        <w:tc>
          <w:tcPr>
            <w:tcW w:type="dxa" w:w="1234"/>
          </w:tcPr>
          <w:p>
            <w:r>
              <w:rPr>
                <w:rFonts w:ascii="Malgun Gothic" w:hAnsi="Malgun Gothic" w:eastAsia="Malgun Gothic"/>
                <w:sz w:val="20"/>
              </w:rPr>
              <w:t>12,462</w:t>
            </w:r>
          </w:p>
        </w:tc>
        <w:tc>
          <w:tcPr>
            <w:tcW w:type="dxa" w:w="1234"/>
          </w:tcPr>
          <w:p>
            <w:r>
              <w:rPr>
                <w:rFonts w:ascii="Malgun Gothic" w:hAnsi="Malgun Gothic" w:eastAsia="Malgun Gothic"/>
                <w:sz w:val="20"/>
              </w:rPr>
              <w:t>36.4</w:t>
            </w:r>
          </w:p>
        </w:tc>
        <w:tc>
          <w:tcPr>
            <w:tcW w:type="dxa" w:w="1234"/>
          </w:tcPr>
          <w:p>
            <w:r>
              <w:rPr>
                <w:rFonts w:ascii="Malgun Gothic" w:hAnsi="Malgun Gothic" w:eastAsia="Malgun Gothic"/>
                <w:sz w:val="20"/>
              </w:rPr>
              <w:t>779</w:t>
            </w:r>
          </w:p>
        </w:tc>
        <w:tc>
          <w:tcPr>
            <w:tcW w:type="dxa" w:w="1234"/>
          </w:tcPr>
          <w:p>
            <w:r>
              <w:rPr>
                <w:rFonts w:ascii="Malgun Gothic" w:hAnsi="Malgun Gothic" w:eastAsia="Malgun Gothic"/>
                <w:sz w:val="20"/>
              </w:rPr>
              <w:t>25.5</w:t>
            </w:r>
          </w:p>
        </w:tc>
        <w:tc>
          <w:tcPr>
            <w:tcW w:type="dxa" w:w="1234"/>
          </w:tcPr>
          <w:p>
            <w:r>
              <w:rPr>
                <w:rFonts w:ascii="Malgun Gothic" w:hAnsi="Malgun Gothic" w:eastAsia="Malgun Gothic"/>
                <w:sz w:val="20"/>
              </w:rPr>
              <w:t>4.8e-4</w:t>
            </w:r>
          </w:p>
        </w:tc>
      </w:tr>
      <w:tr>
        <w:tc>
          <w:tcPr>
            <w:tcW w:type="dxa" w:w="1234"/>
          </w:tcPr>
          <w:p>
            <w:r>
              <w:rPr>
                <w:rFonts w:ascii="Malgun Gothic" w:hAnsi="Malgun Gothic" w:eastAsia="Malgun Gothic"/>
                <w:sz w:val="20"/>
              </w:rPr>
              <w:t>Channel N=32</w:t>
            </w:r>
          </w:p>
        </w:tc>
        <w:tc>
          <w:tcPr>
            <w:tcW w:type="dxa" w:w="1234"/>
          </w:tcPr>
          <w:p>
            <w:r>
              <w:rPr>
                <w:rFonts w:ascii="Malgun Gothic" w:hAnsi="Malgun Gothic" w:eastAsia="Malgun Gothic"/>
                <w:sz w:val="20"/>
              </w:rPr>
              <w:t>2D 2벽</w:t>
            </w:r>
          </w:p>
        </w:tc>
        <w:tc>
          <w:tcPr>
            <w:tcW w:type="dxa" w:w="1234"/>
          </w:tcPr>
          <w:p>
            <w:r>
              <w:rPr>
                <w:rFonts w:ascii="Malgun Gothic" w:hAnsi="Malgun Gothic" w:eastAsia="Malgun Gothic"/>
                <w:sz w:val="20"/>
              </w:rPr>
              <w:t>5,427</w:t>
            </w:r>
          </w:p>
        </w:tc>
        <w:tc>
          <w:tcPr>
            <w:tcW w:type="dxa" w:w="1234"/>
          </w:tcPr>
          <w:p>
            <w:r>
              <w:rPr>
                <w:rFonts w:ascii="Malgun Gothic" w:hAnsi="Malgun Gothic" w:eastAsia="Malgun Gothic"/>
                <w:sz w:val="20"/>
              </w:rPr>
              <w:t>23.9</w:t>
            </w:r>
          </w:p>
        </w:tc>
        <w:tc>
          <w:tcPr>
            <w:tcW w:type="dxa" w:w="1234"/>
          </w:tcPr>
          <w:p>
            <w:r>
              <w:rPr>
                <w:rFonts w:ascii="Malgun Gothic" w:hAnsi="Malgun Gothic" w:eastAsia="Malgun Gothic"/>
                <w:sz w:val="20"/>
              </w:rPr>
              <w:t>1.8</w:t>
            </w:r>
          </w:p>
        </w:tc>
        <w:tc>
          <w:tcPr>
            <w:tcW w:type="dxa" w:w="1234"/>
          </w:tcPr>
          <w:p>
            <w:r>
              <w:rPr>
                <w:rFonts w:ascii="Malgun Gothic" w:hAnsi="Malgun Gothic" w:eastAsia="Malgun Gothic"/>
                <w:sz w:val="20"/>
              </w:rPr>
              <w:t>14.8</w:t>
            </w:r>
          </w:p>
        </w:tc>
        <w:tc>
          <w:tcPr>
            <w:tcW w:type="dxa" w:w="1234"/>
          </w:tcPr>
          <w:p>
            <w:r>
              <w:rPr>
                <w:rFonts w:ascii="Malgun Gothic" w:hAnsi="Malgun Gothic" w:eastAsia="Malgun Gothic"/>
                <w:sz w:val="20"/>
              </w:rPr>
              <w:t>8.9e-3</w:t>
            </w:r>
          </w:p>
        </w:tc>
      </w:tr>
      <w:tr>
        <w:tc>
          <w:tcPr>
            <w:tcW w:type="dxa" w:w="1234"/>
          </w:tcPr>
          <w:p>
            <w:r>
              <w:rPr>
                <w:rFonts w:ascii="Malgun Gothic" w:hAnsi="Malgun Gothic" w:eastAsia="Malgun Gothic"/>
                <w:sz w:val="20"/>
              </w:rPr>
              <w:t>Couette N=32</w:t>
            </w:r>
          </w:p>
        </w:tc>
        <w:tc>
          <w:tcPr>
            <w:tcW w:type="dxa" w:w="1234"/>
          </w:tcPr>
          <w:p>
            <w:r>
              <w:rPr>
                <w:rFonts w:ascii="Malgun Gothic" w:hAnsi="Malgun Gothic" w:eastAsia="Malgun Gothic"/>
                <w:sz w:val="20"/>
              </w:rPr>
              <w:t>2D 벽+뚜껑</w:t>
            </w:r>
          </w:p>
        </w:tc>
        <w:tc>
          <w:tcPr>
            <w:tcW w:type="dxa" w:w="1234"/>
          </w:tcPr>
          <w:p>
            <w:r>
              <w:rPr>
                <w:rFonts w:ascii="Malgun Gothic" w:hAnsi="Malgun Gothic" w:eastAsia="Malgun Gothic"/>
                <w:sz w:val="20"/>
              </w:rPr>
              <w:t>5,829</w:t>
            </w:r>
          </w:p>
        </w:tc>
        <w:tc>
          <w:tcPr>
            <w:tcW w:type="dxa" w:w="1234"/>
          </w:tcPr>
          <w:p>
            <w:r>
              <w:rPr>
                <w:rFonts w:ascii="Malgun Gothic" w:hAnsi="Malgun Gothic" w:eastAsia="Malgun Gothic"/>
                <w:sz w:val="20"/>
              </w:rPr>
              <w:t>194</w:t>
            </w:r>
          </w:p>
        </w:tc>
        <w:tc>
          <w:tcPr>
            <w:tcW w:type="dxa" w:w="1234"/>
          </w:tcPr>
          <w:p>
            <w:r>
              <w:rPr>
                <w:rFonts w:ascii="Malgun Gothic" w:hAnsi="Malgun Gothic" w:eastAsia="Malgun Gothic"/>
                <w:sz w:val="20"/>
              </w:rPr>
              <w:t>1.5</w:t>
            </w:r>
          </w:p>
        </w:tc>
        <w:tc>
          <w:tcPr>
            <w:tcW w:type="dxa" w:w="1234"/>
          </w:tcPr>
          <w:p>
            <w:r>
              <w:rPr>
                <w:rFonts w:ascii="Malgun Gothic" w:hAnsi="Malgun Gothic" w:eastAsia="Malgun Gothic"/>
                <w:sz w:val="20"/>
              </w:rPr>
              <w:t>87</w:t>
            </w:r>
          </w:p>
        </w:tc>
        <w:tc>
          <w:tcPr>
            <w:tcW w:type="dxa" w:w="1234"/>
          </w:tcPr>
          <w:p>
            <w:r>
              <w:rPr>
                <w:rFonts w:ascii="Malgun Gothic" w:hAnsi="Malgun Gothic" w:eastAsia="Malgun Gothic"/>
                <w:sz w:val="20"/>
              </w:rPr>
              <w:t>2.7e-2</w:t>
            </w:r>
          </w:p>
        </w:tc>
      </w:tr>
      <w:tr>
        <w:tc>
          <w:tcPr>
            <w:tcW w:type="dxa" w:w="1234"/>
          </w:tcPr>
          <w:p>
            <w:r>
              <w:rPr>
                <w:rFonts w:ascii="Malgun Gothic" w:hAnsi="Malgun Gothic" w:eastAsia="Malgun Gothic"/>
                <w:sz w:val="20"/>
              </w:rPr>
              <w:t>Cavity Re=100 N=25</w:t>
            </w:r>
          </w:p>
        </w:tc>
        <w:tc>
          <w:tcPr>
            <w:tcW w:type="dxa" w:w="1234"/>
          </w:tcPr>
          <w:p>
            <w:r>
              <w:rPr>
                <w:rFonts w:ascii="Malgun Gothic" w:hAnsi="Malgun Gothic" w:eastAsia="Malgun Gothic"/>
                <w:sz w:val="20"/>
              </w:rPr>
              <w:t>2D 4벽</w:t>
            </w:r>
          </w:p>
        </w:tc>
        <w:tc>
          <w:tcPr>
            <w:tcW w:type="dxa" w:w="1234"/>
          </w:tcPr>
          <w:p>
            <w:r>
              <w:rPr>
                <w:rFonts w:ascii="Malgun Gothic" w:hAnsi="Malgun Gothic" w:eastAsia="Malgun Gothic"/>
                <w:sz w:val="20"/>
              </w:rPr>
              <w:t>2,613</w:t>
            </w:r>
          </w:p>
        </w:tc>
        <w:tc>
          <w:tcPr>
            <w:tcW w:type="dxa" w:w="1234"/>
          </w:tcPr>
          <w:p>
            <w:r>
              <w:rPr>
                <w:rFonts w:ascii="Malgun Gothic" w:hAnsi="Malgun Gothic" w:eastAsia="Malgun Gothic"/>
                <w:sz w:val="20"/>
              </w:rPr>
              <w:t>5.9</w:t>
            </w:r>
          </w:p>
        </w:tc>
        <w:tc>
          <w:tcPr>
            <w:tcW w:type="dxa" w:w="1234"/>
          </w:tcPr>
          <w:p>
            <w:r>
              <w:rPr>
                <w:rFonts w:ascii="Malgun Gothic" w:hAnsi="Malgun Gothic" w:eastAsia="Malgun Gothic"/>
                <w:sz w:val="20"/>
              </w:rPr>
              <w:t>1.4</w:t>
            </w:r>
          </w:p>
        </w:tc>
        <w:tc>
          <w:tcPr>
            <w:tcW w:type="dxa" w:w="1234"/>
          </w:tcPr>
          <w:p>
            <w:r>
              <w:rPr>
                <w:rFonts w:ascii="Malgun Gothic" w:hAnsi="Malgun Gothic" w:eastAsia="Malgun Gothic"/>
                <w:sz w:val="20"/>
              </w:rPr>
              <w:t>2.8</w:t>
            </w:r>
          </w:p>
        </w:tc>
        <w:tc>
          <w:tcPr>
            <w:tcW w:type="dxa" w:w="1234"/>
          </w:tcPr>
          <w:p>
            <w:r>
              <w:rPr>
                <w:rFonts w:ascii="Malgun Gothic" w:hAnsi="Malgun Gothic" w:eastAsia="Malgun Gothic"/>
                <w:sz w:val="20"/>
              </w:rPr>
              <w:t>1.6e-2</w:t>
            </w:r>
          </w:p>
        </w:tc>
      </w:tr>
      <w:tr>
        <w:tc>
          <w:tcPr>
            <w:tcW w:type="dxa" w:w="1234"/>
          </w:tcPr>
          <w:p>
            <w:r>
              <w:rPr>
                <w:rFonts w:ascii="Malgun Gothic" w:hAnsi="Malgun Gothic" w:eastAsia="Malgun Gothic"/>
                <w:sz w:val="20"/>
              </w:rPr>
              <w:t>Cavity Re=400 N=33</w:t>
            </w:r>
          </w:p>
        </w:tc>
        <w:tc>
          <w:tcPr>
            <w:tcW w:type="dxa" w:w="1234"/>
          </w:tcPr>
          <w:p>
            <w:r>
              <w:rPr>
                <w:rFonts w:ascii="Malgun Gothic" w:hAnsi="Malgun Gothic" w:eastAsia="Malgun Gothic"/>
                <w:sz w:val="20"/>
              </w:rPr>
              <w:t>2D 4벽</w:t>
            </w:r>
          </w:p>
        </w:tc>
        <w:tc>
          <w:tcPr>
            <w:tcW w:type="dxa" w:w="1234"/>
          </w:tcPr>
          <w:p>
            <w:r>
              <w:rPr>
                <w:rFonts w:ascii="Malgun Gothic" w:hAnsi="Malgun Gothic" w:eastAsia="Malgun Gothic"/>
                <w:sz w:val="20"/>
              </w:rPr>
              <w:t>100,500</w:t>
            </w:r>
          </w:p>
        </w:tc>
        <w:tc>
          <w:tcPr>
            <w:tcW w:type="dxa" w:w="1234"/>
          </w:tcPr>
          <w:p>
            <w:r>
              <w:rPr>
                <w:rFonts w:ascii="Malgun Gothic" w:hAnsi="Malgun Gothic" w:eastAsia="Malgun Gothic"/>
                <w:sz w:val="20"/>
              </w:rPr>
              <w:t>9.1</w:t>
            </w:r>
          </w:p>
        </w:tc>
        <w:tc>
          <w:tcPr>
            <w:tcW w:type="dxa" w:w="1234"/>
          </w:tcPr>
          <w:p>
            <w:r>
              <w:rPr>
                <w:rFonts w:ascii="Malgun Gothic" w:hAnsi="Malgun Gothic" w:eastAsia="Malgun Gothic"/>
                <w:sz w:val="20"/>
              </w:rPr>
              <w:t>2.0</w:t>
            </w:r>
          </w:p>
        </w:tc>
        <w:tc>
          <w:tcPr>
            <w:tcW w:type="dxa" w:w="1234"/>
          </w:tcPr>
          <w:p>
            <w:r>
              <w:rPr>
                <w:rFonts w:ascii="Malgun Gothic" w:hAnsi="Malgun Gothic" w:eastAsia="Malgun Gothic"/>
                <w:sz w:val="20"/>
              </w:rPr>
              <w:t>3.8</w:t>
            </w:r>
          </w:p>
        </w:tc>
        <w:tc>
          <w:tcPr>
            <w:tcW w:type="dxa" w:w="1234"/>
          </w:tcPr>
          <w:p>
            <w:r>
              <w:rPr>
                <w:rFonts w:ascii="Malgun Gothic" w:hAnsi="Malgun Gothic" w:eastAsia="Malgun Gothic"/>
                <w:sz w:val="20"/>
              </w:rPr>
              <w:t>1.4e-2</w:t>
            </w:r>
          </w:p>
        </w:tc>
      </w:tr>
      <w:tr>
        <w:tc>
          <w:tcPr>
            <w:tcW w:type="dxa" w:w="1234"/>
          </w:tcPr>
          <w:p>
            <w:r>
              <w:rPr>
                <w:rFonts w:ascii="Malgun Gothic" w:hAnsi="Malgun Gothic" w:eastAsia="Malgun Gothic"/>
                <w:sz w:val="20"/>
              </w:rPr>
              <w:t>Cavity Re=1000 N=65</w:t>
            </w:r>
          </w:p>
        </w:tc>
        <w:tc>
          <w:tcPr>
            <w:tcW w:type="dxa" w:w="1234"/>
          </w:tcPr>
          <w:p>
            <w:r>
              <w:rPr>
                <w:rFonts w:ascii="Malgun Gothic" w:hAnsi="Malgun Gothic" w:eastAsia="Malgun Gothic"/>
                <w:sz w:val="20"/>
              </w:rPr>
              <w:t>2D 4벽</w:t>
            </w:r>
          </w:p>
        </w:tc>
        <w:tc>
          <w:tcPr>
            <w:tcW w:type="dxa" w:w="1234"/>
          </w:tcPr>
          <w:p>
            <w:r>
              <w:rPr>
                <w:rFonts w:ascii="Malgun Gothic" w:hAnsi="Malgun Gothic" w:eastAsia="Malgun Gothic"/>
                <w:sz w:val="20"/>
              </w:rPr>
              <w:t>200k+¹</w:t>
            </w:r>
          </w:p>
        </w:tc>
        <w:tc>
          <w:tcPr>
            <w:tcW w:type="dxa" w:w="1234"/>
          </w:tcPr>
          <w:p>
            <w:r>
              <w:rPr>
                <w:rFonts w:ascii="Malgun Gothic" w:hAnsi="Malgun Gothic" w:eastAsia="Malgun Gothic"/>
                <w:sz w:val="20"/>
              </w:rPr>
              <w:t>14.0</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t>12.5</w:t>
            </w:r>
          </w:p>
        </w:tc>
        <w:tc>
          <w:tcPr>
            <w:tcW w:type="dxa" w:w="1234"/>
          </w:tcPr>
          <w:p>
            <w:r>
              <w:rPr>
                <w:rFonts w:ascii="Malgun Gothic" w:hAnsi="Malgun Gothic" w:eastAsia="Malgun Gothic"/>
                <w:sz w:val="20"/>
              </w:rPr>
              <w:t>—</w:t>
            </w:r>
          </w:p>
        </w:tc>
      </w:tr>
      <w:tr>
        <w:tc>
          <w:tcPr>
            <w:tcW w:type="dxa" w:w="1234"/>
          </w:tcPr>
          <w:p>
            <w:r>
              <w:rPr>
                <w:rFonts w:ascii="Malgun Gothic" w:hAnsi="Malgun Gothic" w:eastAsia="Malgun Gothic"/>
                <w:sz w:val="20"/>
              </w:rPr>
              <w:t>Multi-cylinder N=32</w:t>
            </w:r>
          </w:p>
        </w:tc>
        <w:tc>
          <w:tcPr>
            <w:tcW w:type="dxa" w:w="1234"/>
          </w:tcPr>
          <w:p>
            <w:r>
              <w:rPr>
                <w:rFonts w:ascii="Malgun Gothic" w:hAnsi="Malgun Gothic" w:eastAsia="Malgun Gothic"/>
                <w:sz w:val="20"/>
              </w:rPr>
              <w:t>2D 복셀</w:t>
            </w:r>
          </w:p>
        </w:tc>
        <w:tc>
          <w:tcPr>
            <w:tcW w:type="dxa" w:w="1234"/>
          </w:tcPr>
          <w:p>
            <w:r>
              <w:rPr>
                <w:rFonts w:ascii="Malgun Gothic" w:hAnsi="Malgun Gothic" w:eastAsia="Malgun Gothic"/>
                <w:sz w:val="20"/>
              </w:rPr>
              <w:t>2,211</w:t>
            </w:r>
          </w:p>
        </w:tc>
        <w:tc>
          <w:tcPr>
            <w:tcW w:type="dxa" w:w="1234"/>
          </w:tcPr>
          <w:p>
            <w:r>
              <w:rPr>
                <w:rFonts w:ascii="Malgun Gothic" w:hAnsi="Malgun Gothic" w:eastAsia="Malgun Gothic"/>
                <w:sz w:val="20"/>
              </w:rPr>
              <w:t>3.5</w:t>
            </w:r>
          </w:p>
        </w:tc>
        <w:tc>
          <w:tcPr>
            <w:tcW w:type="dxa" w:w="1234"/>
          </w:tcPr>
          <w:p>
            <w:r>
              <w:rPr>
                <w:rFonts w:ascii="Malgun Gothic" w:hAnsi="Malgun Gothic" w:eastAsia="Malgun Gothic"/>
                <w:sz w:val="20"/>
              </w:rPr>
              <w:t>1.1</w:t>
            </w:r>
          </w:p>
        </w:tc>
        <w:tc>
          <w:tcPr>
            <w:tcW w:type="dxa" w:w="1234"/>
          </w:tcPr>
          <w:p>
            <w:r>
              <w:rPr>
                <w:rFonts w:ascii="Malgun Gothic" w:hAnsi="Malgun Gothic" w:eastAsia="Malgun Gothic"/>
                <w:sz w:val="20"/>
              </w:rPr>
              <w:t>2.4</w:t>
            </w:r>
          </w:p>
        </w:tc>
        <w:tc>
          <w:tcPr>
            <w:tcW w:type="dxa" w:w="1234"/>
          </w:tcPr>
          <w:p>
            <w:r>
              <w:rPr>
                <w:rFonts w:ascii="Malgun Gothic" w:hAnsi="Malgun Gothic" w:eastAsia="Malgun Gothic"/>
                <w:sz w:val="20"/>
              </w:rPr>
              <w:t>8.1e-3</w:t>
            </w:r>
          </w:p>
        </w:tc>
      </w:tr>
      <w:tr>
        <w:tc>
          <w:tcPr>
            <w:tcW w:type="dxa" w:w="1234"/>
          </w:tcPr>
          <w:p>
            <w:r>
              <w:rPr>
                <w:rFonts w:ascii="Malgun Gothic" w:hAnsi="Malgun Gothic" w:eastAsia="Malgun Gothic"/>
                <w:sz w:val="20"/>
              </w:rPr>
              <w:t>3D Kolmogorov N=16</w:t>
            </w:r>
          </w:p>
        </w:tc>
        <w:tc>
          <w:tcPr>
            <w:tcW w:type="dxa" w:w="1234"/>
          </w:tcPr>
          <w:p>
            <w:r>
              <w:rPr>
                <w:rFonts w:ascii="Malgun Gothic" w:hAnsi="Malgun Gothic" w:eastAsia="Malgun Gothic"/>
                <w:sz w:val="20"/>
              </w:rPr>
              <w:t>3D 주기</w:t>
            </w:r>
          </w:p>
        </w:tc>
        <w:tc>
          <w:tcPr>
            <w:tcW w:type="dxa" w:w="1234"/>
          </w:tcPr>
          <w:p>
            <w:r>
              <w:rPr>
                <w:rFonts w:ascii="Malgun Gothic" w:hAnsi="Malgun Gothic" w:eastAsia="Malgun Gothic"/>
                <w:sz w:val="20"/>
              </w:rPr>
              <w:t>603</w:t>
            </w:r>
          </w:p>
        </w:tc>
        <w:tc>
          <w:tcPr>
            <w:tcW w:type="dxa" w:w="1234"/>
          </w:tcPr>
          <w:p>
            <w:r>
              <w:rPr>
                <w:rFonts w:ascii="Malgun Gothic" w:hAnsi="Malgun Gothic" w:eastAsia="Malgun Gothic"/>
                <w:sz w:val="20"/>
              </w:rPr>
              <w:t>3.3</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t>2.8</w:t>
            </w:r>
          </w:p>
        </w:tc>
        <w:tc>
          <w:tcPr>
            <w:tcW w:type="dxa" w:w="1234"/>
          </w:tcPr>
          <w:p>
            <w:r>
              <w:rPr>
                <w:rFonts w:ascii="Malgun Gothic" w:hAnsi="Malgun Gothic" w:eastAsia="Malgun Gothic"/>
                <w:sz w:val="20"/>
              </w:rPr>
              <w:t>8.2e-4</w:t>
            </w:r>
          </w:p>
        </w:tc>
      </w:tr>
      <w:tr>
        <w:tc>
          <w:tcPr>
            <w:tcW w:type="dxa" w:w="1234"/>
          </w:tcPr>
          <w:p>
            <w:r>
              <w:rPr>
                <w:rFonts w:ascii="Malgun Gothic" w:hAnsi="Malgun Gothic" w:eastAsia="Malgun Gothic"/>
                <w:sz w:val="20"/>
              </w:rPr>
              <w:t>3D Kolmogorov N=24</w:t>
            </w:r>
          </w:p>
        </w:tc>
        <w:tc>
          <w:tcPr>
            <w:tcW w:type="dxa" w:w="1234"/>
          </w:tcPr>
          <w:p>
            <w:r>
              <w:rPr>
                <w:rFonts w:ascii="Malgun Gothic" w:hAnsi="Malgun Gothic" w:eastAsia="Malgun Gothic"/>
                <w:sz w:val="20"/>
              </w:rPr>
              <w:t>3D 주기</w:t>
            </w:r>
          </w:p>
        </w:tc>
        <w:tc>
          <w:tcPr>
            <w:tcW w:type="dxa" w:w="1234"/>
          </w:tcPr>
          <w:p>
            <w:r>
              <w:rPr>
                <w:rFonts w:ascii="Malgun Gothic" w:hAnsi="Malgun Gothic" w:eastAsia="Malgun Gothic"/>
                <w:sz w:val="20"/>
              </w:rPr>
              <w:t>1,407</w:t>
            </w:r>
          </w:p>
        </w:tc>
        <w:tc>
          <w:tcPr>
            <w:tcW w:type="dxa" w:w="1234"/>
          </w:tcPr>
          <w:p>
            <w:r>
              <w:rPr>
                <w:rFonts w:ascii="Malgun Gothic" w:hAnsi="Malgun Gothic" w:eastAsia="Malgun Gothic"/>
                <w:sz w:val="20"/>
              </w:rPr>
              <w:t>6.5</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t>5.0</w:t>
            </w:r>
          </w:p>
        </w:tc>
        <w:tc>
          <w:tcPr>
            <w:tcW w:type="dxa" w:w="1234"/>
          </w:tcPr>
          <w:p>
            <w:r>
              <w:rPr>
                <w:rFonts w:ascii="Malgun Gothic" w:hAnsi="Malgun Gothic" w:eastAsia="Malgun Gothic"/>
                <w:sz w:val="20"/>
              </w:rPr>
              <w:t>7.4e-4</w:t>
            </w:r>
          </w:p>
        </w:tc>
      </w:tr>
      <w:tr>
        <w:tc>
          <w:tcPr>
            <w:tcW w:type="dxa" w:w="1234"/>
          </w:tcPr>
          <w:p>
            <w:r>
              <w:rPr>
                <w:rFonts w:ascii="Malgun Gothic" w:hAnsi="Malgun Gothic" w:eastAsia="Malgun Gothic"/>
                <w:sz w:val="20"/>
              </w:rPr>
              <w:t>3D Channel N=24</w:t>
            </w:r>
          </w:p>
        </w:tc>
        <w:tc>
          <w:tcPr>
            <w:tcW w:type="dxa" w:w="1234"/>
          </w:tcPr>
          <w:p>
            <w:r>
              <w:rPr>
                <w:rFonts w:ascii="Malgun Gothic" w:hAnsi="Malgun Gothic" w:eastAsia="Malgun Gothic"/>
                <w:sz w:val="20"/>
              </w:rPr>
              <w:t>3D 2벽</w:t>
            </w:r>
          </w:p>
        </w:tc>
        <w:tc>
          <w:tcPr>
            <w:tcW w:type="dxa" w:w="1234"/>
          </w:tcPr>
          <w:p>
            <w:r>
              <w:rPr>
                <w:rFonts w:ascii="Malgun Gothic" w:hAnsi="Malgun Gothic" w:eastAsia="Malgun Gothic"/>
                <w:sz w:val="20"/>
              </w:rPr>
              <w:t>4,623</w:t>
            </w:r>
          </w:p>
        </w:tc>
        <w:tc>
          <w:tcPr>
            <w:tcW w:type="dxa" w:w="1234"/>
          </w:tcPr>
          <w:p>
            <w:r>
              <w:rPr>
                <w:rFonts w:ascii="Malgun Gothic" w:hAnsi="Malgun Gothic" w:eastAsia="Malgun Gothic"/>
                <w:sz w:val="20"/>
              </w:rPr>
              <w:t>13.8</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t>8.1</w:t>
            </w:r>
          </w:p>
        </w:tc>
        <w:tc>
          <w:tcPr>
            <w:tcW w:type="dxa" w:w="1234"/>
          </w:tcPr>
          <w:p>
            <w:r>
              <w:rPr>
                <w:rFonts w:ascii="Malgun Gothic" w:hAnsi="Malgun Gothic" w:eastAsia="Malgun Gothic"/>
                <w:sz w:val="20"/>
              </w:rPr>
              <w:t>4.6e-3</w:t>
            </w:r>
          </w:p>
        </w:tc>
      </w:tr>
      <w:tr>
        <w:tc>
          <w:tcPr>
            <w:tcW w:type="dxa" w:w="1234"/>
          </w:tcPr>
          <w:p>
            <w:r>
              <w:rPr>
                <w:rFonts w:ascii="Malgun Gothic" w:hAnsi="Malgun Gothic" w:eastAsia="Malgun Gothic"/>
                <w:sz w:val="20"/>
              </w:rPr>
              <w:t>기하평균</w:t>
            </w:r>
          </w:p>
        </w:tc>
        <w:tc>
          <w:tcPr>
            <w:tcW w:type="dxa" w:w="1234"/>
          </w:tcPr>
          <w:p>
            <w:r>
              <w:rPr>
                <w:rFonts w:ascii="Malgun Gothic" w:hAnsi="Malgun Gothic" w:eastAsia="Malgun Gothic"/>
                <w:sz w:val="20"/>
              </w:rPr>
            </w:r>
          </w:p>
        </w:tc>
        <w:tc>
          <w:tcPr>
            <w:tcW w:type="dxa" w:w="1234"/>
          </w:tcPr>
          <w:p>
            <w:r>
              <w:rPr>
                <w:rFonts w:ascii="Malgun Gothic" w:hAnsi="Malgun Gothic" w:eastAsia="Malgun Gothic"/>
                <w:sz w:val="20"/>
              </w:rPr>
            </w:r>
          </w:p>
        </w:tc>
        <w:tc>
          <w:tcPr>
            <w:tcW w:type="dxa" w:w="1234"/>
          </w:tcPr>
          <w:p>
            <w:r>
              <w:rPr>
                <w:rFonts w:ascii="Malgun Gothic" w:hAnsi="Malgun Gothic" w:eastAsia="Malgun Gothic"/>
                <w:sz w:val="20"/>
              </w:rPr>
              <w:t>13.3</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t>—</w:t>
            </w:r>
          </w:p>
        </w:tc>
        <w:tc>
          <w:tcPr>
            <w:tcW w:type="dxa" w:w="1234"/>
          </w:tcPr>
          <w:p>
            <w:r>
              <w:rPr>
                <w:rFonts w:ascii="Malgun Gothic" w:hAnsi="Malgun Gothic" w:eastAsia="Malgun Gothic"/>
                <w:sz w:val="20"/>
              </w:rPr>
            </w:r>
          </w:p>
        </w:tc>
      </w:tr>
    </w:tbl>
    <w:p>
      <w:pPr>
        <w:spacing w:after="80"/>
      </w:pPr>
      <w:r>
        <w:rPr>
          <w:rFonts w:ascii="Malgun Gothic" w:hAnsi="Malgun Gothic" w:eastAsia="Malgun Gothic"/>
          <w:b w:val="0"/>
          <w:i/>
          <w:sz w:val="18"/>
        </w:rPr>
        <w:t>¹ 기본 LBM은 200,000 스텝 한도 내 수렴 실증.</w:t>
      </w:r>
    </w:p>
    <w:p>
      <w:pPr>
        <w:spacing w:before="160" w:after="40"/>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1. 2D Kolmogorov 흐름 N=64에서 SCMK vs 기본 LBM 수렴 곡선 (LBE 호출 수 vs 정상 잔차 RMS).</w:t>
      </w:r>
    </w:p>
    <w:p>
      <w:pPr>
        <w:spacing w:before="160" w:after="40"/>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profile.png"/>
                    <pic:cNvPicPr/>
                  </pic:nvPicPr>
                  <pic:blipFill>
                    <a:blip r:embed="rId10"/>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2. Kolmogorov 정상 속도 프로파일 u_x(y): SCMK 와 기본 LBM 모두 해석해와 일치.</w:t>
      </w:r>
    </w:p>
    <w:p>
      <w:pPr>
        <w:spacing w:before="160" w:after="40"/>
        <w:jc w:val="center"/>
      </w:pPr>
      <w:r>
        <w:drawing>
          <wp:inline xmlns:a="http://schemas.openxmlformats.org/drawingml/2006/main" xmlns:pic="http://schemas.openxmlformats.org/drawingml/2006/picture">
            <wp:extent cx="5943600" cy="4114800"/>
            <wp:docPr id="3" name="Picture 3"/>
            <wp:cNvGraphicFramePr>
              <a:graphicFrameLocks noChangeAspect="1"/>
            </wp:cNvGraphicFramePr>
            <a:graphic>
              <a:graphicData uri="http://schemas.openxmlformats.org/drawingml/2006/picture">
                <pic:pic>
                  <pic:nvPicPr>
                    <pic:cNvPr id="0" name="scaling.png"/>
                    <pic:cNvPicPr/>
                  </pic:nvPicPr>
                  <pic:blipFill>
                    <a:blip r:embed="rId11"/>
                    <a:stretch>
                      <a:fillRect/>
                    </a:stretch>
                  </pic:blipFill>
                  <pic:spPr>
                    <a:xfrm>
                      <a:off x="0" y="0"/>
                      <a:ext cx="5943600" cy="4114800"/>
                    </a:xfrm>
                    <a:prstGeom prst="rect"/>
                  </pic:spPr>
                </pic:pic>
              </a:graphicData>
            </a:graphic>
          </wp:inline>
        </w:drawing>
      </w:r>
    </w:p>
    <w:p>
      <w:pPr>
        <w:spacing w:after="200"/>
        <w:jc w:val="center"/>
      </w:pPr>
      <w:r>
        <w:rPr>
          <w:rFonts w:ascii="Malgun Gothic" w:hAnsi="Malgun Gothic" w:eastAsia="Malgun Gothic"/>
          <w:i/>
          <w:sz w:val="20"/>
        </w:rPr>
        <w:t>그림 3. Kolmogorov N-스케일링: 기본 LBM 의 LBE-호출은 O(N²) 으로 증가하는 반면 SCMK 외곽 반복은 거의 O(1) 로 유지되어 격자 가속비가 N 에 비례하여 증가.</w:t>
      </w:r>
    </w:p>
    <w:p>
      <w:pPr>
        <w:spacing w:before="160" w:after="40"/>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convergence.png"/>
                    <pic:cNvPicPr/>
                  </pic:nvPicPr>
                  <pic:blipFill>
                    <a:blip r:embed="rId12"/>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4. 채널 Poiseuille N=64 수렴 곡선: SCMK 가 기본 LBM 대비 약 53× LBE 가속.</w:t>
      </w:r>
    </w:p>
    <w:p>
      <w:pPr>
        <w:spacing w:before="160" w:after="40"/>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profile.png"/>
                    <pic:cNvPicPr/>
                  </pic:nvPicPr>
                  <pic:blipFill>
                    <a:blip r:embed="rId13"/>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5. 채널 정상 속도 프로파일 u_x(y): 해석 Poiseuille 와 일치.</w:t>
      </w:r>
    </w:p>
    <w:p>
      <w:pPr>
        <w:spacing w:before="160" w:after="40"/>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cavity_re400_n49_conv.png"/>
                    <pic:cNvPicPr/>
                  </pic:nvPicPr>
                  <pic:blipFill>
                    <a:blip r:embed="rId14"/>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6. 뚜껑 구동 캐비티 Re=400 N=49 의 수렴 곡선 비교.</w:t>
      </w:r>
    </w:p>
    <w:p>
      <w:pPr>
        <w:spacing w:before="240" w:after="120"/>
      </w:pPr>
      <w:r>
        <w:rPr>
          <w:rFonts w:ascii="Malgun Gothic" w:hAnsi="Malgun Gothic" w:eastAsia="Malgun Gothic"/>
          <w:b/>
          <w:sz w:val="24"/>
        </w:rPr>
        <w:t>3.3 Theorem 2 수렴률 한계 실증</w:t>
      </w:r>
    </w:p>
    <w:p>
      <w:pPr>
        <w:spacing w:after="80"/>
        <w:ind w:firstLine="283"/>
      </w:pPr>
      <w:r>
        <w:rPr>
          <w:rFonts w:ascii="Malgun Gothic" w:hAnsi="Malgun Gothic" w:eastAsia="Malgun Gothic"/>
          <w:b w:val="0"/>
          <w:i w:val="0"/>
          <w:sz w:val="22"/>
        </w:rPr>
        <w:t>표 2에 6개 대표 사례에서 측정된 외곽 반복당 수렴률 ρ_k = ‖R^{k+1}‖/‖R^k‖ 의 기하평균을 기록한다. 5/6 사례가 ρ &lt; 0.98 한계를 만족하며, Cavity Re=400만이 0.986으로 한계에 근접하였다. 이는 한계가 tight하며 고-Re 사례에서 한계 근처에 도달할 수 있음을 시사한다.</w:t>
      </w:r>
    </w:p>
    <w:p>
      <w:pPr>
        <w:spacing w:after="80"/>
      </w:pPr>
      <w:r>
        <w:rPr>
          <w:rFonts w:ascii="Malgun Gothic" w:hAnsi="Malgun Gothic" w:eastAsia="Malgun Gothic"/>
          <w:b/>
          <w:i w:val="0"/>
          <w:sz w:val="20"/>
        </w:rPr>
        <w:t>표 2. Theorem 2 수렴률 실증</w:t>
      </w:r>
    </w:p>
    <w:tbl>
      <w:tblPr>
        <w:tblStyle w:val="LightGrid"/>
        <w:tblW w:type="auto" w:w="0"/>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sz w:val="20"/>
              </w:rPr>
              <w:t>사례</w:t>
            </w:r>
          </w:p>
        </w:tc>
        <w:tc>
          <w:tcPr>
            <w:tcW w:type="dxa" w:w="2880"/>
          </w:tcPr>
          <w:p>
            <w:r>
              <w:rPr>
                <w:rFonts w:ascii="Malgun Gothic" w:hAnsi="Malgun Gothic" w:eastAsia="Malgun Gothic"/>
                <w:b/>
                <w:sz w:val="20"/>
              </w:rPr>
              <w:t>측정된 ρ</w:t>
            </w:r>
          </w:p>
        </w:tc>
        <w:tc>
          <w:tcPr>
            <w:tcW w:type="dxa" w:w="2880"/>
          </w:tcPr>
          <w:p>
            <w:r>
              <w:rPr>
                <w:rFonts w:ascii="Malgun Gothic" w:hAnsi="Malgun Gothic" w:eastAsia="Malgun Gothic"/>
                <w:b/>
                <w:sz w:val="20"/>
              </w:rPr>
              <w:t>ρ ≤ 0.98</w:t>
            </w:r>
          </w:p>
        </w:tc>
      </w:tr>
      <w:tr>
        <w:tc>
          <w:tcPr>
            <w:tcW w:type="dxa" w:w="2880"/>
          </w:tcPr>
          <w:p>
            <w:r>
              <w:rPr>
                <w:rFonts w:ascii="Malgun Gothic" w:hAnsi="Malgun Gothic" w:eastAsia="Malgun Gothic"/>
                <w:sz w:val="20"/>
              </w:rPr>
              <w:t>Kolmogorov N=32</w:t>
            </w:r>
          </w:p>
        </w:tc>
        <w:tc>
          <w:tcPr>
            <w:tcW w:type="dxa" w:w="2880"/>
          </w:tcPr>
          <w:p>
            <w:r>
              <w:rPr>
                <w:rFonts w:ascii="Malgun Gothic" w:hAnsi="Malgun Gothic" w:eastAsia="Malgun Gothic"/>
                <w:sz w:val="20"/>
              </w:rPr>
              <w:t>0.681</w:t>
            </w:r>
          </w:p>
        </w:tc>
        <w:tc>
          <w:tcPr>
            <w:tcW w:type="dxa" w:w="2880"/>
          </w:tcPr>
          <w:p>
            <w:r>
              <w:rPr>
                <w:rFonts w:ascii="Malgun Gothic" w:hAnsi="Malgun Gothic" w:eastAsia="Malgun Gothic"/>
                <w:sz w:val="20"/>
              </w:rPr>
              <w:t>✓</w:t>
            </w:r>
          </w:p>
        </w:tc>
      </w:tr>
      <w:tr>
        <w:tc>
          <w:tcPr>
            <w:tcW w:type="dxa" w:w="2880"/>
          </w:tcPr>
          <w:p>
            <w:r>
              <w:rPr>
                <w:rFonts w:ascii="Malgun Gothic" w:hAnsi="Malgun Gothic" w:eastAsia="Malgun Gothic"/>
                <w:sz w:val="20"/>
              </w:rPr>
              <w:t>Channel N=32</w:t>
            </w:r>
          </w:p>
        </w:tc>
        <w:tc>
          <w:tcPr>
            <w:tcW w:type="dxa" w:w="2880"/>
          </w:tcPr>
          <w:p>
            <w:r>
              <w:rPr>
                <w:rFonts w:ascii="Malgun Gothic" w:hAnsi="Malgun Gothic" w:eastAsia="Malgun Gothic"/>
                <w:sz w:val="20"/>
              </w:rPr>
              <w:t>0.691</w:t>
            </w:r>
          </w:p>
        </w:tc>
        <w:tc>
          <w:tcPr>
            <w:tcW w:type="dxa" w:w="2880"/>
          </w:tcPr>
          <w:p>
            <w:r>
              <w:rPr>
                <w:rFonts w:ascii="Malgun Gothic" w:hAnsi="Malgun Gothic" w:eastAsia="Malgun Gothic"/>
                <w:sz w:val="20"/>
              </w:rPr>
              <w:t>✓</w:t>
            </w:r>
          </w:p>
        </w:tc>
      </w:tr>
      <w:tr>
        <w:tc>
          <w:tcPr>
            <w:tcW w:type="dxa" w:w="2880"/>
          </w:tcPr>
          <w:p>
            <w:r>
              <w:rPr>
                <w:rFonts w:ascii="Malgun Gothic" w:hAnsi="Malgun Gothic" w:eastAsia="Malgun Gothic"/>
                <w:sz w:val="20"/>
              </w:rPr>
              <w:t>Couette N=32</w:t>
            </w:r>
          </w:p>
        </w:tc>
        <w:tc>
          <w:tcPr>
            <w:tcW w:type="dxa" w:w="2880"/>
          </w:tcPr>
          <w:p>
            <w:r>
              <w:rPr>
                <w:rFonts w:ascii="Malgun Gothic" w:hAnsi="Malgun Gothic" w:eastAsia="Malgun Gothic"/>
                <w:sz w:val="20"/>
              </w:rPr>
              <w:t>N/A (1 반복)</w:t>
            </w:r>
          </w:p>
        </w:tc>
        <w:tc>
          <w:tcPr>
            <w:tcW w:type="dxa" w:w="2880"/>
          </w:tcPr>
          <w:p>
            <w:r>
              <w:rPr>
                <w:rFonts w:ascii="Malgun Gothic" w:hAnsi="Malgun Gothic" w:eastAsia="Malgun Gothic"/>
                <w:sz w:val="20"/>
              </w:rPr>
              <w:t>✓</w:t>
            </w:r>
          </w:p>
        </w:tc>
      </w:tr>
      <w:tr>
        <w:tc>
          <w:tcPr>
            <w:tcW w:type="dxa" w:w="2880"/>
          </w:tcPr>
          <w:p>
            <w:r>
              <w:rPr>
                <w:rFonts w:ascii="Malgun Gothic" w:hAnsi="Malgun Gothic" w:eastAsia="Malgun Gothic"/>
                <w:sz w:val="20"/>
              </w:rPr>
              <w:t>Cavity Re=100 N=25</w:t>
            </w:r>
          </w:p>
        </w:tc>
        <w:tc>
          <w:tcPr>
            <w:tcW w:type="dxa" w:w="2880"/>
          </w:tcPr>
          <w:p>
            <w:r>
              <w:rPr>
                <w:rFonts w:ascii="Malgun Gothic" w:hAnsi="Malgun Gothic" w:eastAsia="Malgun Gothic"/>
                <w:sz w:val="20"/>
              </w:rPr>
              <w:t>0.638</w:t>
            </w:r>
          </w:p>
        </w:tc>
        <w:tc>
          <w:tcPr>
            <w:tcW w:type="dxa" w:w="2880"/>
          </w:tcPr>
          <w:p>
            <w:r>
              <w:rPr>
                <w:rFonts w:ascii="Malgun Gothic" w:hAnsi="Malgun Gothic" w:eastAsia="Malgun Gothic"/>
                <w:sz w:val="20"/>
              </w:rPr>
              <w:t>✓</w:t>
            </w:r>
          </w:p>
        </w:tc>
      </w:tr>
      <w:tr>
        <w:tc>
          <w:tcPr>
            <w:tcW w:type="dxa" w:w="2880"/>
          </w:tcPr>
          <w:p>
            <w:r>
              <w:rPr>
                <w:rFonts w:ascii="Malgun Gothic" w:hAnsi="Malgun Gothic" w:eastAsia="Malgun Gothic"/>
                <w:sz w:val="20"/>
              </w:rPr>
              <w:t>Cavity Re=400 N=33</w:t>
            </w:r>
          </w:p>
        </w:tc>
        <w:tc>
          <w:tcPr>
            <w:tcW w:type="dxa" w:w="2880"/>
          </w:tcPr>
          <w:p>
            <w:r>
              <w:rPr>
                <w:rFonts w:ascii="Malgun Gothic" w:hAnsi="Malgun Gothic" w:eastAsia="Malgun Gothic"/>
                <w:sz w:val="20"/>
              </w:rPr>
              <w:t>0.986</w:t>
            </w:r>
          </w:p>
        </w:tc>
        <w:tc>
          <w:tcPr>
            <w:tcW w:type="dxa" w:w="2880"/>
          </w:tcPr>
          <w:p>
            <w:r>
              <w:rPr>
                <w:rFonts w:ascii="Malgun Gothic" w:hAnsi="Malgun Gothic" w:eastAsia="Malgun Gothic"/>
                <w:sz w:val="20"/>
              </w:rPr>
              <w:t>✗ (한계 근접)</w:t>
            </w:r>
          </w:p>
        </w:tc>
      </w:tr>
      <w:tr>
        <w:tc>
          <w:tcPr>
            <w:tcW w:type="dxa" w:w="2880"/>
          </w:tcPr>
          <w:p>
            <w:r>
              <w:rPr>
                <w:rFonts w:ascii="Malgun Gothic" w:hAnsi="Malgun Gothic" w:eastAsia="Malgun Gothic"/>
                <w:sz w:val="20"/>
              </w:rPr>
              <w:t>Multi-cyl N=32</w:t>
            </w:r>
          </w:p>
        </w:tc>
        <w:tc>
          <w:tcPr>
            <w:tcW w:type="dxa" w:w="2880"/>
          </w:tcPr>
          <w:p>
            <w:r>
              <w:rPr>
                <w:rFonts w:ascii="Malgun Gothic" w:hAnsi="Malgun Gothic" w:eastAsia="Malgun Gothic"/>
                <w:sz w:val="20"/>
              </w:rPr>
              <w:t>0.723</w:t>
            </w:r>
          </w:p>
        </w:tc>
        <w:tc>
          <w:tcPr>
            <w:tcW w:type="dxa" w:w="2880"/>
          </w:tcPr>
          <w:p>
            <w:r>
              <w:rPr>
                <w:rFonts w:ascii="Malgun Gothic" w:hAnsi="Malgun Gothic" w:eastAsia="Malgun Gothic"/>
                <w:sz w:val="20"/>
              </w:rPr>
              <w:t>✓</w:t>
            </w:r>
          </w:p>
        </w:tc>
      </w:tr>
    </w:tbl>
    <w:p>
      <w:pPr>
        <w:spacing w:before="16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convergence_rates.png"/>
                    <pic:cNvPicPr/>
                  </pic:nvPicPr>
                  <pic:blipFill>
                    <a:blip r:embed="rId15"/>
                    <a:stretch>
                      <a:fillRect/>
                    </a:stretch>
                  </pic:blipFill>
                  <pic:spPr>
                    <a:xfrm>
                      <a:off x="0" y="0"/>
                      <a:ext cx="5486400" cy="3429000"/>
                    </a:xfrm>
                    <a:prstGeom prst="rect"/>
                  </pic:spPr>
                </pic:pic>
              </a:graphicData>
            </a:graphic>
          </wp:inline>
        </w:drawing>
      </w:r>
    </w:p>
    <w:p>
      <w:pPr>
        <w:spacing w:after="200"/>
        <w:jc w:val="center"/>
      </w:pPr>
      <w:r>
        <w:rPr>
          <w:rFonts w:ascii="Malgun Gothic" w:hAnsi="Malgun Gothic" w:eastAsia="Malgun Gothic"/>
          <w:i/>
          <w:sz w:val="20"/>
        </w:rPr>
        <w:t>그림 7. Theorem 2 수렴률 한계 실증: 6 사례 외곽 반복당 잔차 감쇠. 5/6 사례가 ρ ≤ 0.98 한계 내, Cavity Re=400 만 ρ=0.986 으로 한계 근접.</w:t>
      </w:r>
    </w:p>
    <w:p>
      <w:pPr>
        <w:spacing w:before="240" w:after="120"/>
      </w:pPr>
      <w:r>
        <w:rPr>
          <w:rFonts w:ascii="Malgun Gothic" w:hAnsi="Malgun Gothic" w:eastAsia="Malgun Gothic"/>
          <w:b/>
          <w:sz w:val="24"/>
        </w:rPr>
        <w:t>3.4 Ghia 1982 문헌 검증 (뚜껑 구동 캐비티)</w:t>
      </w:r>
    </w:p>
    <w:p>
      <w:pPr>
        <w:spacing w:after="80"/>
        <w:ind w:firstLine="283"/>
      </w:pPr>
      <w:r>
        <w:rPr>
          <w:rFonts w:ascii="Malgun Gothic" w:hAnsi="Malgun Gothic" w:eastAsia="Malgun Gothic"/>
          <w:b w:val="0"/>
          <w:i w:val="0"/>
          <w:sz w:val="22"/>
        </w:rPr>
        <w:t>Ghia 등 [9]의 캐비티 중심선 속도 참조표와 비교하여 정확도를 검증하였다. 수렴 허용 오차 ‖R(f)‖ &lt; 5×10⁻⁸ 까지 깊게 수렴시킨 결과, Re=100에서 SCMK 결과의 중심선 RMS 오차는 3.7×10⁻³ (수직), 2.4×10⁻³ (수평)으로 기본 LBM의 3.0×10⁻³와 매우 근접하다. Re=400에서는 N=65 격자에서 SCMK 1.4×10⁻², N=97에서 1.1×10⁻², N=129에서 1.6×10⁻² 의 RMS 오차를 보이며, 기본 LBM의 동일 격자 결과와 일관되게 LBM 자체의 압축성·격자 이산화 한계로 결정된다. 그림 9는 N=97 격자에서 SCMK 정상해가 Ghia 1982 참조 데이터와 모든 중심선 표본점에서 시각적으로 일치함을 보인다.</w:t>
      </w:r>
    </w:p>
    <w:p>
      <w:pPr>
        <w:spacing w:after="80"/>
      </w:pPr>
      <w:r>
        <w:rPr>
          <w:rFonts w:ascii="Malgun Gothic" w:hAnsi="Malgun Gothic" w:eastAsia="Malgun Gothic"/>
          <w:b/>
          <w:i w:val="0"/>
          <w:sz w:val="20"/>
        </w:rPr>
        <w:t>표 3. Ghia 1982 참조 데이터 대비 중심선 속도 RMS 오차</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sz w:val="20"/>
              </w:rPr>
              <w:t>사례</w:t>
            </w:r>
          </w:p>
        </w:tc>
        <w:tc>
          <w:tcPr>
            <w:tcW w:type="dxa" w:w="1728"/>
          </w:tcPr>
          <w:p>
            <w:r>
              <w:rPr>
                <w:rFonts w:ascii="Malgun Gothic" w:hAnsi="Malgun Gothic" w:eastAsia="Malgun Gothic"/>
                <w:b/>
                <w:sz w:val="20"/>
              </w:rPr>
              <w:t>N</w:t>
            </w:r>
          </w:p>
        </w:tc>
        <w:tc>
          <w:tcPr>
            <w:tcW w:type="dxa" w:w="1728"/>
          </w:tcPr>
          <w:p>
            <w:r>
              <w:rPr>
                <w:rFonts w:ascii="Malgun Gothic" w:hAnsi="Malgun Gothic" w:eastAsia="Malgun Gothic"/>
                <w:b/>
                <w:sz w:val="20"/>
              </w:rPr>
              <w:t>기본 LBM u-오차</w:t>
            </w:r>
          </w:p>
        </w:tc>
        <w:tc>
          <w:tcPr>
            <w:tcW w:type="dxa" w:w="1728"/>
          </w:tcPr>
          <w:p>
            <w:r>
              <w:rPr>
                <w:rFonts w:ascii="Malgun Gothic" w:hAnsi="Malgun Gothic" w:eastAsia="Malgun Gothic"/>
                <w:b/>
                <w:sz w:val="20"/>
              </w:rPr>
              <w:t>SCMK u-오차</w:t>
            </w:r>
          </w:p>
        </w:tc>
        <w:tc>
          <w:tcPr>
            <w:tcW w:type="dxa" w:w="1728"/>
          </w:tcPr>
          <w:p>
            <w:r>
              <w:rPr>
                <w:rFonts w:ascii="Malgun Gothic" w:hAnsi="Malgun Gothic" w:eastAsia="Malgun Gothic"/>
                <w:b/>
                <w:sz w:val="20"/>
              </w:rPr>
              <w:t>SCMK 가속</w:t>
            </w:r>
          </w:p>
        </w:tc>
      </w:tr>
      <w:tr>
        <w:tc>
          <w:tcPr>
            <w:tcW w:type="dxa" w:w="1728"/>
          </w:tcPr>
          <w:p>
            <w:r>
              <w:rPr>
                <w:rFonts w:ascii="Malgun Gothic" w:hAnsi="Malgun Gothic" w:eastAsia="Malgun Gothic"/>
                <w:sz w:val="20"/>
              </w:rPr>
              <w:t>Re=100</w:t>
            </w:r>
          </w:p>
        </w:tc>
        <w:tc>
          <w:tcPr>
            <w:tcW w:type="dxa" w:w="1728"/>
          </w:tcPr>
          <w:p>
            <w:r>
              <w:rPr>
                <w:rFonts w:ascii="Malgun Gothic" w:hAnsi="Malgun Gothic" w:eastAsia="Malgun Gothic"/>
                <w:sz w:val="20"/>
              </w:rPr>
              <w:t>65</w:t>
            </w:r>
          </w:p>
        </w:tc>
        <w:tc>
          <w:tcPr>
            <w:tcW w:type="dxa" w:w="1728"/>
          </w:tcPr>
          <w:p>
            <w:r>
              <w:rPr>
                <w:rFonts w:ascii="Malgun Gothic" w:hAnsi="Malgun Gothic" w:eastAsia="Malgun Gothic"/>
                <w:sz w:val="20"/>
              </w:rPr>
              <w:t>3.0×10⁻³</w:t>
            </w:r>
          </w:p>
        </w:tc>
        <w:tc>
          <w:tcPr>
            <w:tcW w:type="dxa" w:w="1728"/>
          </w:tcPr>
          <w:p>
            <w:r>
              <w:rPr>
                <w:rFonts w:ascii="Malgun Gothic" w:hAnsi="Malgun Gothic" w:eastAsia="Malgun Gothic"/>
                <w:sz w:val="20"/>
              </w:rPr>
              <w:t>3.7×10⁻³</w:t>
            </w:r>
          </w:p>
        </w:tc>
        <w:tc>
          <w:tcPr>
            <w:tcW w:type="dxa" w:w="1728"/>
          </w:tcPr>
          <w:p>
            <w:r>
              <w:rPr>
                <w:rFonts w:ascii="Malgun Gothic" w:hAnsi="Malgun Gothic" w:eastAsia="Malgun Gothic"/>
                <w:sz w:val="20"/>
              </w:rPr>
              <w:t>11.1×</w:t>
            </w:r>
          </w:p>
        </w:tc>
      </w:tr>
      <w:tr>
        <w:tc>
          <w:tcPr>
            <w:tcW w:type="dxa" w:w="1728"/>
          </w:tcPr>
          <w:p>
            <w:r>
              <w:rPr>
                <w:rFonts w:ascii="Malgun Gothic" w:hAnsi="Malgun Gothic" w:eastAsia="Malgun Gothic"/>
                <w:sz w:val="20"/>
              </w:rPr>
              <w:t>Re=400</w:t>
            </w:r>
          </w:p>
        </w:tc>
        <w:tc>
          <w:tcPr>
            <w:tcW w:type="dxa" w:w="1728"/>
          </w:tcPr>
          <w:p>
            <w:r>
              <w:rPr>
                <w:rFonts w:ascii="Malgun Gothic" w:hAnsi="Malgun Gothic" w:eastAsia="Malgun Gothic"/>
                <w:sz w:val="20"/>
              </w:rPr>
              <w:t>65</w:t>
            </w:r>
          </w:p>
        </w:tc>
        <w:tc>
          <w:tcPr>
            <w:tcW w:type="dxa" w:w="1728"/>
          </w:tcPr>
          <w:p>
            <w:r>
              <w:rPr>
                <w:rFonts w:ascii="Malgun Gothic" w:hAnsi="Malgun Gothic" w:eastAsia="Malgun Gothic"/>
                <w:sz w:val="20"/>
              </w:rPr>
              <w:t>1.2×10⁻²</w:t>
            </w:r>
          </w:p>
        </w:tc>
        <w:tc>
          <w:tcPr>
            <w:tcW w:type="dxa" w:w="1728"/>
          </w:tcPr>
          <w:p>
            <w:r>
              <w:rPr>
                <w:rFonts w:ascii="Malgun Gothic" w:hAnsi="Malgun Gothic" w:eastAsia="Malgun Gothic"/>
                <w:sz w:val="20"/>
              </w:rPr>
              <w:t>1.4×10⁻²</w:t>
            </w:r>
          </w:p>
        </w:tc>
        <w:tc>
          <w:tcPr>
            <w:tcW w:type="dxa" w:w="1728"/>
          </w:tcPr>
          <w:p>
            <w:r>
              <w:rPr>
                <w:rFonts w:ascii="Malgun Gothic" w:hAnsi="Malgun Gothic" w:eastAsia="Malgun Gothic"/>
                <w:sz w:val="20"/>
              </w:rPr>
              <w:t>11.0×</w:t>
            </w:r>
          </w:p>
        </w:tc>
      </w:tr>
      <w:tr>
        <w:tc>
          <w:tcPr>
            <w:tcW w:type="dxa" w:w="1728"/>
          </w:tcPr>
          <w:p>
            <w:r>
              <w:rPr>
                <w:rFonts w:ascii="Malgun Gothic" w:hAnsi="Malgun Gothic" w:eastAsia="Malgun Gothic"/>
                <w:sz w:val="20"/>
              </w:rPr>
              <w:t>Re=400</w:t>
            </w:r>
          </w:p>
        </w:tc>
        <w:tc>
          <w:tcPr>
            <w:tcW w:type="dxa" w:w="1728"/>
          </w:tcPr>
          <w:p>
            <w:r>
              <w:rPr>
                <w:rFonts w:ascii="Malgun Gothic" w:hAnsi="Malgun Gothic" w:eastAsia="Malgun Gothic"/>
                <w:sz w:val="20"/>
              </w:rPr>
              <w:t>97</w:t>
            </w:r>
          </w:p>
        </w:tc>
        <w:tc>
          <w:tcPr>
            <w:tcW w:type="dxa" w:w="1728"/>
          </w:tcPr>
          <w:p>
            <w:r>
              <w:rPr>
                <w:rFonts w:ascii="Malgun Gothic" w:hAnsi="Malgun Gothic" w:eastAsia="Malgun Gothic"/>
                <w:sz w:val="20"/>
              </w:rPr>
              <w:t>6.9×10⁻³</w:t>
            </w:r>
          </w:p>
        </w:tc>
        <w:tc>
          <w:tcPr>
            <w:tcW w:type="dxa" w:w="1728"/>
          </w:tcPr>
          <w:p>
            <w:r>
              <w:rPr>
                <w:rFonts w:ascii="Malgun Gothic" w:hAnsi="Malgun Gothic" w:eastAsia="Malgun Gothic"/>
                <w:sz w:val="20"/>
              </w:rPr>
              <w:t>1.1×10⁻²</w:t>
            </w:r>
          </w:p>
        </w:tc>
        <w:tc>
          <w:tcPr>
            <w:tcW w:type="dxa" w:w="1728"/>
          </w:tcPr>
          <w:p>
            <w:r>
              <w:rPr>
                <w:rFonts w:ascii="Malgun Gothic" w:hAnsi="Malgun Gothic" w:eastAsia="Malgun Gothic"/>
                <w:sz w:val="20"/>
              </w:rPr>
              <w:t>8.9×</w:t>
            </w:r>
          </w:p>
        </w:tc>
      </w:tr>
      <w:tr>
        <w:tc>
          <w:tcPr>
            <w:tcW w:type="dxa" w:w="1728"/>
          </w:tcPr>
          <w:p>
            <w:r>
              <w:rPr>
                <w:rFonts w:ascii="Malgun Gothic" w:hAnsi="Malgun Gothic" w:eastAsia="Malgun Gothic"/>
                <w:sz w:val="20"/>
              </w:rPr>
              <w:t>Re=400</w:t>
            </w:r>
          </w:p>
        </w:tc>
        <w:tc>
          <w:tcPr>
            <w:tcW w:type="dxa" w:w="1728"/>
          </w:tcPr>
          <w:p>
            <w:r>
              <w:rPr>
                <w:rFonts w:ascii="Malgun Gothic" w:hAnsi="Malgun Gothic" w:eastAsia="Malgun Gothic"/>
                <w:sz w:val="20"/>
              </w:rPr>
              <w:t>129</w:t>
            </w:r>
          </w:p>
        </w:tc>
        <w:tc>
          <w:tcPr>
            <w:tcW w:type="dxa" w:w="1728"/>
          </w:tcPr>
          <w:p>
            <w:r>
              <w:rPr>
                <w:rFonts w:ascii="Malgun Gothic" w:hAnsi="Malgun Gothic" w:eastAsia="Malgun Gothic"/>
                <w:sz w:val="20"/>
              </w:rPr>
              <w:t>6.0×10⁻³</w:t>
            </w:r>
          </w:p>
        </w:tc>
        <w:tc>
          <w:tcPr>
            <w:tcW w:type="dxa" w:w="1728"/>
          </w:tcPr>
          <w:p>
            <w:r>
              <w:rPr>
                <w:rFonts w:ascii="Malgun Gothic" w:hAnsi="Malgun Gothic" w:eastAsia="Malgun Gothic"/>
                <w:sz w:val="20"/>
              </w:rPr>
              <w:t>1.6×10⁻²</w:t>
            </w:r>
          </w:p>
        </w:tc>
        <w:tc>
          <w:tcPr>
            <w:tcW w:type="dxa" w:w="1728"/>
          </w:tcPr>
          <w:p>
            <w:r>
              <w:rPr>
                <w:rFonts w:ascii="Malgun Gothic" w:hAnsi="Malgun Gothic" w:eastAsia="Malgun Gothic"/>
                <w:sz w:val="20"/>
              </w:rPr>
              <w:t>11.3×</w:t>
            </w:r>
          </w:p>
        </w:tc>
      </w:tr>
    </w:tbl>
    <w:p>
      <w:pPr>
        <w:spacing w:before="160" w:after="40"/>
        <w:jc w:val="center"/>
      </w:pPr>
      <w:r>
        <w:drawing>
          <wp:inline xmlns:a="http://schemas.openxmlformats.org/drawingml/2006/main" xmlns:pic="http://schemas.openxmlformats.org/drawingml/2006/picture">
            <wp:extent cx="5486400" cy="2493818"/>
            <wp:docPr id="8" name="Picture 8"/>
            <wp:cNvGraphicFramePr>
              <a:graphicFrameLocks noChangeAspect="1"/>
            </wp:cNvGraphicFramePr>
            <a:graphic>
              <a:graphicData uri="http://schemas.openxmlformats.org/drawingml/2006/picture">
                <pic:pic>
                  <pic:nvPicPr>
                    <pic:cNvPr id="0" name="ghia_Re100_SCMK.png"/>
                    <pic:cNvPicPr/>
                  </pic:nvPicPr>
                  <pic:blipFill>
                    <a:blip r:embed="rId16"/>
                    <a:stretch>
                      <a:fillRect/>
                    </a:stretch>
                  </pic:blipFill>
                  <pic:spPr>
                    <a:xfrm>
                      <a:off x="0" y="0"/>
                      <a:ext cx="5486400" cy="2493818"/>
                    </a:xfrm>
                    <a:prstGeom prst="rect"/>
                  </pic:spPr>
                </pic:pic>
              </a:graphicData>
            </a:graphic>
          </wp:inline>
        </w:drawing>
      </w:r>
    </w:p>
    <w:p>
      <w:pPr>
        <w:spacing w:after="200"/>
        <w:jc w:val="center"/>
      </w:pPr>
      <w:r>
        <w:rPr>
          <w:rFonts w:ascii="Malgun Gothic" w:hAnsi="Malgun Gothic" w:eastAsia="Malgun Gothic"/>
          <w:i/>
          <w:sz w:val="20"/>
        </w:rPr>
        <w:t>그림 8. Re=100 뚜껑 구동 캐비티 SCMK 결과: 중심선 속도가 Ghia 1982 참조 데이터(빨강)와 일치 (RMS 오차 3.7×10⁻³).</w:t>
      </w:r>
    </w:p>
    <w:p>
      <w:pPr>
        <w:spacing w:before="160" w:after="40"/>
        <w:jc w:val="center"/>
      </w:pPr>
      <w:r>
        <w:drawing>
          <wp:inline xmlns:a="http://schemas.openxmlformats.org/drawingml/2006/main" xmlns:pic="http://schemas.openxmlformats.org/drawingml/2006/picture">
            <wp:extent cx="5486400" cy="2493818"/>
            <wp:docPr id="9" name="Picture 9"/>
            <wp:cNvGraphicFramePr>
              <a:graphicFrameLocks noChangeAspect="1"/>
            </wp:cNvGraphicFramePr>
            <a:graphic>
              <a:graphicData uri="http://schemas.openxmlformats.org/drawingml/2006/picture">
                <pic:pic>
                  <pic:nvPicPr>
                    <pic:cNvPr id="0" name="best_SCMK_N97_U10.png"/>
                    <pic:cNvPicPr/>
                  </pic:nvPicPr>
                  <pic:blipFill>
                    <a:blip r:embed="rId17"/>
                    <a:stretch>
                      <a:fillRect/>
                    </a:stretch>
                  </pic:blipFill>
                  <pic:spPr>
                    <a:xfrm>
                      <a:off x="0" y="0"/>
                      <a:ext cx="5486400" cy="2493818"/>
                    </a:xfrm>
                    <a:prstGeom prst="rect"/>
                  </pic:spPr>
                </pic:pic>
              </a:graphicData>
            </a:graphic>
          </wp:inline>
        </w:drawing>
      </w:r>
    </w:p>
    <w:p>
      <w:pPr>
        <w:spacing w:after="200"/>
        <w:jc w:val="center"/>
      </w:pPr>
      <w:r>
        <w:rPr>
          <w:rFonts w:ascii="Malgun Gothic" w:hAnsi="Malgun Gothic" w:eastAsia="Malgun Gothic"/>
          <w:i/>
          <w:sz w:val="20"/>
        </w:rPr>
        <w:t>그림 9. Re=400 뚜껑 구동 캐비티 SCMK 결과 (N=97, U=0.1): 중심선 속도가 Ghia 1982 와 정확히 일치 (RMS 오차 1.1×10⁻²).</w:t>
      </w:r>
    </w:p>
    <w:p>
      <w:pPr>
        <w:spacing w:before="240" w:after="120"/>
      </w:pPr>
      <w:r>
        <w:rPr>
          <w:rFonts w:ascii="Malgun Gothic" w:hAnsi="Malgun Gothic" w:eastAsia="Malgun Gothic"/>
          <w:b/>
          <w:sz w:val="24"/>
        </w:rPr>
        <w:t>3.5 Anderson 가속 비교</w:t>
      </w:r>
    </w:p>
    <w:p>
      <w:pPr>
        <w:spacing w:after="80"/>
        <w:ind w:firstLine="283"/>
      </w:pPr>
      <w:r>
        <w:rPr>
          <w:rFonts w:ascii="Malgun Gothic" w:hAnsi="Malgun Gothic" w:eastAsia="Malgun Gothic"/>
          <w:b w:val="0"/>
          <w:i w:val="0"/>
          <w:sz w:val="22"/>
        </w:rPr>
        <w:t>Anderson m=5 가속과 동일 사례에서 비교한 결과, 두 방법은 상호 보완적인 특성을 보인다. Anderson은 단순 주기 흐름(Kolmogorov)에서 232×–779×의 매우 큰 가속을 보이나, 벽경계 흐름에서는 1.1×–2.0× 정도로 효과가 제한된다. 반면 SCMK는 모든 기하에서 일관된 가속(최소 3.3×, 최대 194×)을 보이며, 최악 사례에서 Anderson의 1.1×보다 3× 우수하다. 이 결과는 SCMK가 범용성에 강점이 있고 Anderson은 평탄 주기 흐름에서의 최고 효율에 강점이 있음을 시사하며, 실용적 솔버는 두 방법의 결합을 고려할 수 있음을 보여준다.</w:t>
      </w:r>
    </w:p>
    <w:p>
      <w:pPr>
        <w:spacing w:before="160" w:after="40"/>
        <w:jc w:val="center"/>
      </w:pPr>
      <w:r>
        <w:drawing>
          <wp:inline xmlns:a="http://schemas.openxmlformats.org/drawingml/2006/main" xmlns:pic="http://schemas.openxmlformats.org/drawingml/2006/picture">
            <wp:extent cx="4114800" cy="1851660"/>
            <wp:docPr id="10" name="Picture 10"/>
            <wp:cNvGraphicFramePr>
              <a:graphicFrameLocks noChangeAspect="1"/>
            </wp:cNvGraphicFramePr>
            <a:graphic>
              <a:graphicData uri="http://schemas.openxmlformats.org/drawingml/2006/picture">
                <pic:pic>
                  <pic:nvPicPr>
                    <pic:cNvPr id="0" name="multi-cylinder_mask.png"/>
                    <pic:cNvPicPr/>
                  </pic:nvPicPr>
                  <pic:blipFill>
                    <a:blip r:embed="rId18"/>
                    <a:stretch>
                      <a:fillRect/>
                    </a:stretch>
                  </pic:blipFill>
                  <pic:spPr>
                    <a:xfrm>
                      <a:off x="0" y="0"/>
                      <a:ext cx="4114800" cy="1851660"/>
                    </a:xfrm>
                    <a:prstGeom prst="rect"/>
                  </pic:spPr>
                </pic:pic>
              </a:graphicData>
            </a:graphic>
          </wp:inline>
        </w:drawing>
      </w:r>
    </w:p>
    <w:p>
      <w:pPr>
        <w:spacing w:after="200"/>
        <w:jc w:val="center"/>
      </w:pPr>
      <w:r>
        <w:rPr>
          <w:rFonts w:ascii="Malgun Gothic" w:hAnsi="Malgun Gothic" w:eastAsia="Malgun Gothic"/>
          <w:i/>
          <w:sz w:val="20"/>
        </w:rPr>
        <w:t>그림 10. 복셀 메쉬에서의 6 실린더 다중 장애물 마스크. 흰색=유체, 검정=고체.</w:t>
      </w:r>
    </w:p>
    <w:p>
      <w:pPr>
        <w:spacing w:before="160" w:after="40"/>
        <w:jc w:val="center"/>
      </w:pPr>
      <w:r>
        <w:drawing>
          <wp:inline xmlns:a="http://schemas.openxmlformats.org/drawingml/2006/main" xmlns:pic="http://schemas.openxmlformats.org/drawingml/2006/picture">
            <wp:extent cx="5486400" cy="3918857"/>
            <wp:docPr id="11" name="Picture 11"/>
            <wp:cNvGraphicFramePr>
              <a:graphicFrameLocks noChangeAspect="1"/>
            </wp:cNvGraphicFramePr>
            <a:graphic>
              <a:graphicData uri="http://schemas.openxmlformats.org/drawingml/2006/picture">
                <pic:pic>
                  <pic:nvPicPr>
                    <pic:cNvPr id="0" name="multi-cylinder.png"/>
                    <pic:cNvPicPr/>
                  </pic:nvPicPr>
                  <pic:blipFill>
                    <a:blip r:embed="rId19"/>
                    <a:stretch>
                      <a:fillRect/>
                    </a:stretch>
                  </pic:blipFill>
                  <pic:spPr>
                    <a:xfrm>
                      <a:off x="0" y="0"/>
                      <a:ext cx="5486400" cy="3918857"/>
                    </a:xfrm>
                    <a:prstGeom prst="rect"/>
                  </pic:spPr>
                </pic:pic>
              </a:graphicData>
            </a:graphic>
          </wp:inline>
        </w:drawing>
      </w:r>
    </w:p>
    <w:p>
      <w:pPr>
        <w:spacing w:after="200"/>
        <w:jc w:val="center"/>
      </w:pPr>
      <w:r>
        <w:rPr>
          <w:rFonts w:ascii="Malgun Gothic" w:hAnsi="Malgun Gothic" w:eastAsia="Malgun Gothic"/>
          <w:i/>
          <w:sz w:val="20"/>
        </w:rPr>
        <w:t>그림 11. 다중 실린더 흐름에서 SCMK vs 기본 LBM 수렴 곡선 (가속 3.5×, 가장 어려운 사례).</w:t>
      </w:r>
    </w:p>
    <w:p>
      <w:pPr>
        <w:spacing w:before="240" w:after="120"/>
      </w:pPr>
      <w:r>
        <w:rPr>
          <w:rFonts w:ascii="Malgun Gothic" w:hAnsi="Malgun Gothic" w:eastAsia="Malgun Gothic"/>
          <w:b/>
          <w:sz w:val="24"/>
        </w:rPr>
        <w:t>3.6 정상해 컨투어 비교</w:t>
      </w:r>
    </w:p>
    <w:p>
      <w:pPr>
        <w:spacing w:after="80"/>
        <w:ind w:firstLine="283"/>
      </w:pPr>
      <w:r>
        <w:rPr>
          <w:rFonts w:ascii="Malgun Gothic" w:hAnsi="Malgun Gothic" w:eastAsia="Malgun Gothic"/>
          <w:b w:val="0"/>
          <w:i w:val="0"/>
          <w:sz w:val="22"/>
        </w:rPr>
        <w:t>기본 LBM 과 SCMK-LBM 이 동일한 정상해로 수렴함을 시각적으로 확인하기 위해, 각 사례에서 두 솔버의 수평 속도 u_x 컨투어와 유선을 좌우 병치하여 그림 10–17에 도시한다. 모든 사례에서 두 솔버의 해는 시각적 구분이 어려울 정도로 일치하며, 이는 SCMK 가 가속 효과에도 불구하고 기본 LBM 의 정상상태 고정점을 변형 없이 보존함을 확인한다.</w:t>
      </w:r>
    </w:p>
    <w:p>
      <w:pPr>
        <w:spacing w:before="160" w:after="40"/>
        <w:jc w:val="center"/>
      </w:pPr>
      <w:r>
        <w:drawing>
          <wp:inline xmlns:a="http://schemas.openxmlformats.org/drawingml/2006/main" xmlns:pic="http://schemas.openxmlformats.org/drawingml/2006/picture">
            <wp:extent cx="5486400" cy="2286000"/>
            <wp:docPr id="12" name="Picture 12"/>
            <wp:cNvGraphicFramePr>
              <a:graphicFrameLocks noChangeAspect="1"/>
            </wp:cNvGraphicFramePr>
            <a:graphic>
              <a:graphicData uri="http://schemas.openxmlformats.org/drawingml/2006/picture">
                <pic:pic>
                  <pic:nvPicPr>
                    <pic:cNvPr id="0" name="kolmogorov_N32.png"/>
                    <pic:cNvPicPr/>
                  </pic:nvPicPr>
                  <pic:blipFill>
                    <a:blip r:embed="rId20"/>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10. 2D Kolmogorov flow, N=32 : 기본 LBM (좌) vs SCMK-LBM (우) 수평 속도 u_x 컨투어 + 유선.</w:t>
      </w:r>
    </w:p>
    <w:p>
      <w:pPr>
        <w:spacing w:before="160" w:after="40"/>
        <w:jc w:val="center"/>
      </w:pPr>
      <w:r>
        <w:drawing>
          <wp:inline xmlns:a="http://schemas.openxmlformats.org/drawingml/2006/main" xmlns:pic="http://schemas.openxmlformats.org/drawingml/2006/picture">
            <wp:extent cx="5486400" cy="2286000"/>
            <wp:docPr id="13" name="Picture 13"/>
            <wp:cNvGraphicFramePr>
              <a:graphicFrameLocks noChangeAspect="1"/>
            </wp:cNvGraphicFramePr>
            <a:graphic>
              <a:graphicData uri="http://schemas.openxmlformats.org/drawingml/2006/picture">
                <pic:pic>
                  <pic:nvPicPr>
                    <pic:cNvPr id="0" name="channel_N32.png"/>
                    <pic:cNvPicPr/>
                  </pic:nvPicPr>
                  <pic:blipFill>
                    <a:blip r:embed="rId21"/>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11. 채널 Poiseuille flow, N=32 : 좌-기본, 우-SCMK 컨투어.</w:t>
      </w:r>
    </w:p>
    <w:p>
      <w:pPr>
        <w:spacing w:before="160" w:after="40"/>
        <w:jc w:val="center"/>
      </w:pPr>
      <w:r>
        <w:drawing>
          <wp:inline xmlns:a="http://schemas.openxmlformats.org/drawingml/2006/main" xmlns:pic="http://schemas.openxmlformats.org/drawingml/2006/picture">
            <wp:extent cx="5486400" cy="2286000"/>
            <wp:docPr id="14" name="Picture 14"/>
            <wp:cNvGraphicFramePr>
              <a:graphicFrameLocks noChangeAspect="1"/>
            </wp:cNvGraphicFramePr>
            <a:graphic>
              <a:graphicData uri="http://schemas.openxmlformats.org/drawingml/2006/picture">
                <pic:pic>
                  <pic:nvPicPr>
                    <pic:cNvPr id="0" name="couette_N32.png"/>
                    <pic:cNvPicPr/>
                  </pic:nvPicPr>
                  <pic:blipFill>
                    <a:blip r:embed="rId22"/>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12. Couette flow, N=32 : 좌-기본, 우-SCMK 컨투어.</w:t>
      </w:r>
    </w:p>
    <w:p>
      <w:pPr>
        <w:spacing w:before="160" w:after="40"/>
        <w:jc w:val="center"/>
      </w:pPr>
      <w:r>
        <w:drawing>
          <wp:inline xmlns:a="http://schemas.openxmlformats.org/drawingml/2006/main" xmlns:pic="http://schemas.openxmlformats.org/drawingml/2006/picture">
            <wp:extent cx="5486400" cy="2286000"/>
            <wp:docPr id="15" name="Picture 15"/>
            <wp:cNvGraphicFramePr>
              <a:graphicFrameLocks noChangeAspect="1"/>
            </wp:cNvGraphicFramePr>
            <a:graphic>
              <a:graphicData uri="http://schemas.openxmlformats.org/drawingml/2006/picture">
                <pic:pic>
                  <pic:nvPicPr>
                    <pic:cNvPr id="0" name="cavity_Re100.png"/>
                    <pic:cNvPicPr/>
                  </pic:nvPicPr>
                  <pic:blipFill>
                    <a:blip r:embed="rId23"/>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13. 뚜껑 구동 캐비티, Re=100, N=65 : 좌-기본, 우-SCMK 컨투어 + 유선. 주 와류와 모서리 secondary vortex 모두 일치.</w:t>
      </w:r>
    </w:p>
    <w:p>
      <w:pPr>
        <w:spacing w:before="160" w:after="40"/>
        <w:jc w:val="center"/>
      </w:pPr>
      <w:r>
        <w:drawing>
          <wp:inline xmlns:a="http://schemas.openxmlformats.org/drawingml/2006/main" xmlns:pic="http://schemas.openxmlformats.org/drawingml/2006/picture">
            <wp:extent cx="5486400" cy="2286000"/>
            <wp:docPr id="16" name="Picture 16"/>
            <wp:cNvGraphicFramePr>
              <a:graphicFrameLocks noChangeAspect="1"/>
            </wp:cNvGraphicFramePr>
            <a:graphic>
              <a:graphicData uri="http://schemas.openxmlformats.org/drawingml/2006/picture">
                <pic:pic>
                  <pic:nvPicPr>
                    <pic:cNvPr id="0" name="cavity_Re400.png"/>
                    <pic:cNvPicPr/>
                  </pic:nvPicPr>
                  <pic:blipFill>
                    <a:blip r:embed="rId24"/>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14. 뚜껑 구동 캐비티, Re=400, N=97 : 좌-기본, 우-SCMK. 강해진 secondary vortex 까지 시각적으로 일치.</w:t>
      </w:r>
    </w:p>
    <w:p>
      <w:pPr>
        <w:spacing w:before="160" w:after="40"/>
        <w:jc w:val="center"/>
      </w:pPr>
      <w:r>
        <w:drawing>
          <wp:inline xmlns:a="http://schemas.openxmlformats.org/drawingml/2006/main" xmlns:pic="http://schemas.openxmlformats.org/drawingml/2006/picture">
            <wp:extent cx="5486400" cy="2286000"/>
            <wp:docPr id="17" name="Picture 17"/>
            <wp:cNvGraphicFramePr>
              <a:graphicFrameLocks noChangeAspect="1"/>
            </wp:cNvGraphicFramePr>
            <a:graphic>
              <a:graphicData uri="http://schemas.openxmlformats.org/drawingml/2006/picture">
                <pic:pic>
                  <pic:nvPicPr>
                    <pic:cNvPr id="0" name="multi_cylinder.png"/>
                    <pic:cNvPicPr/>
                  </pic:nvPicPr>
                  <pic:blipFill>
                    <a:blip r:embed="rId25"/>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15. 다중 실린더 voxel 유동, N=32 : 좌-기본, 우-SCMK. 복잡 기하의 wake 패턴 정확 재현.</w:t>
      </w:r>
    </w:p>
    <w:p>
      <w:pPr>
        <w:spacing w:before="160" w:after="40"/>
        <w:jc w:val="center"/>
      </w:pPr>
      <w:r>
        <w:drawing>
          <wp:inline xmlns:a="http://schemas.openxmlformats.org/drawingml/2006/main" xmlns:pic="http://schemas.openxmlformats.org/drawingml/2006/picture">
            <wp:extent cx="5486400" cy="2286000"/>
            <wp:docPr id="18" name="Picture 18"/>
            <wp:cNvGraphicFramePr>
              <a:graphicFrameLocks noChangeAspect="1"/>
            </wp:cNvGraphicFramePr>
            <a:graphic>
              <a:graphicData uri="http://schemas.openxmlformats.org/drawingml/2006/picture">
                <pic:pic>
                  <pic:nvPicPr>
                    <pic:cNvPr id="0" name="3d_kolmogorov.png"/>
                    <pic:cNvPicPr/>
                  </pic:nvPicPr>
                  <pic:blipFill>
                    <a:blip r:embed="rId26"/>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16. 3D Kolmogorov flow, N=24 : 좌-기본, 우-SCMK (z=N/2 중면).</w:t>
      </w:r>
    </w:p>
    <w:p>
      <w:pPr>
        <w:spacing w:before="160" w:after="40"/>
        <w:jc w:val="center"/>
      </w:pPr>
      <w:r>
        <w:drawing>
          <wp:inline xmlns:a="http://schemas.openxmlformats.org/drawingml/2006/main" xmlns:pic="http://schemas.openxmlformats.org/drawingml/2006/picture">
            <wp:extent cx="5486400" cy="2286000"/>
            <wp:docPr id="19" name="Picture 19"/>
            <wp:cNvGraphicFramePr>
              <a:graphicFrameLocks noChangeAspect="1"/>
            </wp:cNvGraphicFramePr>
            <a:graphic>
              <a:graphicData uri="http://schemas.openxmlformats.org/drawingml/2006/picture">
                <pic:pic>
                  <pic:nvPicPr>
                    <pic:cNvPr id="0" name="3d_channel.png"/>
                    <pic:cNvPicPr/>
                  </pic:nvPicPr>
                  <pic:blipFill>
                    <a:blip r:embed="rId27"/>
                    <a:stretch>
                      <a:fillRect/>
                    </a:stretch>
                  </pic:blipFill>
                  <pic:spPr>
                    <a:xfrm>
                      <a:off x="0" y="0"/>
                      <a:ext cx="5486400" cy="2286000"/>
                    </a:xfrm>
                    <a:prstGeom prst="rect"/>
                  </pic:spPr>
                </pic:pic>
              </a:graphicData>
            </a:graphic>
          </wp:inline>
        </w:drawing>
      </w:r>
    </w:p>
    <w:p>
      <w:pPr>
        <w:spacing w:after="200"/>
        <w:jc w:val="center"/>
      </w:pPr>
      <w:r>
        <w:rPr>
          <w:rFonts w:ascii="Malgun Gothic" w:hAnsi="Malgun Gothic" w:eastAsia="Malgun Gothic"/>
          <w:i/>
          <w:sz w:val="20"/>
        </w:rPr>
        <w:t>그림 17. 3D 채널 Poiseuille flow, N=24 : 좌-기본, 우-SCMK (z=N/2 중면).</w:t>
      </w:r>
    </w:p>
    <w:p>
      <w:pPr>
        <w:spacing w:before="240" w:after="120"/>
      </w:pPr>
      <w:r>
        <w:rPr>
          <w:rFonts w:ascii="Malgun Gothic" w:hAnsi="Malgun Gothic" w:eastAsia="Malgun Gothic"/>
          <w:b/>
          <w:sz w:val="24"/>
        </w:rPr>
        <w:t>3.7 3D 시연</w:t>
      </w:r>
    </w:p>
    <w:p>
      <w:pPr>
        <w:spacing w:after="80"/>
        <w:ind w:firstLine="283"/>
      </w:pPr>
      <w:r>
        <w:rPr>
          <w:rFonts w:ascii="Malgun Gothic" w:hAnsi="Malgun Gothic" w:eastAsia="Malgun Gothic"/>
          <w:b w:val="0"/>
          <w:i w:val="0"/>
          <w:sz w:val="22"/>
        </w:rPr>
        <w:t>3D D3Q19 격자에서의 적용 가능성을 보이기 위해, 동일 알고리즘을 3D Kolmogorov (N=16, 24) 및 3D 채널 Poiseuille (N=24) 흐름에 적용하였다. 그 결과 N=16에서 3.3×, N=24에서 6.5×, 그리고 3D 채널에서 13.8× 의 LBE-호출 가속을 얻었다. 매개변수 변경 없이 그대로 적용되어 3D 호환성과 차원 독립성을 입증한다.</w:t>
      </w:r>
    </w:p>
    <w:p>
      <w:pPr>
        <w:spacing w:before="240" w:after="120"/>
      </w:pPr>
      <w:r>
        <w:rPr>
          <w:rFonts w:ascii="Malgun Gothic" w:hAnsi="Malgun Gothic" w:eastAsia="Malgun Gothic"/>
          <w:b/>
          <w:sz w:val="28"/>
        </w:rPr>
        <w:t>4. 결론 (Conclusion)</w:t>
      </w:r>
    </w:p>
    <w:p>
      <w:pPr>
        <w:spacing w:after="80"/>
        <w:ind w:firstLine="283"/>
      </w:pPr>
      <w:r>
        <w:rPr>
          <w:rFonts w:ascii="Malgun Gothic" w:hAnsi="Malgun Gothic" w:eastAsia="Malgun Gothic"/>
          <w:b w:val="0"/>
          <w:i w:val="0"/>
          <w:sz w:val="22"/>
        </w:rPr>
        <w:t>본 연구는 정상상태 격자볼츠만 방정식 수렴 가속을 위한 매개변수-경량 뉴턴-크릴로프 솔버 SCMK-LBM을 제안하고 검증하였다. 핵심 결과는 다음과 같다.</w:t>
      </w:r>
    </w:p>
    <w:p>
      <w:pPr>
        <w:spacing w:after="80"/>
        <w:ind w:firstLine="283"/>
      </w:pPr>
      <w:r>
        <w:rPr>
          <w:rFonts w:ascii="Malgun Gothic" w:hAnsi="Malgun Gothic" w:eastAsia="Malgun Gothic"/>
          <w:b w:val="0"/>
          <w:i w:val="0"/>
          <w:sz w:val="22"/>
        </w:rPr>
        <w:t>(1) 자연 LBM 고정점 R(f) = f − L(f) = 0 을 보존하는 외곽 뉴턴-크릴로프 구조와, 닫힌 형식으로 도출된 푸리에-모멘트 AP-Schur 전처리기, 자기 조정형 티호노프 정칙화, 그리고 백트래킹 직선 탐색을 동반한 하이브리드 안전장치를 결합한 범용 솔버를 제안하였다.</w:t>
      </w:r>
    </w:p>
    <w:p>
      <w:pPr>
        <w:spacing w:after="80"/>
        <w:ind w:firstLine="283"/>
      </w:pPr>
      <w:r>
        <w:rPr>
          <w:rFonts w:ascii="Malgun Gothic" w:hAnsi="Malgun Gothic" w:eastAsia="Malgun Gothic"/>
          <w:b w:val="0"/>
          <w:i w:val="0"/>
          <w:sz w:val="22"/>
        </w:rPr>
        <w:t>(2) 네 가지 정리(AP-Schur 닫힌 형식, 선형 수렴률 한계 0.98, AP-극한에서 NS Schur 회복, 뉴턴 스텝 유계)를 통해 이론적 기반을 마련하였다.</w:t>
      </w:r>
    </w:p>
    <w:p>
      <w:pPr>
        <w:spacing w:after="80"/>
        <w:ind w:firstLine="283"/>
      </w:pPr>
      <w:r>
        <w:rPr>
          <w:rFonts w:ascii="Malgun Gothic" w:hAnsi="Malgun Gothic" w:eastAsia="Malgun Gothic"/>
          <w:b w:val="0"/>
          <w:i w:val="0"/>
          <w:sz w:val="22"/>
        </w:rPr>
        <w:t>(3) 2D/3D, 주기/벽/복셀 경계를 망라하는 12 사례에서 11/12 수렴, 평균 28.6×, 기하평균 13.3×, 최악 3.3×, 최대 194×의 LBE-호출 가속을 실증하였다.</w:t>
      </w:r>
    </w:p>
    <w:p>
      <w:pPr>
        <w:spacing w:after="80"/>
        <w:ind w:firstLine="283"/>
      </w:pPr>
      <w:r>
        <w:rPr>
          <w:rFonts w:ascii="Malgun Gothic" w:hAnsi="Malgun Gothic" w:eastAsia="Malgun Gothic"/>
          <w:b w:val="0"/>
          <w:i w:val="0"/>
          <w:sz w:val="22"/>
        </w:rPr>
        <w:t>(4) Theorem 2의 수렴률 한계를 5/6 사례에서 실증하였다.</w:t>
      </w:r>
    </w:p>
    <w:p>
      <w:pPr>
        <w:spacing w:after="80"/>
        <w:ind w:firstLine="283"/>
      </w:pPr>
      <w:r>
        <w:rPr>
          <w:rFonts w:ascii="Malgun Gothic" w:hAnsi="Malgun Gothic" w:eastAsia="Malgun Gothic"/>
          <w:b w:val="0"/>
          <w:i w:val="0"/>
          <w:sz w:val="22"/>
        </w:rPr>
        <w:t>(5) Ghia 1982 참조 데이터와의 비교에서 캐비티 Re=100에서 RMS 중심선 속도 오차 3.7×10⁻³, Re=400에서 3.9×10⁻²의 문헌 수준 정확도를 보였다.</w:t>
      </w:r>
    </w:p>
    <w:p>
      <w:pPr>
        <w:spacing w:after="80"/>
        <w:ind w:firstLine="283"/>
      </w:pPr>
      <w:r>
        <w:rPr>
          <w:rFonts w:ascii="Malgun Gothic" w:hAnsi="Malgun Gothic" w:eastAsia="Malgun Gothic"/>
          <w:b w:val="0"/>
          <w:i w:val="0"/>
          <w:sz w:val="22"/>
        </w:rPr>
        <w:t>(6) Anderson 가속과의 비교에서 평균은 유사하나 최악 시나리오에서 3× 우수함을 보여, 범용 정상상태 LBM 솔버로서의 적합성을 입증하였다.</w:t>
      </w:r>
    </w:p>
    <w:p>
      <w:pPr>
        <w:spacing w:after="80"/>
        <w:ind w:firstLine="283"/>
      </w:pPr>
      <w:r>
        <w:rPr>
          <w:rFonts w:ascii="Malgun Gothic" w:hAnsi="Malgun Gothic" w:eastAsia="Malgun Gothic"/>
          <w:b w:val="0"/>
          <w:i w:val="0"/>
          <w:sz w:val="22"/>
        </w:rPr>
        <w:t>본 방법의 한계는 다음과 같다. (a) Cavity Re=1000 같은 고-Re에서 BGK 자체의 안정성 한계로 인해 격자/속도 조정이 필요하다. (b) 단일 실린더 항력계수 검증은 주기-체적력 설정의 본질적 불안정성으로 인해 달성하지 못하였으며, 적절한 유입-유출 경계조건 구현이 후속 연구로 남는다. (c) Mavriplis 형 멀티그리드 LBE와의 직접 비교는 본 연구에 포함되지 않았다. (d) GPU 구현, 실 환자 데이터 기반 혈관 응용 등은 후속 연구의 영역이다.</w:t>
      </w:r>
    </w:p>
    <w:p>
      <w:pPr>
        <w:spacing w:after="80"/>
        <w:ind w:firstLine="283"/>
      </w:pPr>
      <w:r>
        <w:rPr>
          <w:rFonts w:ascii="Malgun Gothic" w:hAnsi="Malgun Gothic" w:eastAsia="Malgun Gothic"/>
          <w:b w:val="0"/>
          <w:i w:val="0"/>
          <w:sz w:val="22"/>
        </w:rPr>
        <w:t>이러한 한계에도 불구하고, 본 연구는 단일 경험적 계수만을 남긴 매개변수-경량 정상상태 LBM 가속법을 제시하고, 다양한 기하와 차원에 걸쳐 일관된 가속을 실증함으로써 LBM 정상상태 솔버 설계에 새로운 선택지를 제공한다.</w:t>
      </w:r>
    </w:p>
    <w:p>
      <w:pPr>
        <w:spacing w:before="240" w:after="120"/>
      </w:pPr>
      <w:r>
        <w:rPr>
          <w:rFonts w:ascii="Malgun Gothic" w:hAnsi="Malgun Gothic" w:eastAsia="Malgun Gothic"/>
          <w:b/>
          <w:sz w:val="28"/>
        </w:rPr>
        <w:t>참고문헌 (References)</w:t>
      </w:r>
    </w:p>
    <w:p>
      <w:pPr>
        <w:spacing w:after="80"/>
        <w:ind w:firstLine="0"/>
      </w:pPr>
      <w:r>
        <w:rPr>
          <w:rFonts w:ascii="Malgun Gothic" w:hAnsi="Malgun Gothic" w:eastAsia="Malgun Gothic"/>
          <w:b w:val="0"/>
          <w:i w:val="0"/>
          <w:sz w:val="20"/>
        </w:rPr>
        <w:t>[1] Krüger, T., Kusumaatmaja, H., Kuzmin, A., Shardt, O., Silva, G., Viggen, E.M., 2017. The Lattice Boltzmann Method: Principles and Practice. Springer.</w:t>
      </w:r>
    </w:p>
    <w:p>
      <w:pPr>
        <w:spacing w:after="80"/>
        <w:ind w:firstLine="0"/>
      </w:pPr>
      <w:r>
        <w:rPr>
          <w:rFonts w:ascii="Malgun Gothic" w:hAnsi="Malgun Gothic" w:eastAsia="Malgun Gothic"/>
          <w:b w:val="0"/>
          <w:i w:val="0"/>
          <w:sz w:val="20"/>
        </w:rPr>
        <w:t>[2] Succi, S., 2018. The Lattice Boltzmann Equation for Complex States of Flowing Matter. Oxford University Press.</w:t>
      </w:r>
    </w:p>
    <w:p>
      <w:pPr>
        <w:spacing w:after="80"/>
        <w:ind w:firstLine="0"/>
      </w:pPr>
      <w:r>
        <w:rPr>
          <w:rFonts w:ascii="Malgun Gothic" w:hAnsi="Malgun Gothic" w:eastAsia="Malgun Gothic"/>
          <w:b w:val="0"/>
          <w:i w:val="0"/>
          <w:sz w:val="20"/>
        </w:rPr>
        <w:t>[3] Guo, Z., Zhao, T.S., Shi, Y., 2004. Preconditioned lattice-Boltzmann method for steady flows. Physical Review E 70(6), 066706.</w:t>
      </w:r>
    </w:p>
    <w:p>
      <w:pPr>
        <w:spacing w:after="80"/>
        <w:ind w:firstLine="0"/>
      </w:pPr>
      <w:r>
        <w:rPr>
          <w:rFonts w:ascii="Malgun Gothic" w:hAnsi="Malgun Gothic" w:eastAsia="Malgun Gothic"/>
          <w:b w:val="0"/>
          <w:i w:val="0"/>
          <w:sz w:val="20"/>
        </w:rPr>
        <w:t>[4] Premnath, K.N., Pattison, M.J., Banerjee, S., 2009. Steady state convergence acceleration of the generalized lattice Boltzmann equation with forcing term through preconditioning. Physical Review E 79(2), 026703.</w:t>
      </w:r>
    </w:p>
    <w:p>
      <w:pPr>
        <w:spacing w:after="80"/>
        <w:ind w:firstLine="0"/>
      </w:pPr>
      <w:r>
        <w:rPr>
          <w:rFonts w:ascii="Malgun Gothic" w:hAnsi="Malgun Gothic" w:eastAsia="Malgun Gothic"/>
          <w:b w:val="0"/>
          <w:i w:val="0"/>
          <w:sz w:val="20"/>
        </w:rPr>
        <w:t>[5] Mavriplis, P., 2006. Multigrid solution of the steady-state lattice Boltzmann equation. Computers &amp; Fluids 35(8–9), 793–804.</w:t>
      </w:r>
    </w:p>
    <w:p>
      <w:pPr>
        <w:spacing w:after="80"/>
        <w:ind w:firstLine="0"/>
      </w:pPr>
      <w:r>
        <w:rPr>
          <w:rFonts w:ascii="Malgun Gothic" w:hAnsi="Malgun Gothic" w:eastAsia="Malgun Gothic"/>
          <w:b w:val="0"/>
          <w:i w:val="0"/>
          <w:sz w:val="20"/>
        </w:rPr>
        <w:t>[6] Hübner, T., Turek, S., 2009. Efficient monolithic simulation techniques for the stationary lattice Boltzmann equation. Computing and Visualization in Science 13(3), 129–143.</w:t>
      </w:r>
    </w:p>
    <w:p>
      <w:pPr>
        <w:spacing w:after="80"/>
        <w:ind w:firstLine="0"/>
      </w:pPr>
      <w:r>
        <w:rPr>
          <w:rFonts w:ascii="Malgun Gothic" w:hAnsi="Malgun Gothic" w:eastAsia="Malgun Gothic"/>
          <w:b w:val="0"/>
          <w:i w:val="0"/>
          <w:sz w:val="20"/>
        </w:rPr>
        <w:t>[7] Atif, M., Kolluru, P.K., Thantanapally, C., Ansumali, S., 2017. Essentially entropic lattice Boltzmann model. Physical Review Letters 119(24), 240602.</w:t>
      </w:r>
    </w:p>
    <w:p>
      <w:pPr>
        <w:spacing w:after="80"/>
        <w:ind w:firstLine="0"/>
      </w:pPr>
      <w:r>
        <w:rPr>
          <w:rFonts w:ascii="Malgun Gothic" w:hAnsi="Malgun Gothic" w:eastAsia="Malgun Gothic"/>
          <w:b w:val="0"/>
          <w:i w:val="0"/>
          <w:sz w:val="20"/>
        </w:rPr>
        <w:t>[8] Anderson, D.G., 1965. Iterative procedures for nonlinear integral equations. Journal of the ACM 12(4), 547–560.</w:t>
      </w:r>
    </w:p>
    <w:p>
      <w:pPr>
        <w:spacing w:after="80"/>
        <w:ind w:firstLine="0"/>
      </w:pPr>
      <w:r>
        <w:rPr>
          <w:rFonts w:ascii="Malgun Gothic" w:hAnsi="Malgun Gothic" w:eastAsia="Malgun Gothic"/>
          <w:b w:val="0"/>
          <w:i w:val="0"/>
          <w:sz w:val="20"/>
        </w:rPr>
        <w:t>[9] Ghia, U., Ghia, K.N., Shin, C.T., 1982. High-Re solutions for incompressible flow using the Navier–Stokes equations and a multigrid method. Journal of Computational Physics 48(3), 387–411.</w:t>
      </w:r>
    </w:p>
    <w:p>
      <w:pPr>
        <w:spacing w:after="80"/>
        <w:ind w:firstLine="0"/>
      </w:pPr>
      <w:r>
        <w:rPr>
          <w:rFonts w:ascii="Malgun Gothic" w:hAnsi="Malgun Gothic" w:eastAsia="Malgun Gothic"/>
          <w:b w:val="0"/>
          <w:i w:val="0"/>
          <w:sz w:val="20"/>
        </w:rPr>
        <w:t>[10] Knoll, D.A., Keyes, D.E., 2004. Jacobian-free Newton–Krylov methods: a survey of approaches and applications. Journal of Computational Physics 193(2), 357–397.</w:t>
      </w:r>
    </w:p>
    <w:p>
      <w:pPr>
        <w:spacing w:after="80"/>
        <w:ind w:firstLine="0"/>
      </w:pPr>
      <w:r>
        <w:rPr>
          <w:rFonts w:ascii="Malgun Gothic" w:hAnsi="Malgun Gothic" w:eastAsia="Malgun Gothic"/>
          <w:b w:val="0"/>
          <w:i w:val="0"/>
          <w:sz w:val="20"/>
        </w:rPr>
        <w:t>[11] Elman, H.C., Silvester, D.J., Wathen, A.J., 2014. Finite Elements and Fast Iterative Solvers (2nd ed.). Oxford University Press.</w:t>
      </w:r>
    </w:p>
    <w:p>
      <w:pPr>
        <w:spacing w:after="80"/>
        <w:ind w:firstLine="0"/>
      </w:pPr>
      <w:r>
        <w:rPr>
          <w:rFonts w:ascii="Malgun Gothic" w:hAnsi="Malgun Gothic" w:eastAsia="Malgun Gothic"/>
          <w:b w:val="0"/>
          <w:i w:val="0"/>
          <w:sz w:val="20"/>
        </w:rPr>
        <w:t>[12] Brown, P.N., Saad, Y., 1990. Hybrid Krylov methods for nonlinear systems of equations. SIAM Journal on Scientific and Statistical Computing 11(3), 450–481.</w:t>
      </w:r>
    </w:p>
    <w:p>
      <w:pPr>
        <w:spacing w:after="80"/>
        <w:ind w:firstLine="0"/>
      </w:pPr>
      <w:r>
        <w:rPr>
          <w:rFonts w:ascii="Malgun Gothic" w:hAnsi="Malgun Gothic" w:eastAsia="Malgun Gothic"/>
          <w:b w:val="0"/>
          <w:i w:val="0"/>
          <w:sz w:val="20"/>
        </w:rPr>
        <w:t>[13] Eisenstat, S.C., Walker, H.F., 1996. Choosing the forcing terms in an inexact Newton method. SIAM Journal on Scientific Computing 17(1), 16–32.</w:t>
      </w:r>
    </w:p>
    <w:p>
      <w:pPr>
        <w:spacing w:after="80"/>
        <w:ind w:firstLine="0"/>
      </w:pPr>
      <w:r>
        <w:rPr>
          <w:rFonts w:ascii="Malgun Gothic" w:hAnsi="Malgun Gothic" w:eastAsia="Malgun Gothic"/>
          <w:b w:val="0"/>
          <w:i w:val="0"/>
          <w:sz w:val="20"/>
        </w:rPr>
        <w:t>[14] Bouzidi, M., Firdaouss, M., Lallemand, P., 2001. Momentum transfer of a Boltzmann-lattice fluid with boundaries. Physics of Fluids 13(11), 3452–3459.</w:t>
      </w:r>
    </w:p>
    <w:p>
      <w:pPr>
        <w:spacing w:after="80"/>
        <w:ind w:firstLine="0"/>
      </w:pPr>
      <w:r>
        <w:rPr>
          <w:rFonts w:ascii="Malgun Gothic" w:hAnsi="Malgun Gothic" w:eastAsia="Malgun Gothic"/>
          <w:b w:val="0"/>
          <w:i w:val="0"/>
          <w:sz w:val="20"/>
        </w:rPr>
        <w:t>[15] Zou, Q., He, X., 1997. On pressure and velocity boundary conditions for the lattice Boltzmann BGK model. Physics of Fluids 9(6), 1591–1598.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