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GoBack" w:displacedByCustomXml="next"/>
    <w:bookmarkEnd w:id="2" w:displacedByCustomXml="next"/>
    <w:bookmarkStart w:id="3" w:name="_Toc464396058" w:displacedByCustomXml="next"/>
    <w:bookmarkStart w:id="4" w:name="_Toc461310979" w:displacedByCustomXml="next"/>
    <w:bookmarkStart w:id="5"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5"/>
          <w:bookmarkEnd w:id="4"/>
          <w:bookmarkEnd w:id="3"/>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10CF5">
              <w:rPr>
                <w:noProof/>
                <w:webHidden/>
              </w:rPr>
              <w:t>I</w:t>
            </w:r>
            <w:r w:rsidR="00DB7D19" w:rsidRPr="00005B41">
              <w:rPr>
                <w:noProof/>
                <w:webHidden/>
              </w:rPr>
              <w:fldChar w:fldCharType="end"/>
            </w:r>
          </w:hyperlink>
        </w:p>
        <w:p w:rsidR="00DB7D19" w:rsidRPr="00005B41" w:rsidRDefault="00E040B9">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10CF5">
              <w:rPr>
                <w:noProof/>
                <w:webHidden/>
              </w:rPr>
              <w:t>II</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10CF5">
              <w:rPr>
                <w:noProof/>
                <w:webHidden/>
              </w:rPr>
              <w:t>1</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10CF5">
              <w:rPr>
                <w:noProof/>
                <w:webHidden/>
              </w:rPr>
              <w:t>1</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10CF5">
              <w:rPr>
                <w:noProof/>
                <w:webHidden/>
              </w:rPr>
              <w:t>2</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10CF5">
              <w:rPr>
                <w:noProof/>
                <w:webHidden/>
              </w:rPr>
              <w:t>4</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10CF5">
              <w:rPr>
                <w:noProof/>
                <w:webHidden/>
              </w:rPr>
              <w:t>5</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E040B9">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E040B9">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10CF5">
              <w:rPr>
                <w:noProof/>
                <w:webHidden/>
              </w:rPr>
              <w:t>6</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DB7D19" w:rsidRPr="00005B41">
              <w:rPr>
                <w:rStyle w:val="afb"/>
                <w:noProof/>
              </w:rPr>
              <w:t>平台应用（</w:t>
            </w:r>
            <w:r w:rsidR="00DB7D19" w:rsidRPr="00005B41">
              <w:rPr>
                <w:rStyle w:val="afb"/>
                <w:noProof/>
              </w:rPr>
              <w:t>UWP</w:t>
            </w:r>
            <w:r w:rsidR="00DB7D19" w:rsidRPr="00005B41">
              <w:rPr>
                <w:rStyle w:val="afb"/>
                <w:noProof/>
              </w:rPr>
              <w: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10CF5">
              <w:rPr>
                <w:noProof/>
                <w:webHidden/>
              </w:rPr>
              <w:t>7</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10CF5">
              <w:rPr>
                <w:noProof/>
                <w:webHidden/>
              </w:rPr>
              <w:t>9</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10CF5">
              <w:rPr>
                <w:noProof/>
                <w:webHidden/>
              </w:rPr>
              <w:t>9</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10CF5">
              <w:rPr>
                <w:noProof/>
                <w:webHidden/>
              </w:rPr>
              <w:t>11</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10CF5">
              <w:rPr>
                <w:noProof/>
                <w:webHidden/>
              </w:rPr>
              <w:t>11</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10CF5">
              <w:rPr>
                <w:noProof/>
                <w:webHidden/>
              </w:rPr>
              <w:t>13</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10CF5">
              <w:rPr>
                <w:noProof/>
                <w:webHidden/>
              </w:rPr>
              <w:t>15</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10CF5">
              <w:rPr>
                <w:noProof/>
                <w:webHidden/>
              </w:rPr>
              <w:t>15</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10CF5">
              <w:rPr>
                <w:noProof/>
                <w:webHidden/>
              </w:rPr>
              <w:t>17</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10CF5">
              <w:rPr>
                <w:noProof/>
                <w:webHidden/>
              </w:rPr>
              <w:t>18</w:t>
            </w:r>
            <w:r w:rsidR="00DB7D19" w:rsidRPr="00005B41">
              <w:rPr>
                <w:noProof/>
                <w:webHidden/>
              </w:rPr>
              <w:fldChar w:fldCharType="end"/>
            </w:r>
          </w:hyperlink>
        </w:p>
        <w:p w:rsidR="0063037A" w:rsidRDefault="00E040B9"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10CF5">
              <w:rPr>
                <w:noProof/>
                <w:webHidden/>
              </w:rPr>
              <w:t>19</w:t>
            </w:r>
            <w:r w:rsidR="00DB7D19" w:rsidRPr="00005B41">
              <w:rPr>
                <w:noProof/>
                <w:webHidden/>
              </w:rPr>
              <w:fldChar w:fldCharType="end"/>
            </w:r>
          </w:hyperlink>
        </w:p>
        <w:p w:rsidR="00DB7D19" w:rsidRPr="0063037A" w:rsidRDefault="00E040B9"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10CF5">
              <w:rPr>
                <w:rStyle w:val="afb"/>
                <w:noProof/>
                <w:webHidden/>
              </w:rPr>
              <w:t>19</w:t>
            </w:r>
            <w:r w:rsidR="00DB7D19" w:rsidRPr="0063037A">
              <w:rPr>
                <w:rStyle w:val="afb"/>
                <w:noProof/>
                <w:webHidden/>
              </w:rPr>
              <w:fldChar w:fldCharType="end"/>
            </w:r>
          </w:hyperlink>
        </w:p>
        <w:p w:rsidR="00DB7D19" w:rsidRPr="00005B41" w:rsidRDefault="00E040B9"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10CF5">
              <w:rPr>
                <w:noProof/>
                <w:webHidden/>
              </w:rPr>
              <w:t>26</w:t>
            </w:r>
            <w:r w:rsidR="00DB7D19" w:rsidRPr="00005B41">
              <w:rPr>
                <w:noProof/>
                <w:webHidden/>
              </w:rPr>
              <w:fldChar w:fldCharType="end"/>
            </w:r>
          </w:hyperlink>
        </w:p>
        <w:p w:rsidR="00DB7D19" w:rsidRPr="00005B41" w:rsidRDefault="00E040B9"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E040B9"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10CF5">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10CF5">
              <w:rPr>
                <w:noProof/>
                <w:webHidden/>
              </w:rPr>
              <w:t>35</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10CF5">
              <w:rPr>
                <w:noProof/>
                <w:webHidden/>
              </w:rPr>
              <w:t>36</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10CF5">
              <w:rPr>
                <w:noProof/>
                <w:webHidden/>
              </w:rPr>
              <w:t>38</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10CF5">
              <w:rPr>
                <w:noProof/>
                <w:webHidden/>
              </w:rPr>
              <w:t>40</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10CF5">
              <w:rPr>
                <w:noProof/>
                <w:webHidden/>
              </w:rPr>
              <w:t>46</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10CF5">
              <w:rPr>
                <w:noProof/>
                <w:webHidden/>
              </w:rPr>
              <w:t>54</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10CF5">
              <w:rPr>
                <w:noProof/>
                <w:webHidden/>
              </w:rPr>
              <w:t>55</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10CF5">
              <w:rPr>
                <w:noProof/>
                <w:webHidden/>
              </w:rPr>
              <w:t>58</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10CF5">
              <w:rPr>
                <w:noProof/>
                <w:webHidden/>
              </w:rPr>
              <w:t>59</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10CF5">
              <w:rPr>
                <w:noProof/>
                <w:webHidden/>
              </w:rPr>
              <w:t>60</w:t>
            </w:r>
            <w:r w:rsidR="00DB7D19" w:rsidRPr="00005B41">
              <w:rPr>
                <w:noProof/>
                <w:webHidden/>
              </w:rPr>
              <w:fldChar w:fldCharType="end"/>
            </w:r>
          </w:hyperlink>
        </w:p>
        <w:p w:rsidR="00DB7D19" w:rsidRPr="00005B41" w:rsidRDefault="00E040B9">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63037A" w:rsidRDefault="00E040B9">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DB7D19" w:rsidRPr="00005B41" w:rsidRDefault="00E040B9">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10CF5">
              <w:rPr>
                <w:noProof/>
                <w:webHidden/>
              </w:rPr>
              <w:t>61</w:t>
            </w:r>
            <w:r w:rsidR="00DB7D19" w:rsidRPr="00005B41">
              <w:rPr>
                <w:noProof/>
                <w:webHidden/>
              </w:rPr>
              <w:fldChar w:fldCharType="end"/>
            </w:r>
          </w:hyperlink>
        </w:p>
        <w:p w:rsidR="00DB7D19" w:rsidRPr="00005B41" w:rsidRDefault="00E040B9">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10CF5">
              <w:rPr>
                <w:noProof/>
                <w:webHidden/>
              </w:rPr>
              <w:t>63</w:t>
            </w:r>
            <w:r w:rsidR="00DB7D19" w:rsidRPr="00005B41">
              <w:rPr>
                <w:noProof/>
                <w:webHidden/>
              </w:rPr>
              <w:fldChar w:fldCharType="end"/>
            </w:r>
          </w:hyperlink>
        </w:p>
        <w:p w:rsidR="00DB7D19" w:rsidRDefault="00E040B9">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10CF5">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271AFD" w:rsidP="00F30B84">
      <w:pPr>
        <w:ind w:firstLine="420"/>
      </w:pP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F150D1"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p>
    <w:p w:rsidR="00A27C7C" w:rsidRPr="00365DF7" w:rsidRDefault="00A27C7C" w:rsidP="00573F40">
      <w:pPr>
        <w:ind w:firstLine="420"/>
      </w:pP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F051CF">
        <w:rPr>
          <w:rFonts w:hint="eastAsia"/>
        </w:rPr>
        <w:t>Windows</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4"/>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w:t>
      </w:r>
    </w:p>
    <w:p w:rsidR="00F150D1" w:rsidRDefault="003A1098" w:rsidP="003A1098">
      <w:pPr>
        <w:ind w:firstLine="420"/>
      </w:pPr>
      <w:r>
        <w:rPr>
          <w:rFonts w:hint="eastAsia"/>
        </w:rPr>
        <w:t>在</w:t>
      </w:r>
      <w:r>
        <w:rPr>
          <w:rFonts w:hint="eastAsia"/>
        </w:rPr>
        <w:t>Windows Phone 8.1</w:t>
      </w:r>
      <w:r>
        <w:rPr>
          <w:rFonts w:hint="eastAsia"/>
        </w:rPr>
        <w:t>后，</w:t>
      </w:r>
      <w:r>
        <w:rPr>
          <w:rFonts w:hint="eastAsia"/>
        </w:rPr>
        <w:t>Windows</w:t>
      </w:r>
      <w:r>
        <w:rPr>
          <w:rFonts w:hint="eastAsia"/>
        </w:rPr>
        <w:t>运行时在</w:t>
      </w:r>
      <w:r>
        <w:rPr>
          <w:rFonts w:hint="eastAsia"/>
        </w:rPr>
        <w:t>Windows Phone 8.1</w:t>
      </w:r>
      <w:r>
        <w:rPr>
          <w:rFonts w:hint="eastAsia"/>
        </w:rPr>
        <w:t>与</w:t>
      </w:r>
      <w:r>
        <w:rPr>
          <w:rFonts w:hint="eastAsia"/>
        </w:rPr>
        <w:t>Windows</w:t>
      </w:r>
      <w:r>
        <w:rPr>
          <w:rFonts w:hint="eastAsia"/>
        </w:rPr>
        <w:t>之间仍保持一致。</w:t>
      </w:r>
      <w:r>
        <w:rPr>
          <w:rFonts w:hint="eastAsia"/>
        </w:rPr>
        <w:t>Windows</w:t>
      </w:r>
      <w:r w:rsidR="00652FC0">
        <w:t xml:space="preserve"> </w:t>
      </w:r>
      <w:r>
        <w:rPr>
          <w:rFonts w:hint="eastAsia"/>
        </w:rPr>
        <w:t>10</w:t>
      </w:r>
      <w:r>
        <w:rPr>
          <w:rFonts w:hint="eastAsia"/>
        </w:rPr>
        <w:t>引入了通用</w:t>
      </w:r>
      <w:r>
        <w:rPr>
          <w:rFonts w:hint="eastAsia"/>
        </w:rPr>
        <w:t>Windows</w:t>
      </w:r>
      <w:r w:rsidR="00652FC0">
        <w:rPr>
          <w:rFonts w:hint="eastAsia"/>
        </w:rPr>
        <w:t>平台</w:t>
      </w:r>
      <w:r>
        <w:rPr>
          <w:rFonts w:hint="eastAsia"/>
        </w:rPr>
        <w:t>推动了</w:t>
      </w:r>
      <w:r>
        <w:rPr>
          <w:rFonts w:hint="eastAsia"/>
        </w:rPr>
        <w:t>Windows</w:t>
      </w:r>
      <w:r>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微软小娜性能分析系统需求分析</w:t>
      </w:r>
      <w:bookmarkEnd w:id="17"/>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14652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C607E7">
        <w:rPr>
          <w:rFonts w:hint="eastAsia"/>
        </w:rPr>
        <w:t>结构</w:t>
      </w:r>
      <w:r w:rsidR="00BF3F63">
        <w:rPr>
          <w:rFonts w:hint="eastAsia"/>
        </w:rPr>
        <w:t>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14652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函数采用多进程方法执行命令，首先函数拼接字符串组成命令行然后使用</w:t>
      </w:r>
      <w:r>
        <w:rPr>
          <w:rFonts w:hint="eastAsia"/>
        </w:rPr>
        <w:t>cmd.exe</w:t>
      </w:r>
      <w:r>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r w:rsidRPr="00CE36C1">
        <w:rPr>
          <w:rFonts w:ascii="黑体" w:eastAsia="黑体" w:hAnsi="黑体" w:hint="eastAsia"/>
          <w:sz w:val="32"/>
          <w:szCs w:val="32"/>
        </w:rPr>
        <w:lastRenderedPageBreak/>
        <w:t>盲审意见</w:t>
      </w:r>
    </w:p>
    <w:p w:rsidR="00354BE2" w:rsidRPr="00CE36C1" w:rsidRDefault="00354BE2" w:rsidP="00354BE2">
      <w:pPr>
        <w:widowControl/>
        <w:spacing w:line="240" w:lineRule="auto"/>
      </w:pPr>
      <w:r w:rsidRPr="006B6130">
        <w:rPr>
          <w:rFonts w:ascii="黑体" w:eastAsia="黑体" w:hAnsi="黑体" w:hint="eastAsia"/>
        </w:rPr>
        <w:t>专家一</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0B9" w:rsidRDefault="00E040B9" w:rsidP="00C62F44">
      <w:pPr>
        <w:spacing w:line="240" w:lineRule="auto"/>
      </w:pPr>
      <w:r>
        <w:separator/>
      </w:r>
    </w:p>
  </w:endnote>
  <w:endnote w:type="continuationSeparator" w:id="0">
    <w:p w:rsidR="00E040B9" w:rsidRDefault="00E040B9"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C49F8" w:rsidRPr="00DD14B5" w:rsidRDefault="00E040B9">
        <w:pPr>
          <w:pStyle w:val="ae"/>
          <w:jc w:val="center"/>
          <w:rPr>
            <w:rFonts w:ascii="宋体" w:hAnsi="宋体"/>
          </w:rPr>
        </w:pPr>
      </w:p>
    </w:sdtContent>
  </w:sdt>
  <w:p w:rsidR="001C49F8" w:rsidRDefault="001C49F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Default="001C49F8"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CC57E7" w:rsidRPr="00CC57E7">
      <w:rPr>
        <w:noProof/>
        <w:sz w:val="21"/>
        <w:szCs w:val="21"/>
        <w:lang w:val="zh-CN"/>
      </w:rPr>
      <w:t>IV</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0B9" w:rsidRDefault="00E040B9" w:rsidP="00C62F44">
      <w:pPr>
        <w:spacing w:line="240" w:lineRule="auto"/>
      </w:pPr>
      <w:r>
        <w:separator/>
      </w:r>
    </w:p>
  </w:footnote>
  <w:footnote w:type="continuationSeparator" w:id="0">
    <w:p w:rsidR="00E040B9" w:rsidRDefault="00E040B9"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CC57E7">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C57E7">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C57E7">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30B84">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710D"/>
    <w:rsid w:val="00511951"/>
    <w:rsid w:val="00513215"/>
    <w:rsid w:val="00513F7D"/>
    <w:rsid w:val="00520857"/>
    <w:rsid w:val="005222AC"/>
    <w:rsid w:val="00522622"/>
    <w:rsid w:val="00522E7D"/>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0C9F"/>
    <w:rsid w:val="005F116C"/>
    <w:rsid w:val="005F148F"/>
    <w:rsid w:val="005F2F46"/>
    <w:rsid w:val="005F3C66"/>
    <w:rsid w:val="0060091B"/>
    <w:rsid w:val="0060092C"/>
    <w:rsid w:val="00600D68"/>
    <w:rsid w:val="00601755"/>
    <w:rsid w:val="00601A96"/>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7E7"/>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F44A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E78BD-188A-467A-BCE9-E69887DB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5416</TotalTime>
  <Pages>74</Pages>
  <Words>8835</Words>
  <Characters>50362</Characters>
  <Application>Microsoft Office Word</Application>
  <DocSecurity>0</DocSecurity>
  <Lines>419</Lines>
  <Paragraphs>118</Paragraphs>
  <ScaleCrop>false</ScaleCrop>
  <Company/>
  <LinksUpToDate>false</LinksUpToDate>
  <CharactersWithSpaces>59079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1049</cp:revision>
  <cp:lastPrinted>2016-10-16T09:05:00Z</cp:lastPrinted>
  <dcterms:created xsi:type="dcterms:W3CDTF">2016-08-01T07:07:00Z</dcterms:created>
  <dcterms:modified xsi:type="dcterms:W3CDTF">2016-11-08T13:42:00Z</dcterms:modified>
</cp:coreProperties>
</file>