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BRUT AFRICA LIMITED — ACCOUNT OPENING FORM</w:t>
      </w:r>
    </w:p>
    <w:p>
      <w:r>
        <w:t xml:space="preserve">Please complete all sections. Fields marked * are required.</w:t>
      </w:r>
    </w:p>
    <w:p>
      <w:pPr>
        <w:pStyle w:val="Heading2"/>
      </w:pPr>
      <w:r>
        <w:t xml:space="preserve">Section A — Company information</w:t>
      </w:r>
    </w:p>
    <w:tbl>
      <w:tr>
        <w:tc>
          <w:p>
            <w:r>
              <w:t xml:space="preserve">Registered company name *</w:t>
            </w:r>
          </w:p>
        </w:tc>
        <w:tc>
          <w:p/>
        </w:tc>
      </w:tr>
      <w:tr>
        <w:tc>
          <w:p>
            <w:r>
              <w:t xml:space="preserve">Trading name</w:t>
            </w:r>
          </w:p>
        </w:tc>
        <w:tc>
          <w:p/>
        </w:tc>
      </w:tr>
      <w:tr>
        <w:tc>
          <w:p>
            <w:r>
              <w:t xml:space="preserve">Certificate of incorporation number *</w:t>
            </w:r>
          </w:p>
        </w:tc>
        <w:tc>
          <w:p/>
        </w:tc>
      </w:tr>
      <w:tr>
        <w:tc>
          <w:p>
            <w:r>
              <w:t xml:space="preserve">KRA PIN *</w:t>
            </w:r>
          </w:p>
        </w:tc>
        <w:tc>
          <w:p/>
        </w:tc>
      </w:tr>
      <w:tr>
        <w:tc>
          <w:p>
            <w:r>
              <w:t xml:space="preserve">VAT number</w:t>
            </w:r>
          </w:p>
        </w:tc>
        <w:tc>
          <w:p/>
        </w:tc>
      </w:tr>
      <w:tr>
        <w:tc>
          <w:p>
            <w:r>
              <w:t xml:space="preserve">Date of incorporation</w:t>
            </w:r>
          </w:p>
        </w:tc>
        <w:tc>
          <w:p/>
        </w:tc>
      </w:tr>
      <w:tr>
        <w:tc>
          <w:p>
            <w:r>
              <w:t xml:space="preserve">Registered office address *</w:t>
            </w:r>
          </w:p>
        </w:tc>
        <w:tc>
          <w:p/>
        </w:tc>
      </w:tr>
      <w:tr>
        <w:tc>
          <w:p>
            <w:r>
              <w:t xml:space="preserve">Postal address</w:t>
            </w:r>
          </w:p>
        </w:tc>
        <w:tc>
          <w:p/>
        </w:tc>
      </w:tr>
      <w:tr>
        <w:tc>
          <w:p>
            <w:r>
              <w:t xml:space="preserve">Company telephone *</w:t>
            </w:r>
          </w:p>
        </w:tc>
        <w:tc>
          <w:p/>
        </w:tc>
      </w:tr>
      <w:tr>
        <w:tc>
          <w:p>
            <w:r>
              <w:t xml:space="preserve">Email address *</w:t>
            </w:r>
          </w:p>
        </w:tc>
        <w:tc>
          <w:p/>
        </w:tc>
      </w:tr>
      <w:tr>
        <w:tc>
          <w:p>
            <w:r>
              <w:t xml:space="preserve">Website</w:t>
            </w:r>
          </w:p>
        </w:tc>
        <w:tc>
          <w:p/>
        </w:tc>
      </w:tr>
    </w:tbl>
    <w:p>
      <w:pPr>
        <w:pStyle w:val="Heading2"/>
      </w:pPr>
      <w:r>
        <w:t xml:space="preserve">Section B — Contact &amp; banking</w:t>
      </w:r>
    </w:p>
    <w:tbl>
      <w:tr>
        <w:tc>
          <w:p>
            <w:r>
              <w:t xml:space="preserve">Primary contact person *</w:t>
            </w:r>
          </w:p>
        </w:tc>
        <w:tc>
          <w:p/>
        </w:tc>
      </w:tr>
      <w:tr>
        <w:tc>
          <w:p>
            <w:r>
              <w:t xml:space="preserve">Contact mobile number *</w:t>
            </w:r>
          </w:p>
        </w:tc>
        <w:tc>
          <w:p/>
        </w:tc>
      </w:tr>
      <w:tr>
        <w:tc>
          <w:p>
            <w:r>
              <w:t xml:space="preserve">Contact email *</w:t>
            </w:r>
          </w:p>
        </w:tc>
        <w:tc>
          <w:p/>
        </w:tc>
      </w:tr>
      <w:tr>
        <w:tc>
          <w:p>
            <w:r>
              <w:t xml:space="preserve">Bank name</w:t>
            </w:r>
          </w:p>
        </w:tc>
        <w:tc>
          <w:p/>
        </w:tc>
      </w:tr>
      <w:tr>
        <w:tc>
          <w:p>
            <w:r>
              <w:t xml:space="preserve">Bank branch</w:t>
            </w:r>
          </w:p>
        </w:tc>
        <w:tc>
          <w:p/>
        </w:tc>
      </w:tr>
      <w:tr>
        <w:tc>
          <w:p>
            <w:r>
              <w:t xml:space="preserve">Account number</w:t>
            </w:r>
          </w:p>
        </w:tc>
        <w:tc>
          <w:p/>
        </w:tc>
      </w:tr>
      <w:tr>
        <w:tc>
          <w:p>
            <w:r>
              <w:t xml:space="preserve">Requested credit limit (KES)</w:t>
            </w:r>
          </w:p>
        </w:tc>
        <w:tc>
          <w:p/>
        </w:tc>
      </w:tr>
      <w:tr>
        <w:tc>
          <w:p>
            <w:r>
              <w:t xml:space="preserve">Payment terms requested (30 / 45 / 60 days)</w:t>
            </w:r>
          </w:p>
        </w:tc>
        <w:tc>
          <w:p/>
        </w:tc>
      </w:tr>
    </w:tbl>
    <w:p>
      <w:pPr>
        <w:pStyle w:val="Heading2"/>
      </w:pPr>
      <w:r>
        <w:t xml:space="preserve">Section C — Goods receiving</w:t>
      </w:r>
    </w:p>
    <w:tbl>
      <w:tr>
        <w:tc>
          <w:p>
            <w:r>
              <w:t xml:space="preserve">Delivery address *</w:t>
            </w:r>
          </w:p>
        </w:tc>
        <w:tc>
          <w:p/>
        </w:tc>
      </w:tr>
      <w:tr>
        <w:tc>
          <w:p>
            <w:r>
              <w:t xml:space="preserve">Authorised receiver full name *</w:t>
            </w:r>
          </w:p>
        </w:tc>
        <w:tc>
          <w:p/>
        </w:tc>
      </w:tr>
      <w:tr>
        <w:tc>
          <w:p>
            <w:r>
              <w:t xml:space="preserve">Receiver ID number *</w:t>
            </w:r>
          </w:p>
        </w:tc>
        <w:tc>
          <w:p/>
        </w:tc>
      </w:tr>
      <w:tr>
        <w:tc>
          <w:p>
            <w:r>
              <w:t xml:space="preserve">Receiver telephone</w:t>
            </w:r>
          </w:p>
        </w:tc>
        <w:tc>
          <w:p/>
        </w:tc>
      </w:tr>
    </w:tbl>
    <w:p>
      <w:pPr>
        <w:pStyle w:val="Heading2"/>
      </w:pPr>
      <w:r>
        <w:t xml:space="preserve">Terms and conditions of trade</w:t>
      </w:r>
    </w:p>
    <w:p>
      <w:r>
        <w:t xml:space="preserve">Article 1. Application. These terms govern every supply of goods by Brut Africa Limited (the "Supplier") to the customer named in Section A (the "Customer"), to the exclusion of any terms the Customer seeks to impose.</w:t>
      </w:r>
    </w:p>
    <w:p>
      <w:r>
        <w:t xml:space="preserve">Article 2. Orders. Orders are binding on the Supplier only when confirmed in writing. The Supplier may decline any order without giving reasons.</w:t>
      </w:r>
    </w:p>
    <w:p>
      <w:r>
        <w:t xml:space="preserve">Article 3. Prices and payment. Prices are exclusive of VAT. Invoices must be paid within the agreed payment terms without set-off or deduction. Late payment attracts interest at two percent (2%) per month.</w:t>
      </w:r>
    </w:p>
    <w:p>
      <w:r>
        <w:t xml:space="preserve">Article 4. Delivery and risk. Delivery is made to the address in Section C. Risk in the goods passes to the Customer on delivery; title passes only on payment in full.</w:t>
      </w:r>
    </w:p>
    <w:p>
      <w:r>
        <w:t xml:space="preserve">Article 5. Claims. Shortages and visible damage must be noted on the delivery note at the time of delivery and notified in writing within forty-eight (48) hours.</w:t>
      </w:r>
    </w:p>
    <w:p>
      <w:r>
        <w:t xml:space="preserve">Article 6. Credit. Any credit limit granted may be varied or withdrawn at any time. The Supplier may suspend deliveries while any invoice is overdue.</w:t>
      </w:r>
    </w:p>
    <w:p>
      <w:r>
        <w:t xml:space="preserve">Article 7. Governing law. These terms are governed by the laws of Kenya, and the parties submit to the non-exclusive jurisdiction of the Kenyan courts.</w:t>
      </w:r>
    </w:p>
    <w:p>
      <w:pPr>
        <w:pStyle w:val="Heading2"/>
      </w:pPr>
      <w:r>
        <w:t xml:space="preserve">Execution</w:t>
      </w:r>
    </w:p>
    <w:p>
      <w:r>
        <w:t xml:space="preserve">Signed for and on behalf of the Customer by a director:</w:t>
      </w:r>
    </w:p>
    <w:tbl>
      <w:tr>
        <w:tc>
          <w:p>
            <w:r>
              <w:t xml:space="preserve">Director full name *</w:t>
            </w:r>
          </w:p>
        </w:tc>
        <w:tc>
          <w:p/>
        </w:tc>
      </w:tr>
      <w:tr>
        <w:tc>
          <w:p>
            <w:r>
              <w:t xml:space="preserve">Title</w:t>
            </w:r>
          </w:p>
        </w:tc>
        <w:tc>
          <w:p/>
        </w:tc>
      </w:tr>
      <w:tr>
        <w:tc>
          <w:p>
            <w:r>
              <w:t xml:space="preserve">Director signature *</w:t>
            </w:r>
          </w:p>
        </w:tc>
        <w:tc>
          <w:p/>
        </w:tc>
      </w:tr>
      <w:tr>
        <w:tc>
          <w:p>
            <w:r>
              <w:t xml:space="preserve">Date signed</w:t>
            </w:r>
          </w:p>
        </w:tc>
        <w:tc>
          <w:p/>
        </w:tc>
      </w:tr>
      <w:tr>
        <w:tc>
          <w:p>
            <w:r>
              <w:t xml:space="preserve">Company stamp</w:t>
            </w:r>
          </w:p>
        </w:tc>
        <w:tc>
          <w:p/>
        </w:tc>
      </w:tr>
    </w:tbl>
    <w:sectPr/>
  </w:body>
</w:document>
</file>