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algun Gothic" w:hAnsi="Malgun Gothic" w:eastAsia="Malgun Gothic"/>
          <w:b/>
          <w:color w:val="000000"/>
          <w:sz w:val="44"/>
        </w:rPr>
        <w:t>AIA Runtime Security Technical Paper</w:t>
      </w:r>
    </w:p>
    <w:p>
      <w:pPr>
        <w:pStyle w:val="Heading2"/>
        <w:keepNext/>
      </w:pPr>
      <w:r>
        <w:rPr>
          <w:rFonts w:ascii="Malgun Gothic" w:hAnsi="Malgun Gothic" w:eastAsia="Malgun Gothic"/>
          <w:b/>
          <w:color w:val="000000"/>
          <w:sz w:val="32"/>
        </w:rPr>
        <w:t>Abstract</w:t>
      </w:r>
    </w:p>
    <w:p>
      <w:pPr>
        <w:keepLines w:val="0"/>
      </w:pPr>
      <w:r>
        <w:rPr>
          <w:rFonts w:ascii="Malgun Gothic" w:hAnsi="Malgun Gothic" w:eastAsia="Malgun Gothic"/>
          <w:color w:val="000000"/>
          <w:sz w:val="21"/>
        </w:rPr>
        <w:t>AIA is a local security assurance layer for a Codex CLI Protected Run on Windows. It does not interpret an Agent's private reasoning or infer intent. It records and evaluates observable runtime actions, connects those actions to a Workspace-bound Session, and applies a policy decision before choosing an enforcement path. The runtime chain is:</w:t>
      </w:r>
    </w:p>
    <w:p>
      <w:pPr>
        <w:spacing w:before="40" w:after="160"/>
        <w:ind w:left="288" w:right="288"/>
      </w:pPr>
      <w:r>
        <w:rPr>
          <w:rFonts w:ascii="Malgun Gothic" w:hAnsi="Malgun Gothic" w:eastAsia="Malgun Gothic"/>
          <w:color w:val="203040"/>
          <w:sz w:val="18"/>
        </w:rPr>
        <w:t>Agent Hook request</w:t>
        <w:br/>
      </w:r>
      <w:r>
        <w:rPr>
          <w:rFonts w:ascii="Malgun Gothic" w:hAnsi="Malgun Gothic" w:eastAsia="Malgun Gothic"/>
          <w:color w:val="203040"/>
          <w:sz w:val="18"/>
        </w:rPr>
        <w:t xml:space="preserve">  -&gt; canonical action</w:t>
        <w:br/>
      </w:r>
      <w:r>
        <w:rPr>
          <w:rFonts w:ascii="Malgun Gothic" w:hAnsi="Malgun Gothic" w:eastAsia="Malgun Gothic"/>
          <w:color w:val="203040"/>
          <w:sz w:val="18"/>
        </w:rPr>
        <w:t xml:space="preserve">  -&gt; policy evaluation</w:t>
        <w:br/>
      </w:r>
      <w:r>
        <w:rPr>
          <w:rFonts w:ascii="Malgun Gothic" w:hAnsi="Malgun Gothic" w:eastAsia="Malgun Gothic"/>
          <w:color w:val="203040"/>
          <w:sz w:val="18"/>
        </w:rPr>
        <w:t xml:space="preserve">  -&gt; attribution</w:t>
        <w:br/>
      </w:r>
      <w:r>
        <w:rPr>
          <w:rFonts w:ascii="Malgun Gothic" w:hAnsi="Malgun Gothic" w:eastAsia="Malgun Gothic"/>
          <w:color w:val="203040"/>
          <w:sz w:val="18"/>
        </w:rPr>
        <w:t xml:space="preserve">  -&gt; enforcement</w:t>
        <w:br/>
      </w:r>
      <w:r>
        <w:rPr>
          <w:rFonts w:ascii="Malgun Gothic" w:hAnsi="Malgun Gothic" w:eastAsia="Malgun Gothic"/>
          <w:color w:val="203040"/>
          <w:sz w:val="18"/>
        </w:rPr>
        <w:t xml:space="preserve">  -&gt; filesystem or process evidence</w:t>
        <w:br/>
      </w:r>
      <w:r>
        <w:rPr>
          <w:rFonts w:ascii="Malgun Gothic" w:hAnsi="Malgun Gothic" w:eastAsia="Malgun Gothic"/>
          <w:color w:val="203040"/>
          <w:sz w:val="18"/>
        </w:rPr>
        <w:t xml:space="preserve">  -&gt; recovery</w:t>
        <w:br/>
      </w:r>
      <w:r>
        <w:rPr>
          <w:rFonts w:ascii="Malgun Gothic" w:hAnsi="Malgun Gothic" w:eastAsia="Malgun Gothic"/>
          <w:color w:val="203040"/>
          <w:sz w:val="18"/>
        </w:rPr>
        <w:t xml:space="preserve">  -&gt; integrity verification</w:t>
        <w:br/>
      </w:r>
      <w:r>
        <w:rPr>
          <w:rFonts w:ascii="Malgun Gothic" w:hAnsi="Malgun Gothic" w:eastAsia="Malgun Gothic"/>
          <w:color w:val="203040"/>
          <w:sz w:val="18"/>
        </w:rPr>
        <w:t xml:space="preserve">  -&gt; committed and verifiable Result Bundle</w:t>
      </w:r>
    </w:p>
    <w:p>
      <w:pPr>
        <w:keepLines w:val="0"/>
      </w:pPr>
      <w:r>
        <w:rPr>
          <w:rFonts w:ascii="Malgun Gothic" w:hAnsi="Malgun Gothic" w:eastAsia="Malgun Gothic"/>
          <w:color w:val="000000"/>
          <w:sz w:val="21"/>
        </w:rPr>
        <w:t>This paper describes the implemented AIA core and the boundary of each claim. A demo fixture is not an Actual Codex run, and an observed Process or File event does not by itself prove which exact tool wrote a file.</w:t>
      </w:r>
    </w:p>
    <w:p>
      <w:pPr>
        <w:pStyle w:val="Heading2"/>
        <w:keepNext/>
      </w:pPr>
      <w:r>
        <w:rPr>
          <w:rFonts w:ascii="Malgun Gothic" w:hAnsi="Malgun Gothic" w:eastAsia="Malgun Gothic"/>
          <w:b/>
          <w:color w:val="000000"/>
          <w:sz w:val="32"/>
        </w:rPr>
        <w:t>Scope and security boundary</w:t>
      </w:r>
    </w:p>
    <w:p>
      <w:pPr>
        <w:keepLines w:val="0"/>
      </w:pPr>
      <w:r>
        <w:rPr>
          <w:rFonts w:ascii="Malgun Gothic" w:hAnsi="Malgun Gothic" w:eastAsia="Malgun Gothic"/>
          <w:color w:val="000000"/>
          <w:sz w:val="21"/>
        </w:rPr>
        <w:t>AIA starts a Protected Run for a Workspace that already exists. It freezes the selected policy, acquires a Workspace Lease, creates a Safe Checkpoint, prepares sensors, and launches the supported Codex CLI path. The Control Root is kept outside the Workspace so evidence and control state are not mixed with files the Agent can edit.</w:t>
      </w:r>
    </w:p>
    <w:p>
      <w:pPr>
        <w:keepLines w:val="0"/>
      </w:pPr>
      <w:r>
        <w:rPr>
          <w:rFonts w:ascii="Malgun Gothic" w:hAnsi="Malgun Gothic" w:eastAsia="Malgun Gothic"/>
          <w:color w:val="000000"/>
          <w:sz w:val="21"/>
        </w:rPr>
        <w:t>The supported product path is local Windows 11 execution with Codex CLI. The current repository does not claim to protect MCP, Claude, arbitrary external Agents, network traffic, or tools outside the supported launch path. The local console is an Evidence Viewer and control surface; it is not a second policy authority.</w:t>
      </w:r>
    </w:p>
    <w:p>
      <w:pPr>
        <w:pStyle w:val="Heading2"/>
        <w:keepNext/>
      </w:pPr>
      <w:r>
        <w:rPr>
          <w:rFonts w:ascii="Malgun Gothic" w:hAnsi="Malgun Gothic" w:eastAsia="Malgun Gothic"/>
          <w:b/>
          <w:color w:val="000000"/>
          <w:sz w:val="32"/>
        </w:rPr>
        <w:t>Canonical runtime flow</w:t>
      </w:r>
    </w:p>
    <w:p>
      <w:pPr>
        <w:pStyle w:val="Heading3"/>
        <w:keepNext/>
      </w:pPr>
      <w:r>
        <w:rPr>
          <w:rFonts w:ascii="Malgun Gothic" w:hAnsi="Malgun Gothic" w:eastAsia="Malgun Gothic"/>
          <w:b/>
          <w:color w:val="000000"/>
          <w:sz w:val="24"/>
        </w:rPr>
        <w:t>1 Session preparation</w:t>
      </w:r>
    </w:p>
    <w:p>
      <w:pPr>
        <w:keepLines w:val="0"/>
      </w:pPr>
      <w:r>
        <w:rPr>
          <w:rFonts w:ascii="Malgun Gothic" w:hAnsi="Malgun Gothic" w:eastAsia="Malgun Gothic"/>
          <w:color w:val="000000"/>
          <w:sz w:val="21"/>
        </w:rPr>
        <w:t>The CLI creates a Session with a Workspace, Agent label, mode, policy identifier, and policy version. The Session moves through explicit lifecycle states. Preparation is complete only when the policy, lease, checkpoint, and sensor prerequisites are valid.</w:t>
      </w:r>
    </w:p>
    <w:p>
      <w:pPr>
        <w:keepLines w:val="0"/>
      </w:pPr>
      <w:r>
        <w:rPr>
          <w:rFonts w:ascii="Malgun Gothic" w:hAnsi="Malgun Gothic" w:eastAsia="Malgun Gothic"/>
          <w:color w:val="000000"/>
          <w:sz w:val="21"/>
        </w:rPr>
        <w:t>The policy is resolved before the Agent starts. During the run, the active policy is frozen and carries a fingerprint. Every later evaluation references that frozen policy rather than re-reading a mutable file.</w:t>
      </w:r>
    </w:p>
    <w:p>
      <w:pPr>
        <w:keepLines w:val="0"/>
      </w:pPr>
      <w:r>
        <w:rPr>
          <w:rFonts w:ascii="Malgun Gothic" w:hAnsi="Malgun Gothic" w:eastAsia="Malgun Gothic"/>
          <w:color w:val="000000"/>
          <w:sz w:val="21"/>
        </w:rPr>
        <w:t>The Workspace Lease binds the Session to the selected Workspace and the owning AIA process identity. It prevents two active Protected Runs from claiming the same Workspace and is released during finalization or controlled cleanup.</w:t>
      </w:r>
    </w:p>
    <w:p>
      <w:pPr>
        <w:keepLines w:val="0"/>
      </w:pPr>
      <w:r>
        <w:rPr>
          <w:rFonts w:ascii="Malgun Gothic" w:hAnsi="Malgun Gothic" w:eastAsia="Malgun Gothic"/>
          <w:color w:val="000000"/>
          <w:sz w:val="21"/>
        </w:rPr>
        <w:t>The Safe Checkpoint records the Workspace baseline used by Recovery and Integrity. Checkpoint creation is a preparation step; it is not an assertion that a later change will always be recoverable.</w:t>
      </w:r>
    </w:p>
    <w:p>
      <w:pPr>
        <w:pStyle w:val="Heading3"/>
        <w:keepNext/>
      </w:pPr>
      <w:r>
        <w:rPr>
          <w:rFonts w:ascii="Malgun Gothic" w:hAnsi="Malgun Gothic" w:eastAsia="Malgun Gothic"/>
          <w:b/>
          <w:color w:val="000000"/>
          <w:sz w:val="24"/>
        </w:rPr>
        <w:t>2 Evidence and action normalization</w:t>
      </w:r>
    </w:p>
    <w:p>
      <w:pPr>
        <w:keepLines w:val="0"/>
      </w:pPr>
      <w:r>
        <w:rPr>
          <w:rFonts w:ascii="Malgun Gothic" w:hAnsi="Malgun Gothic" w:eastAsia="Malgun Gothic"/>
          <w:color w:val="000000"/>
          <w:sz w:val="21"/>
        </w:rPr>
        <w:t xml:space="preserve">Sensors write bounded </w:t>
      </w:r>
      <w:r>
        <w:rPr>
          <w:rFonts w:ascii="Malgun Gothic" w:hAnsi="Malgun Gothic" w:eastAsia="Malgun Gothic"/>
          <w:color w:val="404040"/>
          <w:sz w:val="19"/>
        </w:rPr>
        <w:t>RawEvidenceRecord</w:t>
      </w:r>
      <w:r>
        <w:rPr>
          <w:rFonts w:ascii="Malgun Gothic" w:hAnsi="Malgun Gothic" w:eastAsia="Malgun Gothic"/>
          <w:color w:val="000000"/>
          <w:sz w:val="21"/>
        </w:rPr>
        <w:t xml:space="preserve"> values to the Session's evidence store. The records carry a Session ID, source, record type, capture time, observation stage, and a structured payload. The normalizer converts an observed request into a </w:t>
      </w:r>
      <w:r>
        <w:rPr>
          <w:rFonts w:ascii="Malgun Gothic" w:hAnsi="Malgun Gothic" w:eastAsia="Malgun Gothic"/>
          <w:color w:val="404040"/>
          <w:sz w:val="19"/>
        </w:rPr>
        <w:t>NormalizedAction</w:t>
      </w:r>
      <w:r>
        <w:rPr>
          <w:rFonts w:ascii="Malgun Gothic" w:hAnsi="Malgun Gothic" w:eastAsia="Malgun Gothic"/>
          <w:color w:val="000000"/>
          <w:sz w:val="21"/>
        </w:rPr>
        <w:t xml:space="preserve"> with an operation, target kind, paths or command metadata, evidence IDs, source evidence, and a completeness value.</w:t>
      </w:r>
    </w:p>
    <w:p>
      <w:pPr>
        <w:keepLines w:val="0"/>
      </w:pPr>
      <w:r>
        <w:rPr>
          <w:rFonts w:ascii="Malgun Gothic" w:hAnsi="Malgun Gothic" w:eastAsia="Malgun Gothic"/>
          <w:color w:val="000000"/>
          <w:sz w:val="21"/>
        </w:rPr>
        <w:t>The raw record is the audit origin. A canonical action is a derived interpretation. A policy result is a decision about that action. These values are kept separate so that a later reviewer can distinguish what the operating system or Hook reported from what AIA concluded.</w:t>
      </w:r>
    </w:p>
    <w:p>
      <w:pPr>
        <w:pStyle w:val="Heading2"/>
        <w:keepNext/>
      </w:pPr>
      <w:r>
        <w:rPr>
          <w:rFonts w:ascii="Malgun Gothic" w:hAnsi="Malgun Gothic" w:eastAsia="Malgun Gothic"/>
          <w:b/>
          <w:color w:val="000000"/>
          <w:sz w:val="32"/>
        </w:rPr>
        <w:t>Hook Sensor</w:t>
      </w:r>
    </w:p>
    <w:p>
      <w:pPr>
        <w:pStyle w:val="Heading3"/>
        <w:keepNext/>
      </w:pPr>
      <w:r>
        <w:rPr>
          <w:rFonts w:ascii="Malgun Gothic" w:hAnsi="Malgun Gothic" w:eastAsia="Malgun Gothic"/>
          <w:b/>
          <w:color w:val="000000"/>
          <w:sz w:val="24"/>
        </w:rPr>
        <w:t>1 Role</w:t>
      </w:r>
    </w:p>
    <w:p>
      <w:pPr>
        <w:keepLines w:val="0"/>
      </w:pPr>
      <w:r>
        <w:rPr>
          <w:rFonts w:ascii="Malgun Gothic" w:hAnsi="Malgun Gothic" w:eastAsia="Malgun Gothic"/>
          <w:color w:val="000000"/>
          <w:sz w:val="21"/>
        </w:rPr>
        <w:t xml:space="preserve">The Hook Sensor is the pre-action observation and policy gate for the supported Codex Hook path. A Codex </w:t>
      </w:r>
      <w:r>
        <w:rPr>
          <w:rFonts w:ascii="Malgun Gothic" w:hAnsi="Malgun Gothic" w:eastAsia="Malgun Gothic"/>
          <w:color w:val="404040"/>
          <w:sz w:val="19"/>
        </w:rPr>
        <w:t>PreToolUse</w:t>
      </w:r>
      <w:r>
        <w:rPr>
          <w:rFonts w:ascii="Malgun Gothic" w:hAnsi="Malgun Gothic" w:eastAsia="Malgun Gothic"/>
          <w:color w:val="000000"/>
          <w:sz w:val="21"/>
        </w:rPr>
        <w:t xml:space="preserve"> request is received by the AIA Hook command, validated, bounded, and stored as </w:t>
      </w:r>
      <w:r>
        <w:rPr>
          <w:rFonts w:ascii="Malgun Gothic" w:hAnsi="Malgun Gothic" w:eastAsia="Malgun Gothic"/>
          <w:color w:val="404040"/>
          <w:sz w:val="19"/>
        </w:rPr>
        <w:t>AGENT_HOOK</w:t>
      </w:r>
      <w:r>
        <w:rPr>
          <w:rFonts w:ascii="Malgun Gothic" w:hAnsi="Malgun Gothic" w:eastAsia="Malgun Gothic"/>
          <w:color w:val="000000"/>
          <w:sz w:val="21"/>
        </w:rPr>
        <w:t xml:space="preserve"> evidence. AIA then evaluates the request against the frozen policy and returns the Hook response.</w:t>
      </w:r>
    </w:p>
    <w:p>
      <w:pPr>
        <w:keepLines w:val="0"/>
      </w:pPr>
      <w:r>
        <w:rPr>
          <w:rFonts w:ascii="Malgun Gothic" w:hAnsi="Malgun Gothic" w:eastAsia="Malgun Gothic"/>
          <w:color w:val="000000"/>
          <w:sz w:val="21"/>
        </w:rPr>
        <w:t>The normal security outcome for a known policy violation is a deny or contain response before the tool is allowed to proceed. This is a pre-action block. It is not a Process Sensor termination and it is not proof that a process was killed.</w:t>
      </w:r>
    </w:p>
    <w:p>
      <w:pPr>
        <w:pStyle w:val="Heading3"/>
        <w:keepNext/>
      </w:pPr>
      <w:r>
        <w:rPr>
          <w:rFonts w:ascii="Malgun Gothic" w:hAnsi="Malgun Gothic" w:eastAsia="Malgun Gothic"/>
          <w:b/>
          <w:color w:val="000000"/>
          <w:sz w:val="24"/>
        </w:rPr>
        <w:t>2 Trust and verification</w:t>
      </w:r>
    </w:p>
    <w:p>
      <w:pPr>
        <w:keepLines w:val="0"/>
      </w:pPr>
      <w:r>
        <w:rPr>
          <w:rFonts w:ascii="Malgun Gothic" w:hAnsi="Malgun Gothic" w:eastAsia="Malgun Gothic"/>
          <w:color w:val="000000"/>
          <w:sz w:val="21"/>
        </w:rPr>
        <w:t>Installing a Hook definition and trusting it in Codex are separate facts. AIA therefore distinguishes:</w:t>
      </w:r>
    </w:p>
    <w:p>
      <w:pPr>
        <w:pStyle w:val="ListNumber"/>
      </w:pPr>
      <w:r>
        <w:rPr>
          <w:rFonts w:ascii="Malgun Gothic" w:hAnsi="Malgun Gothic" w:eastAsia="Malgun Gothic"/>
          <w:color w:val="000000"/>
          <w:sz w:val="21"/>
        </w:rPr>
        <w:t>Hook definition present in the Codex configuration.</w:t>
      </w:r>
    </w:p>
    <w:p>
      <w:pPr>
        <w:pStyle w:val="ListNumber"/>
      </w:pPr>
      <w:r>
        <w:rPr>
          <w:rFonts w:ascii="Malgun Gothic" w:hAnsi="Malgun Gothic" w:eastAsia="Malgun Gothic"/>
          <w:color w:val="000000"/>
          <w:sz w:val="21"/>
        </w:rPr>
        <w:t>Codex PreToolUse trust state.</w:t>
      </w:r>
    </w:p>
    <w:p>
      <w:pPr>
        <w:pStyle w:val="ListNumber"/>
      </w:pPr>
      <w:r>
        <w:rPr>
          <w:rFonts w:ascii="Malgun Gothic" w:hAnsi="Malgun Gothic" w:eastAsia="Malgun Gothic"/>
          <w:color w:val="000000"/>
          <w:sz w:val="21"/>
        </w:rPr>
        <w:t>A live Session-bound Hook Event observed during `hook verify` or a Protected Run.</w:t>
      </w:r>
    </w:p>
    <w:p>
      <w:pPr>
        <w:keepLines w:val="0"/>
      </w:pPr>
      <w:r>
        <w:rPr>
          <w:rFonts w:ascii="Malgun Gothic" w:hAnsi="Malgun Gothic" w:eastAsia="Malgun Gothic"/>
          <w:color w:val="000000"/>
          <w:sz w:val="21"/>
        </w:rPr>
        <w:t xml:space="preserve">Only the third fact proves that the Hook path was connected to an AIA Session for that run. A </w:t>
      </w:r>
      <w:r>
        <w:rPr>
          <w:rFonts w:ascii="Malgun Gothic" w:hAnsi="Malgun Gothic" w:eastAsia="Malgun Gothic"/>
          <w:color w:val="404040"/>
          <w:sz w:val="19"/>
        </w:rPr>
        <w:t>READY</w:t>
      </w:r>
      <w:r>
        <w:rPr>
          <w:rFonts w:ascii="Malgun Gothic" w:hAnsi="Malgun Gothic" w:eastAsia="Malgun Gothic"/>
          <w:color w:val="000000"/>
          <w:sz w:val="21"/>
        </w:rPr>
        <w:t xml:space="preserve"> doctor result means the preconditions are satisfied; it does not mean every future Agent path is automatically supported.</w:t>
      </w:r>
    </w:p>
    <w:p>
      <w:pPr>
        <w:pStyle w:val="Heading3"/>
        <w:keepNext/>
      </w:pPr>
      <w:r>
        <w:rPr>
          <w:rFonts w:ascii="Malgun Gothic" w:hAnsi="Malgun Gothic" w:eastAsia="Malgun Gothic"/>
          <w:b/>
          <w:color w:val="000000"/>
          <w:sz w:val="24"/>
        </w:rPr>
        <w:t>3 Failure semantics</w:t>
      </w:r>
    </w:p>
    <w:p>
      <w:pPr>
        <w:keepLines w:val="0"/>
      </w:pPr>
      <w:r>
        <w:rPr>
          <w:rFonts w:ascii="Malgun Gothic" w:hAnsi="Malgun Gothic" w:eastAsia="Malgun Gothic"/>
          <w:color w:val="000000"/>
          <w:sz w:val="21"/>
        </w:rPr>
        <w:t xml:space="preserve">Malformed or incomplete Hook input is not silently upgraded to a compliant action. AIA can produce an </w:t>
      </w:r>
      <w:r>
        <w:rPr>
          <w:rFonts w:ascii="Malgun Gothic" w:hAnsi="Malgun Gothic" w:eastAsia="Malgun Gothic"/>
          <w:color w:val="404040"/>
          <w:sz w:val="19"/>
        </w:rPr>
        <w:t>INDETERMINATE</w:t>
      </w:r>
      <w:r>
        <w:rPr>
          <w:rFonts w:ascii="Malgun Gothic" w:hAnsi="Malgun Gothic" w:eastAsia="Malgun Gothic"/>
          <w:color w:val="000000"/>
          <w:sz w:val="21"/>
        </w:rPr>
        <w:t xml:space="preserve"> result or refuse the action when the evidence is insufficient. The Hook Sensor does not decide arbitrary operating-system policy outside the supported Hook contract.</w:t>
      </w:r>
    </w:p>
    <w:p>
      <w:pPr>
        <w:pStyle w:val="Heading2"/>
        <w:keepNext/>
      </w:pPr>
      <w:r>
        <w:rPr>
          <w:rFonts w:ascii="Malgun Gothic" w:hAnsi="Malgun Gothic" w:eastAsia="Malgun Gothic"/>
          <w:b/>
          <w:color w:val="000000"/>
          <w:sz w:val="32"/>
        </w:rPr>
        <w:t>File Sensor</w:t>
      </w:r>
    </w:p>
    <w:p>
      <w:pPr>
        <w:pStyle w:val="Heading3"/>
        <w:keepNext/>
      </w:pPr>
      <w:r>
        <w:rPr>
          <w:rFonts w:ascii="Malgun Gothic" w:hAnsi="Malgun Gothic" w:eastAsia="Malgun Gothic"/>
          <w:b/>
          <w:color w:val="000000"/>
          <w:sz w:val="24"/>
        </w:rPr>
        <w:t>1 Role</w:t>
      </w:r>
    </w:p>
    <w:p>
      <w:pPr>
        <w:keepLines w:val="0"/>
      </w:pPr>
      <w:r>
        <w:rPr>
          <w:rFonts w:ascii="Malgun Gothic" w:hAnsi="Malgun Gothic" w:eastAsia="Malgun Gothic"/>
          <w:color w:val="000000"/>
          <w:sz w:val="21"/>
        </w:rPr>
        <w:t xml:space="preserve">The File Sensor observes filesystem changes in the protected Workspace and appends filesystem evidence. Its source is </w:t>
      </w:r>
      <w:r>
        <w:rPr>
          <w:rFonts w:ascii="Malgun Gothic" w:hAnsi="Malgun Gothic" w:eastAsia="Malgun Gothic"/>
          <w:color w:val="404040"/>
          <w:sz w:val="19"/>
        </w:rPr>
        <w:t>FILESYSTEM_WATCHER</w:t>
      </w:r>
      <w:r>
        <w:rPr>
          <w:rFonts w:ascii="Malgun Gothic" w:hAnsi="Malgun Gothic" w:eastAsia="Malgun Gothic"/>
          <w:color w:val="000000"/>
          <w:sz w:val="21"/>
        </w:rPr>
        <w:t>. The evidence describes bounded facts such as an event type, a normalized path label, and the observation stage. It is not a policy authority by itself.</w:t>
      </w:r>
    </w:p>
    <w:p>
      <w:pPr>
        <w:keepLines w:val="0"/>
      </w:pPr>
      <w:r>
        <w:rPr>
          <w:rFonts w:ascii="Malgun Gothic" w:hAnsi="Malgun Gothic" w:eastAsia="Malgun Gothic"/>
          <w:color w:val="000000"/>
          <w:sz w:val="21"/>
        </w:rPr>
        <w:t>The File Sensor can report create, modify, delete, move, or rename effects that are visible to the watcher. The observed event is compared with the checkpoint and the canonical action chain. A filesystem event may occur after an Agent tool request, so event timing and evidence lineage must be considered when explaining an incident.</w:t>
      </w:r>
    </w:p>
    <w:p>
      <w:pPr>
        <w:pStyle w:val="Heading3"/>
        <w:keepNext/>
      </w:pPr>
      <w:r>
        <w:rPr>
          <w:rFonts w:ascii="Malgun Gothic" w:hAnsi="Malgun Gothic" w:eastAsia="Malgun Gothic"/>
          <w:b/>
          <w:color w:val="000000"/>
          <w:sz w:val="24"/>
        </w:rPr>
        <w:t>2 Recovery and Integrity</w:t>
      </w:r>
    </w:p>
    <w:p>
      <w:pPr>
        <w:keepLines w:val="0"/>
      </w:pPr>
      <w:r>
        <w:rPr>
          <w:rFonts w:ascii="Malgun Gothic" w:hAnsi="Malgun Gothic" w:eastAsia="Malgun Gothic"/>
          <w:color w:val="000000"/>
          <w:sz w:val="21"/>
        </w:rPr>
        <w:t xml:space="preserve">File observation and rollback are different responsibilities. When a verified containment path requires restoration, the Recovery Coordinator applies a plan against the Safe Checkpoint. The Integrity Verifier then compares the resulting Workspace with the expected checkpoint state and reports </w:t>
      </w:r>
      <w:r>
        <w:rPr>
          <w:rFonts w:ascii="Malgun Gothic" w:hAnsi="Malgun Gothic" w:eastAsia="Malgun Gothic"/>
          <w:color w:val="404040"/>
          <w:sz w:val="19"/>
        </w:rPr>
        <w:t>VERIFIED</w:t>
      </w:r>
      <w:r>
        <w:rPr>
          <w:rFonts w:ascii="Malgun Gothic" w:hAnsi="Malgun Gothic" w:eastAsia="Malgun Gothic"/>
          <w:color w:val="000000"/>
          <w:sz w:val="21"/>
        </w:rPr>
        <w:t xml:space="preserve"> or a failure state.</w:t>
      </w:r>
    </w:p>
    <w:p>
      <w:pPr>
        <w:keepLines w:val="0"/>
      </w:pPr>
      <w:r>
        <w:rPr>
          <w:rFonts w:ascii="Malgun Gothic" w:hAnsi="Malgun Gothic" w:eastAsia="Malgun Gothic"/>
          <w:color w:val="000000"/>
          <w:sz w:val="21"/>
        </w:rPr>
        <w:t>The accurate chain is therefore:</w:t>
      </w:r>
    </w:p>
    <w:p>
      <w:pPr>
        <w:spacing w:before="40" w:after="160"/>
        <w:ind w:left="288" w:right="288"/>
      </w:pPr>
      <w:r>
        <w:rPr>
          <w:rFonts w:ascii="Malgun Gothic" w:hAnsi="Malgun Gothic" w:eastAsia="Malgun Gothic"/>
          <w:color w:val="203040"/>
          <w:sz w:val="18"/>
        </w:rPr>
        <w:t>File Sensor observes</w:t>
        <w:br/>
      </w:r>
      <w:r>
        <w:rPr>
          <w:rFonts w:ascii="Malgun Gothic" w:hAnsi="Malgun Gothic" w:eastAsia="Malgun Gothic"/>
          <w:color w:val="203040"/>
          <w:sz w:val="18"/>
        </w:rPr>
        <w:t xml:space="preserve">  -&gt; Enforcement or Recovery Coordinator acts</w:t>
        <w:br/>
      </w:r>
      <w:r>
        <w:rPr>
          <w:rFonts w:ascii="Malgun Gothic" w:hAnsi="Malgun Gothic" w:eastAsia="Malgun Gothic"/>
          <w:color w:val="203040"/>
          <w:sz w:val="18"/>
        </w:rPr>
        <w:t xml:space="preserve">  -&gt; Integrity Verifier checks</w:t>
      </w:r>
    </w:p>
    <w:p>
      <w:pPr>
        <w:keepLines w:val="0"/>
      </w:pPr>
      <w:r>
        <w:rPr>
          <w:rFonts w:ascii="Malgun Gothic" w:hAnsi="Malgun Gothic" w:eastAsia="Malgun Gothic"/>
          <w:color w:val="404040"/>
          <w:sz w:val="19"/>
        </w:rPr>
        <w:t>RESTORED</w:t>
      </w:r>
      <w:r>
        <w:rPr>
          <w:rFonts w:ascii="Malgun Gothic" w:hAnsi="Malgun Gothic" w:eastAsia="Malgun Gothic"/>
          <w:color w:val="000000"/>
          <w:sz w:val="21"/>
        </w:rPr>
        <w:t xml:space="preserve"> alone is not the same as </w:t>
      </w:r>
      <w:r>
        <w:rPr>
          <w:rFonts w:ascii="Malgun Gothic" w:hAnsi="Malgun Gothic" w:eastAsia="Malgun Gothic"/>
          <w:color w:val="404040"/>
          <w:sz w:val="19"/>
        </w:rPr>
        <w:t>VERIFIED</w:t>
      </w:r>
      <w:r>
        <w:rPr>
          <w:rFonts w:ascii="Malgun Gothic" w:hAnsi="Malgun Gothic" w:eastAsia="Malgun Gothic"/>
          <w:color w:val="000000"/>
          <w:sz w:val="21"/>
        </w:rPr>
        <w:t>. A result is successful recovery only when both statuses are independently recorded as expected.</w:t>
      </w:r>
    </w:p>
    <w:p>
      <w:pPr>
        <w:pStyle w:val="Heading2"/>
        <w:keepNext/>
      </w:pPr>
      <w:r>
        <w:rPr>
          <w:rFonts w:ascii="Malgun Gothic" w:hAnsi="Malgun Gothic" w:eastAsia="Malgun Gothic"/>
          <w:b/>
          <w:color w:val="000000"/>
          <w:sz w:val="32"/>
        </w:rPr>
        <w:t>Process Sensor</w:t>
      </w:r>
    </w:p>
    <w:p>
      <w:pPr>
        <w:pStyle w:val="Heading3"/>
        <w:keepNext/>
      </w:pPr>
      <w:r>
        <w:rPr>
          <w:rFonts w:ascii="Malgun Gothic" w:hAnsi="Malgun Gothic" w:eastAsia="Malgun Gothic"/>
          <w:b/>
          <w:color w:val="000000"/>
          <w:sz w:val="24"/>
        </w:rPr>
        <w:t>1 Role</w:t>
      </w:r>
    </w:p>
    <w:p>
      <w:pPr>
        <w:keepLines w:val="0"/>
      </w:pPr>
      <w:r>
        <w:rPr>
          <w:rFonts w:ascii="Malgun Gothic" w:hAnsi="Malgun Gothic" w:eastAsia="Malgun Gothic"/>
          <w:color w:val="000000"/>
          <w:sz w:val="21"/>
        </w:rPr>
        <w:t xml:space="preserve">The Process Sensor observes a process tree rooted at an explicitly registered AIA-launched process. Its source is </w:t>
      </w:r>
      <w:r>
        <w:rPr>
          <w:rFonts w:ascii="Malgun Gothic" w:hAnsi="Malgun Gothic" w:eastAsia="Malgun Gothic"/>
          <w:color w:val="404040"/>
          <w:sz w:val="19"/>
        </w:rPr>
        <w:t>PROCESS_RUNTIME</w:t>
      </w:r>
      <w:r>
        <w:rPr>
          <w:rFonts w:ascii="Malgun Gothic" w:hAnsi="Malgun Gothic" w:eastAsia="Malgun Gothic"/>
          <w:color w:val="000000"/>
          <w:sz w:val="21"/>
        </w:rPr>
        <w:t>. Process identity includes the PID and process creation time so a reused PID is not treated as the same process. The sensor records root and descendant observations, role, parent identity where available, and exit observations.</w:t>
      </w:r>
    </w:p>
    <w:p>
      <w:pPr>
        <w:keepLines w:val="0"/>
      </w:pPr>
      <w:r>
        <w:rPr>
          <w:rFonts w:ascii="Malgun Gothic" w:hAnsi="Malgun Gothic" w:eastAsia="Malgun Gothic"/>
          <w:color w:val="000000"/>
          <w:sz w:val="21"/>
        </w:rPr>
        <w:t>The sensor watches a managed tree. It does not treat every process on Windows as part of the run. The Process Manager may terminate a verified managed tree only after the enforcement gate has established the policy decision, attribution, lease, root identity, and other required checks.</w:t>
      </w:r>
    </w:p>
    <w:p>
      <w:pPr>
        <w:pStyle w:val="Heading3"/>
        <w:keepNext/>
      </w:pPr>
      <w:r>
        <w:rPr>
          <w:rFonts w:ascii="Malgun Gothic" w:hAnsi="Malgun Gothic" w:eastAsia="Malgun Gothic"/>
          <w:b/>
          <w:color w:val="000000"/>
          <w:sz w:val="24"/>
        </w:rPr>
        <w:t>2 Termination safety</w:t>
      </w:r>
    </w:p>
    <w:p>
      <w:pPr>
        <w:keepLines w:val="0"/>
      </w:pPr>
      <w:r>
        <w:rPr>
          <w:rFonts w:ascii="Malgun Gothic" w:hAnsi="Malgun Gothic" w:eastAsia="Malgun Gothic"/>
          <w:color w:val="000000"/>
          <w:sz w:val="21"/>
        </w:rPr>
        <w:t>The Process Sensor observes; the Process Manager enforces. The Process Manager verifies process identities before termination and reports each managed entry's final status. Unrelated processes are outside the managed registry and must remain unaffected. A successful termination result must therefore include both the managed-tree outcome and the unrelated-process check.</w:t>
      </w:r>
    </w:p>
    <w:p>
      <w:pPr>
        <w:keepLines w:val="0"/>
      </w:pPr>
      <w:r>
        <w:rPr>
          <w:rFonts w:ascii="Malgun Gothic" w:hAnsi="Malgun Gothic" w:eastAsia="Malgun Gothic"/>
          <w:color w:val="000000"/>
          <w:sz w:val="21"/>
        </w:rPr>
        <w:t>Process evidence can establish that a process was observed or exited. It does not, by itself, prove that the process wrote a particular file. That attribution requires a separate evidence chain and is intentionally not claimed by AIA's Process Sensor.</w:t>
      </w:r>
    </w:p>
    <w:p>
      <w:pPr>
        <w:pStyle w:val="Heading2"/>
        <w:keepNext/>
      </w:pPr>
      <w:r>
        <w:rPr>
          <w:rFonts w:ascii="Malgun Gothic" w:hAnsi="Malgun Gothic" w:eastAsia="Malgun Gothic"/>
          <w:b/>
          <w:color w:val="000000"/>
          <w:sz w:val="32"/>
        </w:rPr>
        <w:t>Policy, attribution, and enforcement</w:t>
      </w:r>
    </w:p>
    <w:p>
      <w:pPr>
        <w:keepLines w:val="0"/>
      </w:pPr>
      <w:r>
        <w:rPr>
          <w:rFonts w:ascii="Malgun Gothic" w:hAnsi="Malgun Gothic" w:eastAsia="Malgun Gothic"/>
          <w:color w:val="000000"/>
          <w:sz w:val="21"/>
        </w:rPr>
        <w:t>The policy evaluator matches a canonical action using its operation, target kind, path or command pattern, asset type, priority, and active policy fingerprint. A matched rule produces an effect such as allow or deny. The runtime caller does not invent an asset type; it uses the matched policy rule's asset type.</w:t>
      </w:r>
    </w:p>
    <w:p>
      <w:pPr>
        <w:keepLines w:val="0"/>
      </w:pPr>
      <w:r>
        <w:rPr>
          <w:rFonts w:ascii="Malgun Gothic" w:hAnsi="Malgun Gothic" w:eastAsia="Malgun Gothic"/>
          <w:color w:val="000000"/>
          <w:sz w:val="21"/>
        </w:rPr>
        <w:t>Attribution evaluates whether the available evidence supports connecting the action to the Session. The result may be exact, partial, or indeterminate depending on the evidence sources and completeness. Enforcement receives the combined decision and chooses the supported route. The routes represented in the current core include pre-tool blocking and managed process termination.</w:t>
      </w:r>
    </w:p>
    <w:p>
      <w:pPr>
        <w:keepLines w:val="0"/>
      </w:pPr>
      <w:r>
        <w:rPr>
          <w:rFonts w:ascii="Malgun Gothic" w:hAnsi="Malgun Gothic" w:eastAsia="Malgun Gothic"/>
          <w:color w:val="000000"/>
          <w:sz w:val="21"/>
        </w:rPr>
        <w:t xml:space="preserve">The display phrase </w:t>
      </w:r>
      <w:r>
        <w:rPr>
          <w:rFonts w:ascii="Malgun Gothic" w:hAnsi="Malgun Gothic" w:eastAsia="Malgun Gothic"/>
          <w:color w:val="404040"/>
          <w:sz w:val="19"/>
        </w:rPr>
        <w:t>BLOCKED / SUCCEEDED</w:t>
      </w:r>
      <w:r>
        <w:rPr>
          <w:rFonts w:ascii="Malgun Gothic" w:hAnsi="Malgun Gothic" w:eastAsia="Malgun Gothic"/>
          <w:color w:val="000000"/>
          <w:sz w:val="21"/>
        </w:rPr>
        <w:t xml:space="preserve"> has a precise meaning: AIA's block action succeeded and the actual tool execution was verified as prevented. A deny response alone is insufficient to claim that the external side effect did not occur.</w:t>
      </w:r>
    </w:p>
    <w:p>
      <w:pPr>
        <w:pStyle w:val="Heading2"/>
        <w:keepNext/>
      </w:pPr>
      <w:r>
        <w:rPr>
          <w:rFonts w:ascii="Malgun Gothic" w:hAnsi="Malgun Gothic" w:eastAsia="Malgun Gothic"/>
          <w:b/>
          <w:color w:val="000000"/>
          <w:sz w:val="32"/>
        </w:rPr>
        <w:t>Result Bundle and auditability</w:t>
      </w:r>
    </w:p>
    <w:p>
      <w:pPr>
        <w:keepLines w:val="0"/>
      </w:pPr>
      <w:r>
        <w:rPr>
          <w:rFonts w:ascii="Malgun Gothic" w:hAnsi="Malgun Gothic" w:eastAsia="Malgun Gothic"/>
          <w:color w:val="000000"/>
          <w:sz w:val="21"/>
        </w:rPr>
        <w:t>Finalization publishes a Result Bundle containing the canonical result, audit JSONL, security report, and hashed evidence artifacts. The bundle has a commit marker and manifest. The verifier checks the Session binding, mandatory artifacts, hashes, and referenced evidence before a completed result is shown as valid.</w:t>
      </w:r>
    </w:p>
    <w:p>
      <w:pPr>
        <w:keepLines w:val="0"/>
      </w:pPr>
      <w:r>
        <w:rPr>
          <w:rFonts w:ascii="Malgun Gothic" w:hAnsi="Malgun Gothic" w:eastAsia="Malgun Gothic"/>
          <w:color w:val="000000"/>
          <w:sz w:val="21"/>
        </w:rPr>
        <w:t>The result separates:</w:t>
      </w:r>
    </w:p>
    <w:p>
      <w:pPr>
        <w:pStyle w:val="ListBullet"/>
      </w:pPr>
      <w:r>
        <w:rPr>
          <w:rFonts w:ascii="Malgun Gothic" w:hAnsi="Malgun Gothic" w:eastAsia="Malgun Gothic"/>
          <w:color w:val="000000"/>
          <w:sz w:val="21"/>
        </w:rPr>
        <w:t>Sensor health before stop and final sensor state.</w:t>
      </w:r>
    </w:p>
    <w:p>
      <w:pPr>
        <w:pStyle w:val="ListBullet"/>
      </w:pPr>
      <w:r>
        <w:rPr>
          <w:rFonts w:ascii="Malgun Gothic" w:hAnsi="Malgun Gothic" w:eastAsia="Malgun Gothic"/>
          <w:color w:val="000000"/>
          <w:sz w:val="21"/>
        </w:rPr>
        <w:t>Action outcome and evidence references.</w:t>
      </w:r>
    </w:p>
    <w:p>
      <w:pPr>
        <w:pStyle w:val="ListBullet"/>
      </w:pPr>
      <w:r>
        <w:rPr>
          <w:rFonts w:ascii="Malgun Gothic" w:hAnsi="Malgun Gothic" w:eastAsia="Malgun Gothic"/>
          <w:color w:val="000000"/>
          <w:sz w:val="21"/>
        </w:rPr>
        <w:t>Policy evaluation and matched rules.</w:t>
      </w:r>
    </w:p>
    <w:p>
      <w:pPr>
        <w:pStyle w:val="ListBullet"/>
      </w:pPr>
      <w:r>
        <w:rPr>
          <w:rFonts w:ascii="Malgun Gothic" w:hAnsi="Malgun Gothic" w:eastAsia="Malgun Gothic"/>
          <w:color w:val="000000"/>
          <w:sz w:val="21"/>
        </w:rPr>
        <w:t>Attribution result and supporting evidence IDs.</w:t>
      </w:r>
    </w:p>
    <w:p>
      <w:pPr>
        <w:pStyle w:val="ListBullet"/>
      </w:pPr>
      <w:r>
        <w:rPr>
          <w:rFonts w:ascii="Malgun Gothic" w:hAnsi="Malgun Gothic" w:eastAsia="Malgun Gothic"/>
          <w:color w:val="000000"/>
          <w:sz w:val="21"/>
        </w:rPr>
        <w:t>Enforcement action and execution result.</w:t>
      </w:r>
    </w:p>
    <w:p>
      <w:pPr>
        <w:pStyle w:val="ListBullet"/>
      </w:pPr>
      <w:r>
        <w:rPr>
          <w:rFonts w:ascii="Malgun Gothic" w:hAnsi="Malgun Gothic" w:eastAsia="Malgun Gothic"/>
          <w:color w:val="000000"/>
          <w:sz w:val="21"/>
        </w:rPr>
        <w:t>Process termination result.</w:t>
      </w:r>
    </w:p>
    <w:p>
      <w:pPr>
        <w:pStyle w:val="ListBullet"/>
      </w:pPr>
      <w:r>
        <w:rPr>
          <w:rFonts w:ascii="Malgun Gothic" w:hAnsi="Malgun Gothic" w:eastAsia="Malgun Gothic"/>
          <w:color w:val="000000"/>
          <w:sz w:val="21"/>
        </w:rPr>
        <w:t>Recovery result.</w:t>
      </w:r>
    </w:p>
    <w:p>
      <w:pPr>
        <w:pStyle w:val="ListBullet"/>
      </w:pPr>
      <w:r>
        <w:rPr>
          <w:rFonts w:ascii="Malgun Gothic" w:hAnsi="Malgun Gothic" w:eastAsia="Malgun Gothic"/>
          <w:color w:val="000000"/>
          <w:sz w:val="21"/>
        </w:rPr>
        <w:t>Integrity result.</w:t>
      </w:r>
    </w:p>
    <w:p>
      <w:pPr>
        <w:pStyle w:val="ListBullet"/>
      </w:pPr>
      <w:r>
        <w:rPr>
          <w:rFonts w:ascii="Malgun Gothic" w:hAnsi="Malgun Gothic" w:eastAsia="Malgun Gothic"/>
          <w:color w:val="000000"/>
          <w:sz w:val="21"/>
        </w:rPr>
        <w:t>Limitations and run classification.</w:t>
      </w:r>
    </w:p>
    <w:p>
      <w:pPr>
        <w:keepLines w:val="0"/>
      </w:pPr>
      <w:r>
        <w:rPr>
          <w:rFonts w:ascii="Malgun Gothic" w:hAnsi="Malgun Gothic" w:eastAsia="Malgun Gothic"/>
          <w:color w:val="404040"/>
          <w:sz w:val="19"/>
        </w:rPr>
        <w:t>ENGINEERING_FIXTURE</w:t>
      </w:r>
      <w:r>
        <w:rPr>
          <w:rFonts w:ascii="Malgun Gothic" w:hAnsi="Malgun Gothic" w:eastAsia="Malgun Gothic"/>
          <w:color w:val="000000"/>
          <w:sz w:val="21"/>
        </w:rPr>
        <w:t xml:space="preserve"> is a first-class classification for deterministic demonstration data. It is intentionally distinct from an Actual Codex protected run.</w:t>
      </w:r>
    </w:p>
    <w:p>
      <w:pPr>
        <w:pStyle w:val="Heading2"/>
        <w:keepNext/>
      </w:pPr>
      <w:r>
        <w:rPr>
          <w:rFonts w:ascii="Malgun Gothic" w:hAnsi="Malgun Gothic" w:eastAsia="Malgun Gothic"/>
          <w:b/>
          <w:color w:val="000000"/>
          <w:sz w:val="32"/>
        </w:rPr>
        <w:t>Demonstration cases</w:t>
      </w:r>
    </w:p>
    <w:p>
      <w:pPr>
        <w:keepLines w:val="0"/>
      </w:pPr>
      <w:r>
        <w:rPr>
          <w:rFonts w:ascii="Malgun Gothic" w:hAnsi="Malgun Gothic" w:eastAsia="Malgun Gothic"/>
          <w:color w:val="000000"/>
          <w:sz w:val="21"/>
        </w:rPr>
        <w:t>The command below creates a dedicated presentation Workspace and Control Root. It safely resets only roots carrying AIA demo markers.</w:t>
      </w:r>
    </w:p>
    <w:p>
      <w:pPr>
        <w:spacing w:before="40" w:after="160"/>
        <w:ind w:left="288" w:right="288"/>
      </w:pPr>
      <w:r>
        <w:rPr>
          <w:rFonts w:ascii="Malgun Gothic" w:hAnsi="Malgun Gothic" w:eastAsia="Malgun Gothic"/>
          <w:color w:val="203040"/>
          <w:sz w:val="18"/>
        </w:rPr>
        <w:t>uv run --isolated --project . python -m aia.cli demo `</w:t>
        <w:br/>
      </w:r>
      <w:r>
        <w:rPr>
          <w:rFonts w:ascii="Malgun Gothic" w:hAnsi="Malgun Gothic" w:eastAsia="Malgun Gothic"/>
          <w:color w:val="203040"/>
          <w:sz w:val="18"/>
        </w:rPr>
        <w:t xml:space="preserve">  --scenario process-kill `</w:t>
        <w:br/>
      </w:r>
      <w:r>
        <w:rPr>
          <w:rFonts w:ascii="Malgun Gothic" w:hAnsi="Malgun Gothic" w:eastAsia="Malgun Gothic"/>
          <w:color w:val="203040"/>
          <w:sz w:val="18"/>
        </w:rPr>
        <w:t xml:space="preserve">  --workspace C:\workspace\aia-demo-fixture `</w:t>
        <w:br/>
      </w:r>
      <w:r>
        <w:rPr>
          <w:rFonts w:ascii="Malgun Gothic" w:hAnsi="Malgun Gothic" w:eastAsia="Malgun Gothic"/>
          <w:color w:val="203040"/>
          <w:sz w:val="18"/>
        </w:rPr>
        <w:t xml:space="preserve">  --control-root C:\workspace\aia-demo-control-fixture `</w:t>
        <w:br/>
      </w:r>
      <w:r>
        <w:rPr>
          <w:rFonts w:ascii="Malgun Gothic" w:hAnsi="Malgun Gothic" w:eastAsia="Malgun Gothic"/>
          <w:color w:val="203040"/>
          <w:sz w:val="18"/>
        </w:rPr>
        <w:t xml:space="preserve">  --open</w:t>
      </w:r>
    </w:p>
    <w:p>
      <w:pPr>
        <w:keepLines w:val="0"/>
      </w:pPr>
      <w:r>
        <w:rPr>
          <w:rFonts w:ascii="Malgun Gothic" w:hAnsi="Malgun Gothic" w:eastAsia="Malgun Gothic"/>
          <w:color w:val="404040"/>
          <w:sz w:val="19"/>
        </w:rPr>
        <w:t>--open</w:t>
      </w:r>
      <w:r>
        <w:rPr>
          <w:rFonts w:ascii="Malgun Gothic" w:hAnsi="Malgun Gothic" w:eastAsia="Malgun Gothic"/>
          <w:color w:val="000000"/>
          <w:sz w:val="21"/>
        </w:rPr>
        <w:t>은 별도 UI를 만들지 않고 기존 Workbench에서 방금 생성한 Session을 바로 연다.</w:t>
      </w:r>
    </w:p>
    <w:p>
      <w:pPr>
        <w:keepLines w:val="0"/>
      </w:pPr>
      <w:r>
        <w:rPr>
          <w:rFonts w:ascii="Malgun Gothic" w:hAnsi="Malgun Gothic" w:eastAsia="Malgun Gothic"/>
          <w:color w:val="000000"/>
          <w:sz w:val="21"/>
        </w:rPr>
        <w:t>The three deterministic cases are: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shd w:fill="1F4E79"/>
          </w:tcPr>
          <w:p>
            <w:pPr>
              <w:spacing w:after="40"/>
              <w:jc w:val="left"/>
            </w:pPr>
            <w:r>
              <w:rPr>
                <w:rFonts w:ascii="Malgun Gothic" w:hAnsi="Malgun Gothic" w:eastAsia="Malgun Gothic"/>
                <w:b/>
                <w:color w:val="FFFFFF"/>
                <w:sz w:val="18"/>
              </w:rPr>
              <w:t>Case</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shd w:fill="1F4E79"/>
          </w:tcPr>
          <w:p>
            <w:pPr>
              <w:spacing w:after="40"/>
              <w:jc w:val="left"/>
            </w:pPr>
            <w:r>
              <w:rPr>
                <w:rFonts w:ascii="Malgun Gothic" w:hAnsi="Malgun Gothic" w:eastAsia="Malgun Gothic"/>
                <w:b/>
                <w:color w:val="FFFFFF"/>
                <w:sz w:val="18"/>
              </w:rPr>
              <w:t>Evidence path</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shd w:fill="1F4E79"/>
          </w:tcPr>
          <w:p>
            <w:pPr>
              <w:spacing w:after="40"/>
              <w:jc w:val="left"/>
            </w:pPr>
            <w:r>
              <w:rPr>
                <w:rFonts w:ascii="Malgun Gothic" w:hAnsi="Malgun Gothic" w:eastAsia="Malgun Gothic"/>
                <w:b/>
                <w:color w:val="FFFFFF"/>
                <w:sz w:val="18"/>
              </w:rPr>
              <w:t>Result shown</w:t>
            </w:r>
          </w:p>
        </w:tc>
      </w:tr>
      <w:tr>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`process-kill`</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Hook request, managed Process observations, exit observations</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`CONTAIN` and `TERMINATED`, unrelated process unaffected</w:t>
            </w:r>
          </w:p>
        </w:tc>
      </w:tr>
      <w:tr>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`hook-block`</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PreToolUse request and Hook health</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`CONTAIN` and `BLOCKED`, no Process termination claimed</w:t>
            </w:r>
          </w:p>
        </w:tc>
      </w:tr>
      <w:tr>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`file-rollback`</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Hook request, filesystem delete, process exit</w:t>
            </w:r>
          </w:p>
        </w:tc>
        <w:tc>
          <w:tcPr>
            <w:tcW w:type="dxa" w:w="3331"/>
            <w:vAlign w:val="center"/>
            <w:tcBorders>
              <w:top w:val="single" w:sz="4" w:color="D9E2F3"/>
              <w:left w:val="single" w:sz="4" w:color="D9E2F3"/>
              <w:bottom w:val="single" w:sz="4" w:color="D9E2F3"/>
              <w:right w:val="single" w:sz="4" w:color="D9E2F3"/>
              <w:insideH w:val="single" w:sz="4" w:color="D9E2F3"/>
              <w:insideV w:val="single" w:sz="4" w:color="D9E2F3"/>
            </w:tcBorders>
          </w:tcPr>
          <w:p>
            <w:pPr>
              <w:spacing w:after="40"/>
              <w:jc w:val="left"/>
            </w:pPr>
            <w:r>
              <w:rPr>
                <w:rFonts w:ascii="Malgun Gothic" w:hAnsi="Malgun Gothic" w:eastAsia="Malgun Gothic"/>
                <w:b w:val="0"/>
                <w:color w:val="000000"/>
                <w:sz w:val="18"/>
              </w:rPr>
              <w:t>`RESTORED` and `VERIFIED`</w:t>
            </w:r>
          </w:p>
        </w:tc>
      </w:tr>
    </w:tbl>
    <w:p>
      <w:pPr>
        <w:spacing w:after="40"/>
      </w:pPr>
    </w:p>
    <w:p>
      <w:pPr>
        <w:keepLines w:val="0"/>
      </w:pPr>
      <w:r>
        <w:rPr>
          <w:rFonts w:ascii="Malgun Gothic" w:hAnsi="Malgun Gothic" w:eastAsia="Malgun Gothic"/>
          <w:color w:val="000000"/>
          <w:sz w:val="21"/>
        </w:rPr>
        <w:t>These cases make the product flow visible in the existing Result and Workbench screens. The bundle is verifiable, but it is still synthetic presentation data. For an Actual Codex Hook proof, run:</w:t>
      </w:r>
    </w:p>
    <w:p>
      <w:pPr>
        <w:spacing w:before="40" w:after="160"/>
        <w:ind w:left="288" w:right="288"/>
      </w:pPr>
      <w:r>
        <w:rPr>
          <w:rFonts w:ascii="Malgun Gothic" w:hAnsi="Malgun Gothic" w:eastAsia="Malgun Gothic"/>
          <w:color w:val="203040"/>
          <w:sz w:val="18"/>
        </w:rPr>
        <w:t>uv run --isolated --project . python -m aia.cli hook verify</w:t>
        <w:br/>
      </w:r>
      <w:r>
        <w:rPr>
          <w:rFonts w:ascii="Malgun Gothic" w:hAnsi="Malgun Gothic" w:eastAsia="Malgun Gothic"/>
          <w:color w:val="203040"/>
          <w:sz w:val="18"/>
        </w:rPr>
        <w:t>uv run --isolated --project . python -m aia.cli demo --live --scenario block-canary</w:t>
      </w:r>
    </w:p>
    <w:p>
      <w:pPr>
        <w:pStyle w:val="Heading2"/>
        <w:keepNext/>
      </w:pPr>
      <w:r>
        <w:rPr>
          <w:rFonts w:ascii="Malgun Gothic" w:hAnsi="Malgun Gothic" w:eastAsia="Malgun Gothic"/>
          <w:b/>
          <w:color w:val="000000"/>
          <w:sz w:val="32"/>
        </w:rPr>
        <w:t>Quantitative evaluation</w:t>
      </w:r>
    </w:p>
    <w:p>
      <w:pPr>
        <w:keepLines w:val="0"/>
      </w:pPr>
      <w:r>
        <w:rPr>
          <w:rFonts w:ascii="Malgun Gothic" w:hAnsi="Malgun Gothic" w:eastAsia="Malgun Gothic"/>
          <w:color w:val="000000"/>
          <w:sz w:val="21"/>
        </w:rPr>
        <w:t>The product evaluation keeps AIA OFF and AIA ON separate and repeats the same scenario in a fresh Workspace. It does not collapse security and productivity into one score.</w:t>
      </w:r>
    </w:p>
    <w:p>
      <w:pPr>
        <w:keepLines w:val="0"/>
      </w:pPr>
      <w:r>
        <w:rPr>
          <w:rFonts w:ascii="Malgun Gothic" w:hAnsi="Malgun Gothic" w:eastAsia="Malgun Gothic"/>
          <w:color w:val="000000"/>
          <w:sz w:val="21"/>
        </w:rPr>
        <w:t>The fixed matrix contains N-01 through N-06 for normal development, V-01 through V-04 for violations, U-01 for insufficient evidence, and R-01 for recovery and integrity. The default fixture count is 30 repetitions per scenario. Actual Codex representative runs are recorded separately, with five repetitions as the current default.</w:t>
      </w:r>
    </w:p>
    <w:p>
      <w:pPr>
        <w:keepLines w:val="0"/>
      </w:pPr>
      <w:r>
        <w:rPr>
          <w:rFonts w:ascii="Malgun Gothic" w:hAnsi="Malgun Gothic" w:eastAsia="Malgun Gothic"/>
          <w:color w:val="000000"/>
          <w:sz w:val="21"/>
        </w:rPr>
        <w:t>The report includes:</w:t>
      </w:r>
    </w:p>
    <w:p>
      <w:pPr>
        <w:pStyle w:val="ListBullet"/>
      </w:pPr>
      <w:r>
        <w:rPr>
          <w:rFonts w:ascii="Malgun Gothic" w:hAnsi="Malgun Gothic" w:eastAsia="Malgun Gothic"/>
          <w:color w:val="000000"/>
          <w:sz w:val="21"/>
        </w:rPr>
        <w:t>Risk side effect rate and risk reduction.</w:t>
      </w:r>
    </w:p>
    <w:p>
      <w:pPr>
        <w:pStyle w:val="ListBullet"/>
      </w:pPr>
      <w:r>
        <w:rPr>
          <w:rFonts w:ascii="Malgun Gothic" w:hAnsi="Malgun Gothic" w:eastAsia="Malgun Gothic"/>
          <w:color w:val="000000"/>
          <w:sz w:val="21"/>
        </w:rPr>
        <w:t>Normal task success and false-block rate.</w:t>
      </w:r>
    </w:p>
    <w:p>
      <w:pPr>
        <w:pStyle w:val="ListBullet"/>
      </w:pPr>
      <w:r>
        <w:rPr>
          <w:rFonts w:ascii="Malgun Gothic" w:hAnsi="Malgun Gothic" w:eastAsia="Malgun Gothic"/>
          <w:color w:val="000000"/>
          <w:sz w:val="21"/>
        </w:rPr>
        <w:t>PreTool block success and recovery verification.</w:t>
      </w:r>
    </w:p>
    <w:p>
      <w:pPr>
        <w:pStyle w:val="ListBullet"/>
      </w:pPr>
      <w:r>
        <w:rPr>
          <w:rFonts w:ascii="Malgun Gothic" w:hAnsi="Malgun Gothic" w:eastAsia="Malgun Gothic"/>
          <w:color w:val="000000"/>
          <w:sz w:val="21"/>
        </w:rPr>
        <w:t>Hook, File, and Process Sensor success rates with their own `N`.</w:t>
      </w:r>
    </w:p>
    <w:p>
      <w:pPr>
        <w:pStyle w:val="ListBullet"/>
      </w:pPr>
      <w:r>
        <w:rPr>
          <w:rFonts w:ascii="Malgun Gothic" w:hAnsi="Malgun Gothic" w:eastAsia="Malgun Gothic"/>
          <w:color w:val="000000"/>
          <w:sz w:val="21"/>
        </w:rPr>
        <w:t>Minimum, median, P95, and maximum for the recorded timing phases.</w:t>
      </w:r>
    </w:p>
    <w:p>
      <w:pPr>
        <w:pStyle w:val="ListBullet"/>
      </w:pPr>
      <w:r>
        <w:rPr>
          <w:rFonts w:ascii="Malgun Gothic" w:hAnsi="Malgun Gothic" w:eastAsia="Malgun Gothic"/>
          <w:color w:val="000000"/>
          <w:sz w:val="21"/>
        </w:rPr>
        <w:t>Evidence coverage, lineage completeness, decision consistency, and over-attribution.</w:t>
      </w:r>
    </w:p>
    <w:p>
      <w:pPr>
        <w:keepLines w:val="0"/>
      </w:pPr>
      <w:r>
        <w:rPr>
          <w:rFonts w:ascii="Malgun Gothic" w:hAnsi="Malgun Gothic" w:eastAsia="Malgun Gothic"/>
          <w:color w:val="000000"/>
          <w:sz w:val="21"/>
        </w:rPr>
        <w:t>Fixture sensor rates are explicitly labelled as synthetic evidence-path measurements. They are not substituted for Actual Codex or Windows integration evidence. A scenario that was not realized is recorded as a limitation, not a pass.</w:t>
      </w:r>
    </w:p>
    <w:p>
      <w:pPr>
        <w:pStyle w:val="Heading2"/>
        <w:keepNext/>
      </w:pPr>
      <w:r>
        <w:rPr>
          <w:rFonts w:ascii="Malgun Gothic" w:hAnsi="Malgun Gothic" w:eastAsia="Malgun Gothic"/>
          <w:b/>
          <w:color w:val="000000"/>
          <w:sz w:val="32"/>
        </w:rPr>
        <w:t>Security limitations</w:t>
      </w:r>
    </w:p>
    <w:p>
      <w:pPr>
        <w:pStyle w:val="ListBullet"/>
      </w:pPr>
      <w:r>
        <w:rPr>
          <w:rFonts w:ascii="Malgun Gothic" w:hAnsi="Malgun Gothic" w:eastAsia="Malgun Gothic"/>
          <w:color w:val="000000"/>
          <w:sz w:val="21"/>
        </w:rPr>
        <w:t>The current scope is Codex CLI on Windows 11 through the supported AIA launch and Hook path.</w:t>
      </w:r>
    </w:p>
    <w:p>
      <w:pPr>
        <w:pStyle w:val="ListBullet"/>
      </w:pPr>
      <w:r>
        <w:rPr>
          <w:rFonts w:ascii="Malgun Gothic" w:hAnsi="Malgun Gothic" w:eastAsia="Malgun Gothic"/>
          <w:color w:val="000000"/>
          <w:sz w:val="21"/>
        </w:rPr>
        <w:t>MCP, Claude, arbitrary external Agents, network security, and OS-wide monitoring are outside the claim boundary.</w:t>
      </w:r>
    </w:p>
    <w:p>
      <w:pPr>
        <w:pStyle w:val="ListBullet"/>
      </w:pPr>
      <w:r>
        <w:rPr>
          <w:rFonts w:ascii="Malgun Gothic" w:hAnsi="Malgun Gothic" w:eastAsia="Malgun Gothic"/>
          <w:color w:val="000000"/>
          <w:sz w:val="21"/>
        </w:rPr>
        <w:t>A Process Sensor event does not prove exact file authorship.</w:t>
      </w:r>
    </w:p>
    <w:p>
      <w:pPr>
        <w:pStyle w:val="ListBullet"/>
      </w:pPr>
      <w:r>
        <w:rPr>
          <w:rFonts w:ascii="Malgun Gothic" w:hAnsi="Malgun Gothic" w:eastAsia="Malgun Gothic"/>
          <w:color w:val="000000"/>
          <w:sz w:val="21"/>
        </w:rPr>
        <w:t>A Hook deny does not prove the external side effect was absent unless execution absence is verified.</w:t>
      </w:r>
    </w:p>
    <w:p>
      <w:pPr>
        <w:pStyle w:val="ListBullet"/>
      </w:pPr>
      <w:r>
        <w:rPr>
          <w:rFonts w:ascii="Malgun Gothic" w:hAnsi="Malgun Gothic" w:eastAsia="Malgun Gothic"/>
          <w:color w:val="000000"/>
          <w:sz w:val="21"/>
        </w:rPr>
        <w:t>A File Sensor observation does not itself roll back a change.</w:t>
      </w:r>
    </w:p>
    <w:p>
      <w:pPr>
        <w:pStyle w:val="ListBullet"/>
      </w:pPr>
      <w:r>
        <w:rPr>
          <w:rFonts w:ascii="Malgun Gothic" w:hAnsi="Malgun Gothic" w:eastAsia="Malgun Gothic"/>
          <w:color w:val="000000"/>
          <w:sz w:val="21"/>
        </w:rPr>
        <w:t>Recovery and Integrity are separate results; `RESTORED` without `VERIFIED` is incomplete.</w:t>
      </w:r>
    </w:p>
    <w:p>
      <w:pPr>
        <w:pStyle w:val="ListBullet"/>
      </w:pPr>
      <w:r>
        <w:rPr>
          <w:rFonts w:ascii="Malgun Gothic" w:hAnsi="Malgun Gothic" w:eastAsia="Malgun Gothic"/>
          <w:color w:val="000000"/>
          <w:sz w:val="21"/>
        </w:rPr>
        <w:t>The deterministic demo is not an Actual Codex test.</w:t>
      </w:r>
    </w:p>
    <w:p>
      <w:pPr>
        <w:pStyle w:val="Heading2"/>
        <w:keepNext/>
      </w:pPr>
      <w:r>
        <w:rPr>
          <w:rFonts w:ascii="Malgun Gothic" w:hAnsi="Malgun Gothic" w:eastAsia="Malgun Gothic"/>
          <w:b/>
          <w:color w:val="000000"/>
          <w:sz w:val="32"/>
        </w:rPr>
        <w:t>Reproducibility commands</w:t>
      </w:r>
    </w:p>
    <w:p>
      <w:pPr>
        <w:spacing w:before="40" w:after="160"/>
        <w:ind w:left="288" w:right="288"/>
      </w:pPr>
      <w:r>
        <w:rPr>
          <w:rFonts w:ascii="Malgun Gothic" w:hAnsi="Malgun Gothic" w:eastAsia="Malgun Gothic"/>
          <w:color w:val="203040"/>
          <w:sz w:val="18"/>
        </w:rPr>
        <w:t>uv run --isolated --project . python -m pytest -q --tb=no --disable-warnings</w:t>
        <w:br/>
      </w:r>
      <w:r>
        <w:rPr>
          <w:rFonts w:ascii="Malgun Gothic" w:hAnsi="Malgun Gothic" w:eastAsia="Malgun Gothic"/>
          <w:color w:val="203040"/>
          <w:sz w:val="18"/>
        </w:rPr>
        <w:t>uv run --isolated --project . python scripts/product_evaluation/run_fixture_evaluation.py `</w:t>
        <w:br/>
      </w:r>
      <w:r>
        <w:rPr>
          <w:rFonts w:ascii="Malgun Gothic" w:hAnsi="Malgun Gothic" w:eastAsia="Malgun Gothic"/>
          <w:color w:val="203040"/>
          <w:sz w:val="18"/>
        </w:rPr>
        <w:t xml:space="preserve">  --output-root evaluation/product-before-after/fixture-local `</w:t>
        <w:br/>
      </w:r>
      <w:r>
        <w:rPr>
          <w:rFonts w:ascii="Malgun Gothic" w:hAnsi="Malgun Gothic" w:eastAsia="Malgun Gothic"/>
          <w:color w:val="203040"/>
          <w:sz w:val="18"/>
        </w:rPr>
        <w:t xml:space="preserve">  --evaluation-id fixture-local `</w:t>
        <w:br/>
      </w:r>
      <w:r>
        <w:rPr>
          <w:rFonts w:ascii="Malgun Gothic" w:hAnsi="Malgun Gothic" w:eastAsia="Malgun Gothic"/>
          <w:color w:val="203040"/>
          <w:sz w:val="18"/>
        </w:rPr>
        <w:t xml:space="preserve">  --repetitions 30</w:t>
        <w:br/>
      </w:r>
      <w:r>
        <w:rPr>
          <w:rFonts w:ascii="Malgun Gothic" w:hAnsi="Malgun Gothic" w:eastAsia="Malgun Gothic"/>
          <w:color w:val="203040"/>
          <w:sz w:val="18"/>
        </w:rPr>
        <w:t>uv run --isolated --project . --group evaluation python scripts/product_evaluation/build_report.py `</w:t>
        <w:br/>
      </w:r>
      <w:r>
        <w:rPr>
          <w:rFonts w:ascii="Malgun Gothic" w:hAnsi="Malgun Gothic" w:eastAsia="Malgun Gothic"/>
          <w:color w:val="203040"/>
          <w:sz w:val="18"/>
        </w:rPr>
        <w:t xml:space="preserve">  --input evaluation/product-before-after/fixture-local/raw-runs.jsonl `</w:t>
        <w:br/>
      </w:r>
      <w:r>
        <w:rPr>
          <w:rFonts w:ascii="Malgun Gothic" w:hAnsi="Malgun Gothic" w:eastAsia="Malgun Gothic"/>
          <w:color w:val="203040"/>
          <w:sz w:val="18"/>
        </w:rPr>
        <w:t xml:space="preserve">  --output evaluation/product-before-after/fixture-local/report.html</w:t>
      </w:r>
    </w:p>
    <w:p>
      <w:pPr>
        <w:keepLines w:val="0"/>
      </w:pPr>
      <w:r>
        <w:rPr>
          <w:rFonts w:ascii="Malgun Gothic" w:hAnsi="Malgun Gothic" w:eastAsia="Malgun Gothic"/>
          <w:color w:val="000000"/>
          <w:sz w:val="21"/>
        </w:rPr>
        <w:t>The raw JSONL, SQLite files, logs, and personal Workspaces remain local and are excluded from the public repository.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