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83C8E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883" w:firstLineChars="200"/>
        <w:jc w:val="center"/>
        <w:textAlignment w:val="auto"/>
        <w:rPr>
          <w:color w:val="auto"/>
        </w:rPr>
      </w:pPr>
      <w:r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olor w:val="auto"/>
          <w:sz w:val="44"/>
          <w:szCs w:val="44"/>
          <w:lang w:val="en-US" w:eastAsia="zh-CN"/>
        </w:rPr>
        <w:t>银杏助理</w:t>
      </w:r>
      <w:r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olor w:val="auto"/>
          <w:sz w:val="44"/>
          <w:szCs w:val="44"/>
        </w:rPr>
        <w:t>LaunchToken</w:t>
      </w: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olor w:val="auto"/>
          <w:sz w:val="44"/>
          <w:szCs w:val="44"/>
        </w:rPr>
        <w:t>安全接入方案</w:t>
      </w:r>
    </w:p>
    <w:p w14:paraId="406E3856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方案概述</w:t>
      </w:r>
    </w:p>
    <w:p w14:paraId="333CE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为确保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银杏助理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JSSDK仅在已授权的业务场景中被发起，本方案在现有前端接入链路前增加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（启动令牌）校验机制。</w:t>
      </w:r>
    </w:p>
    <w:p w14:paraId="1FB3C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由客户服务端在完成当前用户、业务订单或业务流水校验后，向我方服务端申请。客户前端只负责接收该令牌并调用 JSSDK；我方授权服务校验令牌有效后，才允许进入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后续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流程。</w:t>
      </w:r>
    </w:p>
    <w:p w14:paraId="1A5ED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该机制将一次前端拉起行为与客户身份、业务场景、指定页面来源及业务流水绑定，可以有效降低非授权页面调用、令牌重放和跨场景复用等风险。</w:t>
      </w:r>
    </w:p>
    <w:p w14:paraId="1707DEFE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二、总体架构与职责边界</w:t>
      </w:r>
    </w:p>
    <w:p w14:paraId="7949D9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方案由客户前后端、我方前端授权组件及我方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 xml:space="preserve"> 服务共同组成。</w:t>
      </w:r>
    </w:p>
    <w:tbl>
      <w:tblPr>
        <w:tblStyle w:val="12"/>
        <w:tblW w:w="9746" w:type="dxa"/>
        <w:tblInd w:w="0" w:type="dxa"/>
        <w:tblBorders>
          <w:top w:val="single" w:color="D5E0E8" w:sz="4" w:space="0"/>
          <w:left w:val="single" w:color="D5E0E8" w:sz="4" w:space="0"/>
          <w:bottom w:val="single" w:color="D5E0E8" w:sz="4" w:space="0"/>
          <w:right w:val="single" w:color="D5E0E8" w:sz="4" w:space="0"/>
          <w:insideH w:val="single" w:color="D5E0E8" w:sz="2" w:space="0"/>
          <w:insideV w:val="single" w:color="D5E0E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2"/>
        <w:gridCol w:w="6214"/>
      </w:tblGrid>
      <w:tr w14:paraId="54AA00B5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32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49502BC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组成部分</w:t>
            </w:r>
          </w:p>
        </w:tc>
        <w:tc>
          <w:tcPr>
            <w:tcW w:w="6214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60F880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主要职责</w:t>
            </w:r>
          </w:p>
        </w:tc>
      </w:tr>
      <w:tr w14:paraId="745B92A0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3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E3A1020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客户前端</w:t>
            </w:r>
          </w:p>
        </w:tc>
        <w:tc>
          <w:tcPr>
            <w:tcW w:w="6214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8837B2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获取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；调用 JSSDK；将一次性结果凭证提交给客户后端</w:t>
            </w:r>
          </w:p>
        </w:tc>
      </w:tr>
      <w:tr w14:paraId="46CE5D69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32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02591A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客户后端</w:t>
            </w:r>
          </w:p>
        </w:tc>
        <w:tc>
          <w:tcPr>
            <w:tcW w:w="6214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ACC5F3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校验登录态和业务上下文；申请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；服务端查询最终认证结果</w:t>
            </w:r>
          </w:p>
        </w:tc>
      </w:tr>
      <w:tr w14:paraId="5A1ABB34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3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BC4AF7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我方JSSDK与授权页面</w:t>
            </w:r>
          </w:p>
        </w:tc>
        <w:tc>
          <w:tcPr>
            <w:tcW w:w="6214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6DB139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接收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；建立受控授权窗口；完成页面来源校验；返回一次性结果凭证</w:t>
            </w:r>
          </w:p>
        </w:tc>
      </w:tr>
      <w:tr w14:paraId="2FD85260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32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D727562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我方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服务</w:t>
            </w:r>
          </w:p>
        </w:tc>
        <w:tc>
          <w:tcPr>
            <w:tcW w:w="6214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E2596FB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认证客户服务端身份；签发、兑换和核销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；绑定认证结果并提供结果查询</w:t>
            </w:r>
          </w:p>
        </w:tc>
      </w:tr>
    </w:tbl>
    <w:p w14:paraId="455956C8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三、方案流程</w:t>
      </w:r>
    </w:p>
    <w:p w14:paraId="77E2F2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流程以客户后端授权为起点，以客户后端查询最终结果为终点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JSSDK和授权页面仅承接本次会话所需的短期凭证。</w:t>
      </w:r>
    </w:p>
    <w:p w14:paraId="0697EC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</w:pPr>
    </w:p>
    <w:tbl>
      <w:tblPr>
        <w:tblStyle w:val="12"/>
        <w:tblW w:w="9746" w:type="dxa"/>
        <w:tblInd w:w="0" w:type="dxa"/>
        <w:tblBorders>
          <w:top w:val="single" w:color="D5E0E8" w:sz="4" w:space="0"/>
          <w:left w:val="single" w:color="D5E0E8" w:sz="4" w:space="0"/>
          <w:bottom w:val="single" w:color="D5E0E8" w:sz="4" w:space="0"/>
          <w:right w:val="single" w:color="D5E0E8" w:sz="4" w:space="0"/>
          <w:insideH w:val="single" w:color="D5E0E8" w:sz="2" w:space="0"/>
          <w:insideV w:val="single" w:color="D5E0E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446"/>
      </w:tblGrid>
      <w:tr w14:paraId="714EC014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928199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流程节点</w:t>
            </w:r>
          </w:p>
        </w:tc>
        <w:tc>
          <w:tcPr>
            <w:tcW w:w="7446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99A621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控制要点</w:t>
            </w:r>
          </w:p>
        </w:tc>
      </w:tr>
      <w:tr w14:paraId="5DAFBE02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AFD088D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签发前</w:t>
            </w:r>
          </w:p>
        </w:tc>
        <w:tc>
          <w:tcPr>
            <w:tcW w:w="74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0A62941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客户后端先校验当前用户、业务状态和请求权限，再向我方申请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</w:p>
        </w:tc>
      </w:tr>
      <w:tr w14:paraId="26BCDC16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8C21E82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兑换时</w:t>
            </w:r>
          </w:p>
        </w:tc>
        <w:tc>
          <w:tcPr>
            <w:tcW w:w="744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6AA78E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我方服务校验令牌状态及绑定上下文，成功后原子核销，不允许再次兑换</w:t>
            </w:r>
          </w:p>
        </w:tc>
      </w:tr>
      <w:tr w14:paraId="3A55F30C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6EA0C5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结果查询</w:t>
            </w:r>
          </w:p>
        </w:tc>
        <w:tc>
          <w:tcPr>
            <w:tcW w:w="74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9BD65EB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客户前端仅转交一次性resultCode，最终结果由客户后端服务端查询</w:t>
            </w:r>
          </w:p>
        </w:tc>
      </w:tr>
    </w:tbl>
    <w:p w14:paraId="6A5483B9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 xml:space="preserve">图 1 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 xml:space="preserve"> 安全接入总体时序</w:t>
      </w:r>
    </w:p>
    <w:p w14:paraId="22B1DA9F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</w:rPr>
        <w:t>启动阶段</w:t>
      </w:r>
    </w:p>
    <w:p w14:paraId="3766E8A6">
      <w:pPr>
        <w:pStyle w:val="17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客户前端向客户后端发起认证申请，并携带当前业务流水。</w:t>
      </w:r>
    </w:p>
    <w:p w14:paraId="27016AE7">
      <w:pPr>
        <w:pStyle w:val="17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客户后端校验用户登录态、业务状态及请求权限。</w:t>
      </w:r>
    </w:p>
    <w:p w14:paraId="3AC4F6DE">
      <w:pPr>
        <w:pStyle w:val="17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客户后端通过服务端认证方式向我方申请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。</w:t>
      </w:r>
    </w:p>
    <w:p w14:paraId="20C5C490">
      <w:pPr>
        <w:pStyle w:val="17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我方服务将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与客户应用、业务场景、业务流水及允许的页面来源进行绑定。</w:t>
      </w:r>
    </w:p>
    <w:p w14:paraId="061A228F">
      <w:pPr>
        <w:pStyle w:val="17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客户前端取得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 xml:space="preserve"> 后，调用</w:t>
      </w:r>
      <w:r>
        <w:rPr>
          <w:rFonts w:hint="eastAsia" w:ascii="仿宋_GB2312" w:hAnsi="仿宋_GB2312" w:eastAsia="仿宋_GB2312" w:cs="仿宋_GB2312"/>
          <w:sz w:val="28"/>
          <w:szCs w:val="28"/>
        </w:rPr>
        <w:t>sdk.open({launchToken})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拉起授权页面。</w:t>
      </w:r>
    </w:p>
    <w:p w14:paraId="52509123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）认证阶段</w:t>
      </w:r>
    </w:p>
    <w:p w14:paraId="1B68ECDE">
      <w:pPr>
        <w:pStyle w:val="17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授权页面将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 xml:space="preserve"> 提交至我方服务端进行兑换。</w:t>
      </w:r>
    </w:p>
    <w:p w14:paraId="5A5C1FA2">
      <w:pPr>
        <w:pStyle w:val="17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我方服务端校验令牌状态及上下文，校验通过立即核销该令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牌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。</w:t>
      </w:r>
    </w:p>
    <w:p w14:paraId="357AE1D8">
      <w:pPr>
        <w:pStyle w:val="17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授权页面获得本次认证所需的会话参数，并发起移动认证。</w:t>
      </w:r>
    </w:p>
    <w:p w14:paraId="2D141A19">
      <w:pPr>
        <w:pStyle w:val="17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令牌缺失、过期、已使用或上下文不匹配时，授权流程直接终止。</w:t>
      </w:r>
    </w:p>
    <w:p w14:paraId="09EE9162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）结果阶段</w:t>
      </w:r>
    </w:p>
    <w:p w14:paraId="23014DD6">
      <w:pPr>
        <w:pStyle w:val="17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移动认证完成后，结果首先与本次服务端会话绑定。</w:t>
      </w:r>
    </w:p>
    <w:p w14:paraId="1399F793">
      <w:pPr>
        <w:pStyle w:val="17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客户前端仅接收一次性resultCode，不直接承载最终身份信息。</w:t>
      </w:r>
    </w:p>
    <w:p w14:paraId="6B289BB5">
      <w:pPr>
        <w:pStyle w:val="17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客户后端使用resultCode 向我方服务端查询最终认证结果。</w:t>
      </w:r>
    </w:p>
    <w:p w14:paraId="15A93BFF">
      <w:pPr>
        <w:pStyle w:val="17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我方服务端再次校验客户身份、业务流水及结果凭证状态后返回结果。</w:t>
      </w:r>
    </w:p>
    <w:p w14:paraId="08BB600B">
      <w:pPr>
        <w:pStyle w:val="2"/>
        <w:keepNext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设计</w:t>
      </w:r>
    </w:p>
    <w:tbl>
      <w:tblPr>
        <w:tblStyle w:val="12"/>
        <w:tblW w:w="9746" w:type="dxa"/>
        <w:tblInd w:w="0" w:type="dxa"/>
        <w:tblBorders>
          <w:top w:val="single" w:color="D5E0E8" w:sz="4" w:space="0"/>
          <w:left w:val="single" w:color="D5E0E8" w:sz="4" w:space="0"/>
          <w:bottom w:val="single" w:color="D5E0E8" w:sz="4" w:space="0"/>
          <w:right w:val="single" w:color="D5E0E8" w:sz="4" w:space="0"/>
          <w:insideH w:val="single" w:color="D5E0E8" w:sz="2" w:space="0"/>
          <w:insideV w:val="single" w:color="D5E0E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946"/>
      </w:tblGrid>
      <w:tr w14:paraId="2A3E7118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EB3D131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设计项</w:t>
            </w:r>
          </w:p>
        </w:tc>
        <w:tc>
          <w:tcPr>
            <w:tcW w:w="6946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37FA72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方案说明</w:t>
            </w:r>
          </w:p>
        </w:tc>
      </w:tr>
      <w:tr w14:paraId="5721A965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6EEDF4B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令牌形态</w:t>
            </w:r>
          </w:p>
        </w:tc>
        <w:tc>
          <w:tcPr>
            <w:tcW w:w="69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9605600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采用不可预测的随机字符串，令牌本身不承载业务明文</w:t>
            </w:r>
          </w:p>
        </w:tc>
      </w:tr>
      <w:tr w14:paraId="6210A1B7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7873813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签发主体</w:t>
            </w:r>
          </w:p>
        </w:tc>
        <w:tc>
          <w:tcPr>
            <w:tcW w:w="694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2846AE3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仅向已完成服务端身份认证的客户应用签发</w:t>
            </w:r>
          </w:p>
        </w:tc>
      </w:tr>
      <w:tr w14:paraId="0AFC1114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22088D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有效期</w:t>
            </w:r>
          </w:p>
        </w:tc>
        <w:tc>
          <w:tcPr>
            <w:tcW w:w="69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2BF887D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短时有效，具体时长由双方在联调阶段确认</w:t>
            </w:r>
          </w:p>
        </w:tc>
      </w:tr>
      <w:tr w14:paraId="511B1B83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2C6EFFD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使用次数</w:t>
            </w:r>
          </w:p>
        </w:tc>
        <w:tc>
          <w:tcPr>
            <w:tcW w:w="694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CD2A32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单次兑换；成功兑换后立即失效</w:t>
            </w:r>
          </w:p>
        </w:tc>
      </w:tr>
      <w:tr w14:paraId="3EA06B46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1E04E0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绑定信息</w:t>
            </w:r>
          </w:p>
        </w:tc>
        <w:tc>
          <w:tcPr>
            <w:tcW w:w="69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04989F1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客户应用、业务场景、业务流水、允许的页面来源及本次请求标识</w:t>
            </w:r>
          </w:p>
        </w:tc>
      </w:tr>
      <w:tr w14:paraId="0499DEFE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B52815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传递范围</w:t>
            </w:r>
          </w:p>
        </w:tc>
        <w:tc>
          <w:tcPr>
            <w:tcW w:w="694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B15A47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仅在客户后端、客户前端、JSSDK授权页面及我方服务之间传递</w:t>
            </w:r>
          </w:p>
        </w:tc>
      </w:tr>
      <w:tr w14:paraId="5B33D419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28D8369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存储方式</w:t>
            </w:r>
          </w:p>
        </w:tc>
        <w:tc>
          <w:tcPr>
            <w:tcW w:w="694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A5CF43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服务端保存受保护的令牌摘要及状态，不记录令牌明文</w:t>
            </w:r>
          </w:p>
        </w:tc>
      </w:tr>
      <w:tr w14:paraId="064DEB80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C60CFAE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异常策略</w:t>
            </w:r>
          </w:p>
        </w:tc>
        <w:tc>
          <w:tcPr>
            <w:tcW w:w="694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A74C82E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校验失败时默认拒绝，不回退到无令牌流程</w:t>
            </w:r>
          </w:p>
        </w:tc>
      </w:tr>
    </w:tbl>
    <w:p w14:paraId="5B18E778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六、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服务接口建议</w:t>
      </w:r>
    </w:p>
    <w:p w14:paraId="424D9F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以下为双方联调时需要形成的接口能力。具体地址、字段名称、签名方式和错误码在接口详细设计阶段另行确认。</w:t>
      </w:r>
    </w:p>
    <w:p w14:paraId="3F8F1C62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</w:rPr>
        <w:t>客户侧认证启动接口</w:t>
      </w:r>
    </w:p>
    <w:p w14:paraId="39C75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客户前端调用客户后端，由客户后端完成业务校验并返回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。建议请求上下文包括：</w:t>
      </w:r>
    </w:p>
    <w:p w14:paraId="78EAC7F5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业务流水号；</w:t>
      </w:r>
    </w:p>
    <w:p w14:paraId="685037F6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认证场景；</w:t>
      </w:r>
    </w:p>
    <w:p w14:paraId="3BA91A96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当前页面来源；</w:t>
      </w:r>
    </w:p>
    <w:p w14:paraId="53FB0E63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客户侧幂等请求标识。</w:t>
      </w:r>
    </w:p>
    <w:p w14:paraId="72231F81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）LaunchToken 签发接口</w:t>
      </w:r>
    </w:p>
    <w:p w14:paraId="179C7C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由客户后端服务端调用我方服务端。接口验证客户服务端身份后，返回短时、一次性的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。</w:t>
      </w:r>
    </w:p>
    <w:p w14:paraId="2C56DCBA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）LaunchToken 兑换接口</w:t>
      </w:r>
    </w:p>
    <w:p w14:paraId="3C478B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由我方授权页面调用。接口原子校验并核销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，兑换成功后建立本次授权会话。</w:t>
      </w:r>
    </w:p>
    <w:p w14:paraId="30B2062A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）认证结果查询接口</w:t>
      </w:r>
    </w:p>
    <w:p w14:paraId="4DDF2F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由客户后端服务端调用。客户后端提交一次性 resultCode 和对应业务流水，我方校验一致性后返回认证结果。</w:t>
      </w:r>
    </w:p>
    <w:p w14:paraId="045534F0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七、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安全控制</w:t>
      </w:r>
    </w:p>
    <w:tbl>
      <w:tblPr>
        <w:tblStyle w:val="12"/>
        <w:tblW w:w="9746" w:type="dxa"/>
        <w:tblInd w:w="0" w:type="dxa"/>
        <w:tblBorders>
          <w:top w:val="single" w:color="D5E0E8" w:sz="4" w:space="0"/>
          <w:left w:val="single" w:color="D5E0E8" w:sz="4" w:space="0"/>
          <w:bottom w:val="single" w:color="D5E0E8" w:sz="4" w:space="0"/>
          <w:right w:val="single" w:color="D5E0E8" w:sz="4" w:space="0"/>
          <w:insideH w:val="single" w:color="D5E0E8" w:sz="2" w:space="0"/>
          <w:insideV w:val="single" w:color="D5E0E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3"/>
        <w:gridCol w:w="3734"/>
        <w:gridCol w:w="3329"/>
      </w:tblGrid>
      <w:tr w14:paraId="1F1A96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83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AE9E0AE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控制域</w:t>
            </w:r>
          </w:p>
        </w:tc>
        <w:tc>
          <w:tcPr>
            <w:tcW w:w="3734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876772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关键机制</w:t>
            </w:r>
          </w:p>
        </w:tc>
        <w:tc>
          <w:tcPr>
            <w:tcW w:w="3329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E30AE5B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预期作用</w:t>
            </w:r>
          </w:p>
        </w:tc>
      </w:tr>
      <w:tr w14:paraId="34998C38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9AA00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服务端身份认证</w:t>
            </w:r>
          </w:p>
        </w:tc>
        <w:tc>
          <w:tcPr>
            <w:tcW w:w="3734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A2FC1B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eastAsia="zh-CN"/>
              </w:rPr>
              <w:t>LaunchToken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仅通过服务端到服务端接口签发</w:t>
            </w:r>
          </w:p>
        </w:tc>
        <w:tc>
          <w:tcPr>
            <w:tcW w:w="3329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0052EA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客户服务端凭证不进入浏览器</w:t>
            </w:r>
          </w:p>
        </w:tc>
      </w:tr>
      <w:tr w14:paraId="1448708B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F8BB5C3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令牌生命周期</w:t>
            </w:r>
          </w:p>
        </w:tc>
        <w:tc>
          <w:tcPr>
            <w:tcW w:w="3734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A2BFCFC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短时有效、单次兑换、原子核销</w:t>
            </w:r>
          </w:p>
        </w:tc>
        <w:tc>
          <w:tcPr>
            <w:tcW w:w="3329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56565C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降低令牌重放和重复使用风险</w:t>
            </w:r>
          </w:p>
        </w:tc>
      </w:tr>
      <w:tr w14:paraId="4DA0FD72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79F12C4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业务上下文</w:t>
            </w:r>
          </w:p>
        </w:tc>
        <w:tc>
          <w:tcPr>
            <w:tcW w:w="3734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874A50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绑定客户应用、场景、业务流水和请求标识</w:t>
            </w:r>
          </w:p>
        </w:tc>
        <w:tc>
          <w:tcPr>
            <w:tcW w:w="3329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6F0AB9C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防止跨客户、跨场景或跨业务复用</w:t>
            </w:r>
          </w:p>
        </w:tc>
      </w:tr>
      <w:tr w14:paraId="347881BA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C51A25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页面来源</w:t>
            </w:r>
          </w:p>
        </w:tc>
        <w:tc>
          <w:tcPr>
            <w:tcW w:w="3734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7612C7E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绑定并校验精确页面来源</w:t>
            </w:r>
          </w:p>
        </w:tc>
        <w:tc>
          <w:tcPr>
            <w:tcW w:w="3329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E12B8F1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确保在双方约定的页面上下文中使用</w:t>
            </w:r>
          </w:p>
        </w:tc>
      </w:tr>
      <w:tr w14:paraId="6ECEB24E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8DC96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结果最小化</w:t>
            </w:r>
          </w:p>
        </w:tc>
        <w:tc>
          <w:tcPr>
            <w:tcW w:w="3734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40AF33D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前端只接收一次性 resultCode</w:t>
            </w:r>
          </w:p>
        </w:tc>
        <w:tc>
          <w:tcPr>
            <w:tcW w:w="3329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09CC17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最终结果保持服务端闭环</w:t>
            </w:r>
          </w:p>
        </w:tc>
      </w:tr>
      <w:tr w14:paraId="608A9C1D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83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71453D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传输与审计</w:t>
            </w:r>
          </w:p>
        </w:tc>
        <w:tc>
          <w:tcPr>
            <w:tcW w:w="3734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538FA1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HTTPS、脱敏日志、限流、告警和凭证轮换</w:t>
            </w:r>
          </w:p>
        </w:tc>
        <w:tc>
          <w:tcPr>
            <w:tcW w:w="3329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86C6363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满足日常运营与安全追踪需要</w:t>
            </w:r>
          </w:p>
        </w:tc>
      </w:tr>
    </w:tbl>
    <w:p w14:paraId="021AAC46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br w:type="page"/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八、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异常处理原则</w:t>
      </w:r>
    </w:p>
    <w:tbl>
      <w:tblPr>
        <w:tblStyle w:val="12"/>
        <w:tblW w:w="9746" w:type="dxa"/>
        <w:jc w:val="center"/>
        <w:tblBorders>
          <w:top w:val="single" w:color="D5E0E8" w:sz="4" w:space="0"/>
          <w:left w:val="single" w:color="D5E0E8" w:sz="4" w:space="0"/>
          <w:bottom w:val="single" w:color="D5E0E8" w:sz="4" w:space="0"/>
          <w:right w:val="single" w:color="D5E0E8" w:sz="4" w:space="0"/>
          <w:insideH w:val="single" w:color="D5E0E8" w:sz="2" w:space="0"/>
          <w:insideV w:val="single" w:color="D5E0E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6"/>
        <w:gridCol w:w="6110"/>
      </w:tblGrid>
      <w:tr w14:paraId="74FB31F1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3636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50EC0B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异常场景</w:t>
            </w:r>
          </w:p>
        </w:tc>
        <w:tc>
          <w:tcPr>
            <w:tcW w:w="6110" w:type="dxa"/>
            <w:shd w:val="clear" w:color="auto" w:fill="12304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93F96D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auto"/>
                <w:sz w:val="28"/>
                <w:szCs w:val="28"/>
              </w:rPr>
              <w:t>处理原则</w:t>
            </w:r>
          </w:p>
        </w:tc>
      </w:tr>
      <w:tr w14:paraId="4354F387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8D1BCA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未提供LaunchToken</w:t>
            </w:r>
          </w:p>
        </w:tc>
        <w:tc>
          <w:tcPr>
            <w:tcW w:w="611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1CD4B91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终止流程，提示重新发起</w:t>
            </w:r>
          </w:p>
        </w:tc>
      </w:tr>
      <w:tr w14:paraId="0982E661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AFAAF9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LaunchToken已过期</w:t>
            </w:r>
          </w:p>
        </w:tc>
        <w:tc>
          <w:tcPr>
            <w:tcW w:w="611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3ECFA92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终止流程，由客户后端重新申请</w:t>
            </w:r>
          </w:p>
        </w:tc>
      </w:tr>
      <w:tr w14:paraId="4CC7AD37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8C0B6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LaunchToke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  <w:lang w:val="en-US" w:eastAsia="zh-CN"/>
              </w:rPr>
              <w:t>n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已被使用</w:t>
            </w:r>
          </w:p>
        </w:tc>
        <w:tc>
          <w:tcPr>
            <w:tcW w:w="611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157FD86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拒绝重复兑换并记录审计事件</w:t>
            </w:r>
          </w:p>
        </w:tc>
      </w:tr>
      <w:tr w14:paraId="678666CA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D18EDBF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客户、场景或业务流水不匹配</w:t>
            </w:r>
          </w:p>
        </w:tc>
        <w:tc>
          <w:tcPr>
            <w:tcW w:w="611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3237C6C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拒绝请求，不进入移动认证</w:t>
            </w:r>
          </w:p>
        </w:tc>
      </w:tr>
      <w:tr w14:paraId="4609D7F7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463B31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页面来源不匹配</w:t>
            </w:r>
          </w:p>
        </w:tc>
        <w:tc>
          <w:tcPr>
            <w:tcW w:w="611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2F98CF8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拒绝建立授权会话</w:t>
            </w:r>
          </w:p>
        </w:tc>
      </w:tr>
      <w:tr w14:paraId="4AC131F2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B46E669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结果凭证无效或已使用</w:t>
            </w:r>
          </w:p>
        </w:tc>
        <w:tc>
          <w:tcPr>
            <w:tcW w:w="6110" w:type="dxa"/>
            <w:shd w:val="clear" w:color="auto" w:fill="F5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27EA79D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拒绝查询，不返回认证结果</w:t>
            </w:r>
          </w:p>
        </w:tc>
      </w:tr>
      <w:tr w14:paraId="78A08F5E">
        <w:tblPrEx>
          <w:tblBorders>
            <w:top w:val="single" w:color="D5E0E8" w:sz="4" w:space="0"/>
            <w:left w:val="single" w:color="D5E0E8" w:sz="4" w:space="0"/>
            <w:bottom w:val="single" w:color="D5E0E8" w:sz="4" w:space="0"/>
            <w:right w:val="single" w:color="D5E0E8" w:sz="4" w:space="0"/>
            <w:insideH w:val="single" w:color="D5E0E8" w:sz="2" w:space="0"/>
            <w:insideV w:val="single" w:color="D5E0E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E2B03F9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服务暂时不可用</w:t>
            </w:r>
          </w:p>
        </w:tc>
        <w:tc>
          <w:tcPr>
            <w:tcW w:w="611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F4DE8E5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返回统一失败状态，不降级到无校验链路</w:t>
            </w:r>
          </w:p>
        </w:tc>
      </w:tr>
    </w:tbl>
    <w:p w14:paraId="33E86B17">
      <w:pPr>
        <w:pStyle w:val="2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>九、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2"/>
          <w:szCs w:val="32"/>
        </w:rPr>
        <w:t>双方改造范围</w:t>
      </w:r>
    </w:p>
    <w:p w14:paraId="36BCA878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</w:rPr>
        <w:t>客户侧</w:t>
      </w:r>
    </w:p>
    <w:p w14:paraId="622FCE19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客户后端增加认证启动接口。</w:t>
      </w:r>
    </w:p>
    <w:p w14:paraId="58689D68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客户后端接入LaunchToken 签发及结果查询接口。</w:t>
      </w:r>
    </w:p>
    <w:p w14:paraId="61723998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客户后端完成登录态、业务流水和幂等校验。</w:t>
      </w:r>
    </w:p>
    <w:p w14:paraId="1F3B4587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客户前端调整为先获取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，再调用sdk.open()。</w:t>
      </w:r>
    </w:p>
    <w:p w14:paraId="185CFAFC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客户前端将resultCode提交给客户后端，不直接处理最终认证数据。</w:t>
      </w:r>
    </w:p>
    <w:p w14:paraId="36AA66A1">
      <w:pPr>
        <w:pStyle w:val="3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3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i w:val="0"/>
          <w:iCs w:val="0"/>
          <w:color w:val="auto"/>
          <w:sz w:val="32"/>
          <w:szCs w:val="32"/>
        </w:rPr>
        <w:t>我方</w:t>
      </w:r>
    </w:p>
    <w:p w14:paraId="593D0237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建设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  <w:lang w:eastAsia="zh-CN"/>
        </w:rPr>
        <w:t>LaunchToken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签发、兑换、核销及结果查询服务。</w:t>
      </w:r>
    </w:p>
    <w:p w14:paraId="232FB66D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JSSDK 增加launchToken启动参数和必填校验。</w:t>
      </w:r>
    </w:p>
    <w:p w14:paraId="06AE0888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授权页面增加令牌兑换、页面来源校验和受控消息回传。</w:t>
      </w:r>
    </w:p>
    <w:p w14:paraId="251968ED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建立令牌状态、接口调用及异常事件的审计与监控。</w:t>
      </w:r>
    </w:p>
    <w:p w14:paraId="20D9EC81">
      <w:pPr>
        <w:pStyle w:val="17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sz w:val="32"/>
          <w:szCs w:val="32"/>
        </w:rPr>
        <w:t>提供测试环境、联调说明和错误处理约定。</w:t>
      </w:r>
    </w:p>
    <w:sectPr>
      <w:footerReference r:id="rId3" w:type="default"/>
      <w:pgSz w:w="11906" w:h="16838"/>
      <w:pgMar w:top="1080" w:right="1080" w:bottom="1050" w:left="1080" w:header="500" w:footer="50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B35F6">
    <w:pPr>
      <w:pBdr>
        <w:top w:val="single" w:color="D5E0E8" w:sz="2" w:space="0"/>
      </w:pBdr>
      <w:spacing w:before="100"/>
      <w:jc w:val="both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8940C5">
                          <w:pPr>
                            <w:pBdr>
                              <w:top w:val="single" w:color="D5E0E8" w:sz="2" w:space="0"/>
                            </w:pBdr>
                            <w:spacing w:before="100"/>
                            <w:jc w:val="both"/>
                          </w:pPr>
                          <w:r>
                            <w:rPr>
                              <w:rFonts w:ascii="Arial Unicode MS" w:hAnsi="Arial Unicode MS" w:eastAsia="Arial Unicode MS" w:cs="Arial Unicode MS"/>
                              <w:b w:val="0"/>
                              <w:bCs w:val="0"/>
                              <w:i w:val="0"/>
                              <w:iCs w:val="0"/>
                              <w:color w:val="5C6F7D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color w:val="5C6F7D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color w:val="5C6F7D"/>
                              <w:sz w:val="16"/>
                              <w:szCs w:val="16"/>
                            </w:rPr>
                            <w:instrText xml:space="preserve">PAGE</w:instrTex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color w:val="5C6F7D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color w:val="5C6F7D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b w:val="0"/>
                              <w:bCs w:val="0"/>
                              <w:i w:val="0"/>
                              <w:iCs w:val="0"/>
                              <w:color w:val="5C6F7D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8940C5">
                    <w:pPr>
                      <w:pBdr>
                        <w:top w:val="single" w:color="D5E0E8" w:sz="2" w:space="0"/>
                      </w:pBdr>
                      <w:spacing w:before="100"/>
                      <w:jc w:val="both"/>
                    </w:pPr>
                    <w:r>
                      <w:rPr>
                        <w:rFonts w:ascii="Arial Unicode MS" w:hAnsi="Arial Unicode MS" w:eastAsia="Arial Unicode MS" w:cs="Arial Unicode MS"/>
                        <w:b w:val="0"/>
                        <w:bCs w:val="0"/>
                        <w:i w:val="0"/>
                        <w:iCs w:val="0"/>
                        <w:color w:val="5C6F7D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Arial Unicode MS" w:hAnsi="Arial Unicode MS" w:eastAsia="Arial Unicode MS" w:cs="Arial Unicode MS"/>
                        <w:color w:val="5C6F7D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 Unicode MS" w:hAnsi="Arial Unicode MS" w:eastAsia="Arial Unicode MS" w:cs="Arial Unicode MS"/>
                        <w:color w:val="5C6F7D"/>
                        <w:sz w:val="16"/>
                        <w:szCs w:val="16"/>
                      </w:rPr>
                      <w:instrText xml:space="preserve">PAGE</w:instrText>
                    </w:r>
                    <w:r>
                      <w:rPr>
                        <w:rFonts w:ascii="Arial Unicode MS" w:hAnsi="Arial Unicode MS" w:eastAsia="Arial Unicode MS" w:cs="Arial Unicode MS"/>
                        <w:color w:val="5C6F7D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Unicode MS" w:hAnsi="Arial Unicode MS" w:eastAsia="Arial Unicode MS" w:cs="Arial Unicode MS"/>
                        <w:color w:val="5C6F7D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Arial Unicode MS" w:hAnsi="Arial Unicode MS" w:eastAsia="Arial Unicode MS" w:cs="Arial Unicode MS"/>
                        <w:b w:val="0"/>
                        <w:bCs w:val="0"/>
                        <w:i w:val="0"/>
                        <w:iCs w:val="0"/>
                        <w:color w:val="5C6F7D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60" w:hanging="300"/>
      </w:pPr>
      <w:rPr>
        <w:rFonts w:hint="default" w:ascii="仿宋_GB2312" w:hAnsi="仿宋_GB2312" w:eastAsia="仿宋_GB2312" w:cs="仿宋_GB2312"/>
        <w:b w:val="0"/>
        <w:bCs w:val="0"/>
        <w:color w:val="auto"/>
        <w:sz w:val="32"/>
        <w:szCs w:val="32"/>
      </w:rPr>
    </w:lvl>
  </w:abstractNum>
  <w:abstractNum w:abstractNumId="1">
    <w:nsid w:val="EC067672"/>
    <w:multiLevelType w:val="singleLevel"/>
    <w:tmpl w:val="EC06767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20" w:hanging="260"/>
      </w:pPr>
      <w:rPr>
        <w:rFonts w:hint="default" w:ascii="仿宋_GB2312" w:hAnsi="仿宋_GB2312" w:eastAsia="仿宋_GB2312" w:cs="仿宋_GB2312"/>
        <w:b w:val="0"/>
        <w:bCs w:val="0"/>
        <w:color w:val="auto"/>
        <w:sz w:val="32"/>
        <w:szCs w:val="32"/>
      </w:rPr>
    </w:lvl>
    <w:lvl w:ilvl="1" w:tentative="0">
      <w:start w:val="1"/>
      <w:numFmt w:val="bullet"/>
      <w:lvlText w:val="–"/>
      <w:lvlJc w:val="left"/>
      <w:pPr>
        <w:ind w:left="900" w:hanging="260"/>
      </w:pPr>
      <w:rPr>
        <w:rFonts w:ascii="Arial Unicode MS" w:hAnsi="Arial Unicode MS" w:eastAsia="Arial Unicode MS" w:cs="Arial Unicode MS"/>
        <w:color w:val="1D8A82"/>
      </w:r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560" w:hanging="300"/>
      </w:pPr>
      <w:rPr>
        <w:rFonts w:hint="default" w:ascii="仿宋_GB2312" w:hAnsi="仿宋_GB2312" w:eastAsia="仿宋_GB2312" w:cs="仿宋_GB2312"/>
        <w:b w:val="0"/>
        <w:bCs w:val="0"/>
        <w:color w:val="auto"/>
        <w:sz w:val="32"/>
        <w:szCs w:val="32"/>
      </w:rPr>
    </w:lvl>
  </w:abstractNum>
  <w:abstractNum w:abstractNumId="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60" w:hanging="300"/>
      </w:pPr>
      <w:rPr>
        <w:rFonts w:hint="default" w:ascii="仿宋_GB2312" w:hAnsi="仿宋_GB2312" w:eastAsia="仿宋_GB2312" w:cs="仿宋_GB2312"/>
        <w:b w:val="0"/>
        <w:bCs w:val="0"/>
        <w:color w:val="auto"/>
        <w:sz w:val="32"/>
        <w:szCs w:val="32"/>
      </w:r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692CF1"/>
    <w:rsid w:val="403B7C1B"/>
    <w:rsid w:val="729B6C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Arial Unicode MS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Arial Unicode MS" w:cs="Arial Unicode MS"/>
      <w:color w:val="1F2D3D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50" w:line="350" w:lineRule="auto"/>
      <w:outlineLvl w:val="0"/>
    </w:pPr>
    <w:rPr>
      <w:rFonts w:ascii="Arial Unicode MS" w:hAnsi="Arial Unicode MS" w:eastAsia="Arial Unicode MS" w:cs="Arial Unicode MS"/>
      <w:b/>
      <w:bCs/>
      <w:color w:val="12304A"/>
      <w:sz w:val="31"/>
      <w:szCs w:val="31"/>
    </w:rPr>
  </w:style>
  <w:style w:type="paragraph" w:styleId="3">
    <w:name w:val="heading 2"/>
    <w:next w:val="1"/>
    <w:qFormat/>
    <w:uiPriority w:val="0"/>
    <w:pPr>
      <w:spacing w:before="230" w:after="120" w:line="350" w:lineRule="auto"/>
      <w:outlineLvl w:val="1"/>
    </w:pPr>
    <w:rPr>
      <w:rFonts w:ascii="Arial Unicode MS" w:hAnsi="Arial Unicode MS" w:eastAsia="Arial Unicode MS" w:cs="Arial Unicode MS"/>
      <w:b/>
      <w:bCs/>
      <w:color w:val="176B87"/>
      <w:sz w:val="25"/>
      <w:szCs w:val="25"/>
    </w:rPr>
  </w:style>
  <w:style w:type="paragraph" w:styleId="4">
    <w:name w:val="heading 3"/>
    <w:next w:val="1"/>
    <w:qFormat/>
    <w:uiPriority w:val="0"/>
    <w:pPr>
      <w:spacing w:after="150" w:line="350" w:lineRule="auto"/>
    </w:pPr>
    <w:rPr>
      <w:rFonts w:ascii="Arial Unicode MS" w:hAnsi="Arial Unicode MS" w:eastAsia="Arial Unicode MS" w:cs="Arial Unicode MS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50" w:line="350" w:lineRule="auto"/>
    </w:pPr>
    <w:rPr>
      <w:rFonts w:ascii="Arial Unicode MS" w:hAnsi="Arial Unicode MS" w:eastAsia="Arial Unicode MS" w:cs="Arial Unicode MS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150" w:line="350" w:lineRule="auto"/>
    </w:pPr>
    <w:rPr>
      <w:rFonts w:ascii="Arial Unicode MS" w:hAnsi="Arial Unicode MS" w:eastAsia="Arial Unicode MS" w:cs="Arial Unicode MS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50" w:line="350" w:lineRule="auto"/>
    </w:pPr>
    <w:rPr>
      <w:rFonts w:ascii="Arial Unicode MS" w:hAnsi="Arial Unicode MS" w:eastAsia="Arial Unicode MS" w:cs="Arial Unicode MS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 Unicode MS" w:hAnsi="Arial Unicode MS" w:eastAsia="Arial Unicode MS" w:cs="Arial Unicode MS"/>
      <w:color w:val="1F2D3D"/>
      <w:sz w:val="20"/>
      <w:szCs w:val="20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 Unicode MS"/>
      <w:color w:val="1F2D3D"/>
      <w:sz w:val="20"/>
      <w:szCs w:val="20"/>
    </w:rPr>
  </w:style>
  <w:style w:type="paragraph" w:styleId="11">
    <w:name w:val="Title"/>
    <w:qFormat/>
    <w:uiPriority w:val="0"/>
    <w:pPr>
      <w:spacing w:after="280" w:line="350" w:lineRule="auto"/>
      <w:jc w:val="center"/>
    </w:pPr>
    <w:rPr>
      <w:rFonts w:ascii="Arial Unicode MS" w:hAnsi="Arial Unicode MS" w:eastAsia="Arial Unicode MS" w:cs="Arial Unicode MS"/>
      <w:b/>
      <w:bCs/>
      <w:color w:val="12304A"/>
      <w:sz w:val="52"/>
      <w:szCs w:val="52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after="150" w:line="350" w:lineRule="auto"/>
    </w:pPr>
    <w:rPr>
      <w:rFonts w:ascii="Arial Unicode MS" w:hAnsi="Arial Unicode MS" w:eastAsia="Arial Unicode MS" w:cs="Arial Unicode MS"/>
      <w:color w:val="1F2D3D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1984</Words>
  <Characters>2391</Characters>
  <TotalTime>103</TotalTime>
  <ScaleCrop>false</ScaleCrop>
  <LinksUpToDate>false</LinksUpToDate>
  <CharactersWithSpaces>2409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2026-08-07T02:13:00Z</dcterms:created>
  <dc:creator>移动认证项目组</dc:creator>
  <dc:description>面向客户的移动认证 JSSDK Launch Token 安全接入方案</dc:description>
  <cp:lastModifiedBy>UMS</cp:lastModifiedBy>
  <dcterms:modified xsi:type="dcterms:W3CDTF">2026-08-07T13:25:27Z</dcterms:modified>
  <dc:subject>客户接入与联调方案</dc:subject>
  <dc:title>移动认证 JSSDK Launch Token 安全接入方案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eyJoZGlkIjoiN2ZkN2U0NTE2ZWZjNGNkOGYwMTY5ODIwZjEyYjUxNGMiLCJ1c2VySWQiOiIyNDM2NTU2OTEifQ==</vt:lpwstr>
  </property>
  <property fmtid="{D5CDD505-2E9C-101B-9397-08002B2CF9AE}" pid="3" name="KSOProductBuildVer">
    <vt:lpwstr>2052-12.1.0.28022</vt:lpwstr>
  </property>
  <property fmtid="{D5CDD505-2E9C-101B-9397-08002B2CF9AE}" pid="4" name="ICV">
    <vt:lpwstr>6E230C22895D4BECAB888D998E987BD5_13</vt:lpwstr>
  </property>
</Properties>
</file>