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移动认证内部完整时序图（JSSDK＋iframe，0.3.1）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文档定位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本文档仅供内部研发、联调和排障使用。客户侧接入说明仍以客户文档为准：https://my.feishu.cn/docx/XQdrdS86Io7CHJxXaw8cKh7unlk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五层整体链路与职责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本文以多点专用 JSSDK 0.3.1 为当前前端依据，按“客户前端／我们前端／银商后端／移动前端／移动后端”五层说明从页面初始化到身份结果的完整流程。我们前端内部拆为专用 SDK 与 iframe；客户现有后端是浏览器授权结果进入银商服务的必要服务端交接点，单独列出，避免把服务端签名或私钥放进浏览器。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前端时序可由当前实现核对，银商 check/query 的请求字段、加密封装和成功判定可由已有接口调用代码核对。客户私有后端未在本仓库提供，下文服务端交接描述的是应沿用的接入链路，不能据此断言客户已经实现、部署或联通。移动后端内部处理作为黑盒；没有已提供材料支持的银商到移动私有接口不展开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75"/>
        <w:gridCol w:w="2205"/>
        <w:gridCol w:w="4500"/>
      </w:tblGrid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层／参与方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负责什么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输入、输出与边界</w:t>
            </w:r>
          </w:p>
        </w:tc>
      </w:tr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客户前端／宿主页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创建实例，预检后打开，接收授权结果，提交既有业务接口并更新页面。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 scene 与可选 requestId；接收 token、idLast4、keyA。只在 eligible === true 时 open；SDK 成功与后端业务成功分开判断。</w:t>
            </w:r>
          </w:p>
        </w:tc>
      </w:tr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我们前端：专用 SDK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管理隐藏预检／授权 iframe、内嵌 UI/runtime、消息桥、展示和回调。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持有本专用版本默认业务 appId；下发 CUSTOM_BOOT；校验授权 bridge；等待展示就绪；终态清理并结束 open Promise。</w:t>
            </w:r>
          </w:p>
        </w:tc>
      </w:tr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我们前端：iframe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预检只取号；授权页生成移动参数、运行页面并接入移动控件。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校验 BOOT 身份；向移动前端调用 showAuthPage/initControl；将 encryptPublicKey 映射为 keyA，回传展示就绪及授权结果。</w:t>
            </w:r>
          </w:p>
        </w:tc>
      </w:tr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客户现有后端（服务端交接）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接收授权结果，按银商协议核验、查询并返回业务结果。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持有银商接口凭据及加解密密钥；进行 SM2、OPEN-BODY-SIG 和响应解析。客户具体内部实现、前后端接口路径及接通状态需以客户现有系统为准。</w:t>
            </w:r>
          </w:p>
        </w:tc>
      </w:tr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银商后端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银联商务方 Java 服务，提供 check 核验和 query 身份查询。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接收服务端加密请求并返回业务码与加密响应。不能将其等同于移动后端；其内部下游调用没有可核对材料时不作推断。</w:t>
            </w:r>
          </w:p>
        </w:tc>
      </w:tr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移动前端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中国移动官方 JSSDK 1.0.6，执行取号和控件授权交互。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showAuthPage 取号；initControl 挂载控件；authReady 表示控件就绪；提交后回调授权结果或错误。</w:t>
            </w:r>
          </w:p>
        </w:tc>
      </w:tr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移动后端（内部黑盒）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承接官方 SDK 的移动认证网络服务。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图中只表达可由 SDK 调用／回调观察到的取号、授权往返，不指定私有接口、内部数据处理、路由或银商与移动间的实际调用。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 初始化：创建专用 SDK，保留现有业务回调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客户页面加载专用 SDK，调用 createAssistanceMobileAuthSdk，沿用现有弹层、键盘、关闭选项和 onReady/onSuccess/onCancel/onError/onClose 等回调。该专用版本内嵌授权 UI 的 HTML、样式、图片和交互 runtime，并提供默认业务 appId；客户不需要新增 customPage、authParams、参数签发接口或辅助签名脚本。这一结论只适用于当前多点专用 0.3.1 链路。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内嵌 UI 并不等于运行时完全离线：仍需加载我方共享 iframe、控件样式及移动官方 JSSDK，并访问移动认证网络服务。此时只是实例和资源引用准备，不代表取号、授权或身份核验完成。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2. 隐藏预检：先判断能否进入授权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客户前端调用 precheck({ scene, requestId? })。专用 SDK 创建独立隐藏 iframe 和内部 sessionId；预检页在 iframe 内生成本次移动预检参数，加载官方资源，只调用 showAuthPage，不调用 initControl、不展示授权页面，也不取得供后续业务使用的授权成功载荷。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showAuthPage 成功码 103000 映射为 eligible=true、reason=ok；失败按现有错误／网络判断归类 reason，无法确定时为 unknown。专用 SDK 的预检默认超时为 12 秒，可通过预检 timeoutMs 调整；超时返回 eligible=false、reason=unknown。预检结束即移除对应 iframe、监听和计时器。客户只在 eligible === true 时调用 open；不满足或未知时沿用现有提示和降级处理。预检成功不能替代正式授权，也不与后续 open 共用移动参数或内部会话。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3. open、握手与首次展示：共用 15 秒期限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客户调用 open({ scene, requestId? }) 后，SDK 创建新的授权 iframe，初始隐藏。iframe 的 READY 表示 loader 已能接收配置；SDK 随后发送 CUSTOM_BOOT，内含 UI 定义、runtimeSource 与配置，并触发客户 onReady。onReady 只表示 BOOT 已发送，不表示授权页已可见。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loader 校验父页面 origin、window source、消息 sessionId，以及配置 mode/sessionId/parentOrigin，才执行 runtime。本专用 iframe 生成本次移动授权参数，移动 providerAppId 与业务 appId 分开；参数包含 version、sign、traceId、timestamp，当前 authType=0、scope=3ElementsAuthAssistFill。正式授权另行生成，不复用预检参数。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runtime 并行准备内嵌 UI 与移动官方资源，完成后才调用 showAuthPage；其成功码 103000 只代表取号阶段成功，随后调用 initControl 注册 beforeSubmit、authReady、success、error。收到 authReady 后，iframe 发出 PRESENTATION_READY，外层校验授权 bridge 的 origin/source/sessionId 后才展示 iframe。该内部展示消息不新增客户回调。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首次初始化共用从 open 起计算的 15 秒绝对期限，覆盖握手、BOOT、UI／资源准备及首次控件就绪；不是每一步各给 15 秒，也不是用户输入或后端请求的总时限。超时终止本次 open。移动后端在本阶段只标为 SDK 取号服务的抽象往返，不展开私有接口。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4. 用户提交、移动授权与可恢复错误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用户在 iframe 内输入身份证后四位并同意协议，点击官方授权按钮。移动 JSSDK 调用 beforeSubmit；runtime 检查控件已就绪、本次尚未提交、四位输入完整且调用方协议均已同意，不满足返回 false。允许提交时记录本次 submittedId、进入忙碌状态，返回 true 后由移动 JSSDK 继续授权网络交互。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移动后端接收 SDK 授权请求并产生结果这一关系仅作抽象说明；其内部算法、下游和具体 API 未提供，不在本文编造。移动回调 initControl.success 仍需 code=103000；runtime 还检查确实存在本次提交、token 非空、encryptPublicKey 非空。encryptPublicKey 映射成对外 keyA，idLast4 取本次提交时的值，不能以任意迟到的成功回调直接进入业务。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仅当控件已就绪、本次提交进行中且错误为 105999／103135 时，该专用 runtime 发出 ERROR_NOTICE，客户收到 onErrorNotice，open 继续等待；清除忙碌状态、保留输入、重新 initControl，待 authReady 后可重试。恢复初始化有独立 15 秒期限。其他不可恢复错误或恢复超时进入终态错误；给客户安全提示，不直接透出完整原始错误。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5. SDK 成功：把授权结果交到客户现有后端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iframe 将 SUCCESS 通过 bridge 传给专用 SDK，载荷为 status=success、token、idLast4、keyA，及可选 message/requestId；当前 message 为“验证完成”。SDK 校验消息身份后，以同一载荷触发 onSuccess(payload) 并 resolve open Promise，完成授权窗口终态清理。两者是同一次成功的两种接收方式，业务提交选一处执行，避免重复请求。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客户前端随后通过现有业务接口把 token、idLast4、keyA 和业务上下文交给客户现有后端。无需为本次 SDK 升级新增签发接口；这里必须保留服务端交接，因为银商接口认证、加解密凭据不能由浏览器持有。客户具体接口和内部实现不在本仓库，本文不宣称已接通。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6. 银商 check：核验通过才能继续查询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客户现有后端按已有银商协议组织 check 请求。明文业务字段为 requestId、userNo、token、servidL4=idLast4、keyA=encryptPublicKey；其中对外授权结果中的 keyA 就是移动回调 encryptPublicKey 的映射。路径为 /encrypted/assistant/info/check，采用 POST。协议 requestId 和 userNo 的取值由服务端协议配置／映射确定；前端可选 requestId 仅作关联上下文，不能擅自认为就是同一个协议 requestId。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服务端用银商平台公钥进行 SM2 加密，将业务明文封装为 {data}；Authorization 为 OPEN-BODY-SIG，按银商接口 appId/appKey、时间戳、nonce 和请求体摘要计算。这里的接口凭据、签名和响应解密私钥只留服务端，与 iframe 的移动 sign、providerAppId 及业务 appId 均不同。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银商返回外层信封和加密 data，服务端解密信封中的 data 并解析业务结果。外层 errCode=20000000，且解密后 respCode=00、detailRespCode=0000，三个条件同时满足才是 check 业务核验成功。HTTP 成功或移动 JSSDK success 都不能替代这一判断。外层失败、解密／解析异常或业务码失败均不能沿成功路径调用 query 或返回身份成功。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7. 银商 query：检查成功码和身份字段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check 通过后，客户后端按现有流程调用 POST /encrypted/assistant/info/query。业务明文为 requestId、userNo、token，不携带 check 专属的 servidL4/keyA；同样在服务端 SM2 加密为 {data}，使用 OPEN-BODY-SIG，解密返回信封后检查外层与业务成功码。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query 除上述成功码外，还要确认必要身份字段存在：现有代码要求 mobile、idCard 非空，name 可为空。返回的 name/mobile/idCard 映射为 encryptedName/encryptedMobile/encryptedIdCard，表示加密身份字段。解密响应信封不等于这些身份字段已经转为明文；当前材料没有字段级解密实现依据，因此不宣称可直接明文助填。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客户后端返回其现有业务结果与允许返回的身份数据，由客户前端更新页面或继续业务。check 通过但 query 失败／缺字段，仍不能视为身份信息已可用。实际重取、重授权或其他业务处理沿用客户现有后端策略；客户私有实现及真实链路验收仍需现场证据确认。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8. 取消、终态错误与页面生命周期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用户取消经 CANCEL 触发 onCancel 并 reject open；资源或初始化失败、缺 token/keyA、异常成功载荷、不可恢复错误与首次展示超时经 onError 并 reject open。onErrorNotice 是非终态提示，其本身不结束 open。SDK 授权成功后再发生的客户后端 check/query 失败属于后端业务结果，不回溯改写已经结束的 SDK Promise。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主动 close() 关闭当前授权窗口，未完成的 open 随之结束并通知 onClose；destroy() 还中止活动预检并释放实例会话。成功、取消、致命错误或关闭均清理 iframe、消息监听、计时器、观察器与移动控件，并阻止迟到回调影响已结束会话。页面离开时保留原有清理逻辑。token、keyA、身份证输入、移动签名、银商凭据和完整错误原文不输出到页面或日志。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b w:val="true"/>
          <w:sz w:val="36"/>
        </w:rPr>
        <w:t>完整内部时序图</w:t>
      </w:r>
      <w:bookmarkEnd w:id="1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578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b w:val="true"/>
          <w:sz w:val="36"/>
        </w:rPr>
        <w:t>关键变量与传递边界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45"/>
        <w:gridCol w:w="1545"/>
        <w:gridCol w:w="2295"/>
        <w:gridCol w:w="2895"/>
      </w:tblGrid>
      <w:tr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变量／字段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产生／持有方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传递方向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含义、敏感性与边界</w:t>
            </w:r>
          </w:p>
        </w:tc>
      </w:tr>
      <w:tr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scene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客户业务上下文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客户前端 → 专用 SDK → iframe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业务场景，不是认证凭据；预检与 open 采用现有传入方式。</w:t>
            </w:r>
          </w:p>
        </w:tc>
      </w:tr>
      <w:tr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 requestId（可选）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客户前端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客户前端 → SDK → iframe → 成功载荷回传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关联本次请求；协议 requestId 的实际映射需客户后端确认，不因同名假定相等。</w:t>
            </w:r>
          </w:p>
        </w:tc>
      </w:tr>
      <w:tr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 appId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专用 SDK 配置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SDK → iframe 配置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标识业务身份及协议；本专用 0.3.1 有默认值，无需客户新增传入。不同于移动及银商接口 appId。</w:t>
            </w:r>
          </w:p>
        </w:tc>
      </w:tr>
      <w:tr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移动 providerAppId（移动参数名 appId）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iframe 移动参数生成器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iframe → 移动官方 JSSDK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移动取号／授权身份标识；本文不列实际值，不把业务 appId 当作此字段。</w:t>
            </w:r>
          </w:p>
        </w:tc>
      </w:tr>
      <w:tr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version / sign / traceId / timestamp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iframe 移动参数生成器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iframe → showAuthPage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本次移动调用参数；预检和授权分别生成。sign 为移动签名，非银商 OPEN-BODY-SIG，不输出其实际值或签名材料。</w:t>
            </w:r>
          </w:p>
        </w:tc>
      </w:tr>
      <w:tr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authType / scope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移动参数配置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iframe → 移动官方 JSSDK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 authType=0，scope=3ElementsAuthAssistFill；不是前端预检成功或后端核验状态。</w:t>
            </w:r>
          </w:p>
        </w:tc>
      </w:tr>
      <w:tr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eligible / reason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预检页及 SDK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隐藏 iframe → SDK → 客户前端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是否可继续授权与原因；仅 eligible === true 才 open。默认超时12秒为 false/unknown，不复用为正式授权结果。</w:t>
            </w:r>
          </w:p>
        </w:tc>
      </w:tr>
      <w:tr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内部 sessionId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SDK 每次创建 iframe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SDK ↔ 对应 iframe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消息关联／隔离标识，预检与授权独立；不是客户成功载荷字段，不要求客户维护。</w:t>
            </w:r>
          </w:p>
        </w:tc>
      </w:tr>
      <w:tr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 / message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iframe／bridge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iframe → SDK → 客户前端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成功 status=success；message 可选，当前为“验证完成”。只表示 SDK 授权成功，不是银商核验结论。</w:t>
            </w:r>
          </w:p>
        </w:tc>
      </w:tr>
      <w:tr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token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移动 initControl.success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移动 → iframe → SDK → 客户前端 → 客户后端 → 银商 check/query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非空授权结果，敏感；用于后续核验／查询，不写日志或页面，不与任何服务端接口凭据混淆。</w:t>
            </w:r>
          </w:p>
        </w:tc>
      </w:tr>
      <w:tr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idLast4 → servidL4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用户在 iframe 输入；服务端映射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iframe → SDK → 客户前端 → 客户后端 → check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成功载荷取本次提交的四位值，服务端 check 字段为 servidL4；个人信息，不写日志或页面记录。</w:t>
            </w:r>
          </w:p>
        </w:tc>
      </w:tr>
      <w:tr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encryptPublicKey → keyA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移动回调；iframe 映射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移动 → iframe → SDK → 客户前端 → 客户后端 → check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对外字段 keyA 非空；与 token 一起保护。不是银商服务端平台公钥、私钥或接口 appKey。</w:t>
            </w:r>
          </w:p>
        </w:tc>
      </w:tr>
      <w:tr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协议 requestId / userNo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客户后端协议配置／映射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客户后端 → 银商 check/query 明文体（再加密）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协议关联及用户标识。现有代码从服务端配置读取，客户实际取值及与前端 requestId 的映射未证实。</w:t>
            </w:r>
          </w:p>
        </w:tc>
      </w:tr>
      <w:tr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银商接口 appId / appKey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客户服务端持有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服务端用于生成银商接口认证头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银商调用凭据；appKey 是秘密，绝不下发浏览器或 iframe。区别于业务 appId 和移动 providerAppId。</w:t>
            </w:r>
          </w:p>
        </w:tc>
      </w:tr>
      <w:tr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OPEN-BODY-SIG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服务端按银商协议计算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客户后端 → 银商 Authorization 头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使用接口凭据、时间戳、nonce、请求体摘要生成；不是移动 sign。不记录真实头值。</w:t>
            </w:r>
          </w:p>
        </w:tc>
      </w:tr>
      <w:tr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SM2 平台公钥／服务端私钥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服务端配置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平台公钥加密请求；服务端私钥解密响应信封 data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密钥用途与移动 keyA 不同；私钥只留服务端，本文不列任何密钥值。</w:t>
            </w:r>
          </w:p>
        </w:tc>
      </w:tr>
      <w:tr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data（传输信封）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请求服务端／响应银商服务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客户后端 ↔ 银商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SM2 加密的业务 JSON，承载在 {data} 中。解密信封不等于已解密里面的身份字段。</w:t>
            </w:r>
          </w:p>
        </w:tc>
      </w:tr>
      <w:tr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errCode / respCode / detailRespCode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银商响应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银商 → 客户后端判断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外层20000000、解密后00/0000同时满足才业务成功；query另检查字段，HTTP成功不能替代。</w:t>
            </w:r>
          </w:p>
        </w:tc>
      </w:tr>
      <w:tr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 / mobile / idCard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银商 query 响应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银商 → 客户后端 → 现有业务结果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现有映射为 encryptedName / encryptedMobile / encryptedIdCard；mobile/idCard须非空，name可空。加密身份字段，不宣称已有明文解密或直接助填实现。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通信、展示与生命周期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授权 iframe 的 READY 表示可接收配置。外层发送 CUSTOM_BOOT 后触发 onReady，此时尚未表示授权页面可见。BOOT 由 loader 校验 parent origin、parent window source、消息 sessionId，以及配置的 mode/sessionId/parentOrigin，再执行 runtime；授权 bridge 校验对应 iframe 的 origin、source 和 sessionId。此安全边界针对内嵌 UI/runtime 授权通道。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initControl.authReady 表示控件已就绪；runtime 此后发出 PRESENTATION_READY，外层才展示 iframe。这是内部展示消息，不新增客户回调。首次初始化从 open 起共用 15 秒期限，覆盖 BOOT、资源/UI 准备与首次控件就绪；超时终止本次 open。成功、取消、致命错误或关闭时，清理窗口、消息监听、计时器、观察器及控件，阻止迟到回调影响已结束会话。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回调与错误边界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onSuccess(payload) 与 open Promise resolve 使用同一成功载荷：status、token、idLast4、keyA，以及可选 message/requestId。收到成功码仍会校验本次提交状态、非空 token/keyA，缺失或异常走致命错误。SDK 成功只证明已获得本次授权结果；客户后端的身份核验与业务成功由客户现有流程另行判断。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onErrorNotice 是非终态提示，本身不结束 open。该专用 runtime 在控件就绪后，对本次提交中的 105999/103135 错误清除忙碌状态并重新初始化控件，保留输入以便重试，恢复初始化有独立 15 秒期限；其他不可恢复错误通过 onError 并 reject open。初始化失败、资源加载失败和结果缺字段等属于致命错误；用户取消通过 onCancel 并 reject open。对客户展示使用安全提示，不直接透出原始错误详情。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2026-10-15T08:48:03Z</dcterms:created>
  <dc:creator>Apache POI</dc:creator>
</cp:coreProperties>
</file>