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智能合约代码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kapai/src/solidity/AToken.sol</w:t>
      </w:r>
    </w:p>
    <w:p>
      <w:pPr>
        <w:rPr>
          <w:rFonts w:hint="eastAsia"/>
          <w:lang w:eastAsia="zh-CN"/>
        </w:rPr>
      </w:pPr>
    </w:p>
    <w:p>
      <w:pPr>
        <w:pStyle w:val="4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代币接收地址是合约部署者的地址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没有将合约部署者地址和代币接收地址进行隔离，存在资金风险</w:t>
      </w:r>
    </w:p>
    <w:p>
      <w:r>
        <w:drawing>
          <wp:inline distT="0" distB="0" distL="114300" distR="114300">
            <wp:extent cx="5269230" cy="4652645"/>
            <wp:effectExtent l="0" t="0" r="762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修改建议，</w:t>
      </w:r>
      <w:r>
        <w:rPr>
          <w:rFonts w:hint="eastAsia"/>
          <w:color w:val="FF0000"/>
          <w:lang w:val="en-US" w:eastAsia="zh-CN"/>
        </w:rPr>
        <w:t>2种方案任选一种</w:t>
      </w:r>
      <w:r>
        <w:rPr>
          <w:rFonts w:hint="eastAsia"/>
          <w:color w:val="FF0000"/>
          <w:lang w:eastAsia="zh-CN"/>
        </w:rPr>
        <w:t>：</w:t>
      </w:r>
      <w:r>
        <w:rPr>
          <w:rFonts w:hint="eastAsia"/>
          <w:color w:val="FF0000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由constructor函数传入代币接收地址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硬编码一个代币接收地址</w:t>
      </w:r>
    </w:p>
    <w:p/>
    <w:p/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合约的权限管理（所有者）默认是合约部署者的地址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没有将合约部署者地址和默认合约管理员地址进行隔离，存在权限风险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4652645"/>
            <wp:effectExtent l="0" t="0" r="762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color w:val="FF0000"/>
          <w:lang w:val="en-US" w:eastAsia="zh-CN"/>
        </w:rPr>
        <w:t>Token的constructor函数传入owner地址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黑洞地址</w:t>
      </w:r>
      <w:r>
        <w:rPr>
          <w:rFonts w:hint="default"/>
          <w:lang w:val="en-US" w:eastAsia="zh-CN"/>
        </w:rPr>
        <w:t>(_black_hole)</w:t>
      </w:r>
      <w:r>
        <w:rPr>
          <w:rFonts w:hint="eastAsia"/>
          <w:lang w:val="en-US" w:eastAsia="zh-CN"/>
        </w:rPr>
        <w:t>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0x0000000000000000000000000000000000000111</w:t>
      </w:r>
      <w:r>
        <w:rPr>
          <w:rFonts w:hint="eastAsia"/>
          <w:lang w:val="en-US" w:eastAsia="zh-CN"/>
        </w:rPr>
        <w:t xml:space="preserve"> 这个地址太常用了，其他项目也会发送BEP20代币到这个地址进行销毁，会影响数据统计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686560"/>
            <wp:effectExtent l="0" t="0" r="1143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修改黑洞地址为一个没有交易记录的黑洞地址，例如：</w:t>
      </w:r>
      <w:r>
        <w:rPr>
          <w:rFonts w:hint="default"/>
          <w:color w:val="FF0000"/>
          <w:lang w:val="en-US" w:eastAsia="zh-CN"/>
        </w:rPr>
        <w:t xml:space="preserve"> 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0x0000000000000000000000000000000055551111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kapai/src/solidity/BToken.sol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84170"/>
            <wp:effectExtent l="0" t="0" r="571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代币接收地址是合约部署者的地址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修改建议，</w:t>
      </w:r>
      <w:r>
        <w:rPr>
          <w:rFonts w:hint="eastAsia"/>
          <w:color w:val="FF0000"/>
          <w:lang w:val="en-US" w:eastAsia="zh-CN"/>
        </w:rPr>
        <w:t>2种方案任选一种</w:t>
      </w:r>
      <w:r>
        <w:rPr>
          <w:rFonts w:hint="eastAsia"/>
          <w:color w:val="FF0000"/>
          <w:lang w:eastAsia="zh-CN"/>
        </w:rPr>
        <w:t>：</w:t>
      </w:r>
      <w:r>
        <w:rPr>
          <w:rFonts w:hint="eastAsia"/>
          <w:color w:val="FF0000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由constructor函数传入代币接收地址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硬编码一个代币接收地址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合约的权限管理（所有者）默认是合约部署者的地址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color w:val="FF0000"/>
          <w:lang w:val="en-US" w:eastAsia="zh-CN"/>
        </w:rPr>
        <w:t>Token的constructor函数传入owner地址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黑洞地址</w:t>
      </w:r>
      <w:r>
        <w:rPr>
          <w:rFonts w:hint="default"/>
          <w:lang w:val="en-US" w:eastAsia="zh-CN"/>
        </w:rPr>
        <w:t>(_black_hole)</w:t>
      </w:r>
      <w:r>
        <w:rPr>
          <w:rFonts w:hint="eastAsia"/>
          <w:lang w:val="en-US" w:eastAsia="zh-CN"/>
        </w:rPr>
        <w:t>地址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修改黑洞地址为一个没有交易记录的黑洞地址，例如：</w:t>
      </w:r>
      <w:r>
        <w:rPr>
          <w:rFonts w:hint="default"/>
          <w:color w:val="FF0000"/>
          <w:lang w:val="en-US" w:eastAsia="zh-CN"/>
        </w:rPr>
        <w:t xml:space="preserve"> 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0x0000000000000000000000000000000055551111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kapai/src/solidity/EPToken.sol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代币接收地址是合约部署者的地址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修改建议，</w:t>
      </w:r>
      <w:r>
        <w:rPr>
          <w:rFonts w:hint="eastAsia"/>
          <w:color w:val="FF0000"/>
          <w:lang w:val="en-US" w:eastAsia="zh-CN"/>
        </w:rPr>
        <w:t>2种方案任选一种</w:t>
      </w:r>
      <w:r>
        <w:rPr>
          <w:rFonts w:hint="eastAsia"/>
          <w:color w:val="FF0000"/>
          <w:lang w:eastAsia="zh-CN"/>
        </w:rPr>
        <w:t>：</w:t>
      </w:r>
      <w:r>
        <w:rPr>
          <w:rFonts w:hint="eastAsia"/>
          <w:color w:val="FF0000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由constructor函数传入代币接收地址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硬编码一个代币接收地址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合约的权限管理（所有者）默认是合约部署者的地址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由</w:t>
      </w:r>
      <w:r>
        <w:rPr>
          <w:rFonts w:hint="eastAsia"/>
          <w:color w:val="FF0000"/>
          <w:lang w:val="en-US" w:eastAsia="zh-CN"/>
        </w:rPr>
        <w:t>Token的constructor函数传入owner地址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kapai/src/solidity/Release.sol</w:t>
      </w:r>
    </w:p>
    <w:p>
      <w:pPr>
        <w:rPr>
          <w:rFonts w:hint="eastAsia"/>
          <w:lang w:val="en-US" w:eastAsia="zh-CN"/>
        </w:rPr>
      </w:pPr>
    </w:p>
    <w:p/>
    <w:p/>
    <w:p/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release</w:t>
      </w:r>
      <w:r>
        <w:rPr>
          <w:rFonts w:hint="eastAsia"/>
          <w:lang w:eastAsia="zh-CN"/>
        </w:rPr>
        <w:t>函数未设置权限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release是公开的，任何人都可以调用</w:t>
      </w:r>
    </w:p>
    <w:p>
      <w:r>
        <w:drawing>
          <wp:inline distT="0" distB="0" distL="114300" distR="114300">
            <wp:extent cx="5271135" cy="2603500"/>
            <wp:effectExtent l="0" t="0" r="571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修改建议：为release加上权限管理</w:t>
      </w:r>
    </w:p>
    <w:p>
      <w:pPr>
        <w:rPr>
          <w:rFonts w:hint="eastAsia"/>
          <w:color w:val="FF000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kapai/src/solidity/RenGou.sol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decimals硬编码为 </w:t>
      </w:r>
      <w:r>
        <w:rPr>
          <w:rFonts w:hint="default"/>
          <w:lang w:val="en-US" w:eastAsia="zh-CN"/>
        </w:rPr>
        <w:t>10^</w:t>
      </w:r>
      <w:r>
        <w:rPr>
          <w:rFonts w:hint="eastAsia"/>
          <w:lang w:val="en-US" w:eastAsia="zh-CN"/>
        </w:rPr>
        <w:t>18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109085"/>
            <wp:effectExtent l="0" t="0" r="7620" b="571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建议：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主网的</w:t>
      </w:r>
      <w:r>
        <w:rPr>
          <w:rFonts w:hint="default"/>
          <w:color w:val="FF0000"/>
          <w:lang w:val="en-US" w:eastAsia="zh-CN"/>
        </w:rPr>
        <w:t>BEP20-USDT</w:t>
      </w:r>
      <w:r>
        <w:rPr>
          <w:rFonts w:hint="eastAsia"/>
          <w:color w:val="FF0000"/>
          <w:lang w:val="en-US" w:eastAsia="zh-CN"/>
        </w:rPr>
        <w:t>的decimals是18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必须使 IOT和ART的decimals硬编码为18,以保持精度一致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Wingdings 3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76B7B6"/>
    <w:multiLevelType w:val="multilevel"/>
    <w:tmpl w:val="EE76B7B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6FBC97AA"/>
    <w:rsid w:val="7ADFDB96"/>
    <w:rsid w:val="7F7FFE9B"/>
    <w:rsid w:val="9CFBD87E"/>
    <w:rsid w:val="FDD9BFCE"/>
    <w:rsid w:val="FE48D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yqq</cp:lastModifiedBy>
  <dcterms:modified xsi:type="dcterms:W3CDTF">2023-07-04T17:38:49Z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</Properties>
</file>