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问题1： （</w:t>
      </w:r>
      <w:r>
        <w:rPr>
          <w:rFonts w:hint="eastAsia"/>
          <w:color w:val="FF0000"/>
          <w:lang w:val="en-US" w:eastAsia="zh-CN"/>
        </w:rPr>
        <w:t>BUG</w:t>
      </w:r>
      <w:r>
        <w:rPr>
          <w:rFonts w:hint="eastAsia"/>
          <w:lang w:val="en-US" w:eastAsia="zh-CN"/>
        </w:rPr>
        <w:t>）充值USDT业务代码硬编码BSC测试网配置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代码路径：</w:t>
      </w:r>
      <w:r>
        <w:rPr>
          <w:rFonts w:hint="eastAsia"/>
        </w:rPr>
        <w:t>dapp/src/views/recharge.vue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65420" cy="4790440"/>
            <wp:effectExtent l="0" t="0" r="1143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79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修改建议：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不应硬编码为测试链，应该根据后端返回的</w:t>
      </w:r>
      <w:r>
        <w:rPr>
          <w:rFonts w:hint="eastAsia"/>
          <w:color w:val="FF0000"/>
          <w:lang w:val="en-US" w:eastAsia="zh-CN"/>
        </w:rPr>
        <w:t>chainId, 切换metamask到相应的链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USDT智能合约地址，应该根据后端的chainId设置为相应网络的合约地址</w:t>
      </w:r>
    </w:p>
    <w:p>
      <w:pPr>
        <w:widowControl w:val="0"/>
        <w:numPr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问题2： （高风险）</w:t>
      </w:r>
      <w:r>
        <w:rPr>
          <w:rFonts w:hint="eastAsia"/>
          <w:color w:val="FF0000"/>
          <w:lang w:val="en-US" w:eastAsia="zh-CN"/>
        </w:rPr>
        <w:t>提币</w:t>
      </w:r>
      <w:r>
        <w:rPr>
          <w:rFonts w:hint="eastAsia"/>
          <w:lang w:val="en-US" w:eastAsia="zh-CN"/>
        </w:rPr>
        <w:t>操作存在资金风险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提币的目的地址（收币地址）是从本地</w:t>
      </w:r>
      <w:r>
        <w:rPr>
          <w:rFonts w:hint="eastAsia"/>
          <w:color w:val="FF0000"/>
          <w:lang w:val="en-US" w:eastAsia="zh-CN"/>
        </w:rPr>
        <w:t>浏览器缓存</w:t>
      </w:r>
      <w:r>
        <w:rPr>
          <w:rFonts w:hint="eastAsia"/>
          <w:lang w:val="en-US" w:eastAsia="zh-CN"/>
        </w:rPr>
        <w:t>中读取， 存在资金风险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代码路径： dapp/src/views/taking.vue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5898515"/>
            <wp:effectExtent l="0" t="0" r="7620" b="698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89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修改建议：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实时获取</w:t>
      </w:r>
      <w:r>
        <w:rPr>
          <w:rFonts w:hint="eastAsia"/>
          <w:color w:val="FF0000"/>
          <w:lang w:val="en-US" w:eastAsia="zh-CN"/>
        </w:rPr>
        <w:t>metamask的地址，不能用缓存中的地址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需要在前端页面显示用户的提币地址，以便用户进行确认操作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后端对签名进行验签时，需要核对进行签名的地址和提币的目的地址是否一致</w:t>
      </w:r>
    </w:p>
    <w:p>
      <w:pPr>
        <w:widowControl w:val="0"/>
        <w:numPr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问题3： 接口响应的AES解密密钥以</w:t>
      </w:r>
      <w:r>
        <w:rPr>
          <w:rFonts w:hint="eastAsia"/>
          <w:color w:val="FF0000"/>
          <w:lang w:val="en-US" w:eastAsia="zh-CN"/>
        </w:rPr>
        <w:t>明文</w:t>
      </w:r>
      <w:r>
        <w:rPr>
          <w:rFonts w:hint="eastAsia"/>
          <w:lang w:val="en-US" w:eastAsia="zh-CN"/>
        </w:rPr>
        <w:t>格式写在代码里面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代码路径：dapp/src/utils/aes.js</w:t>
      </w:r>
    </w:p>
    <w:p>
      <w:pPr>
        <w:widowControl w:val="0"/>
        <w:numPr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drawing>
          <wp:inline distT="0" distB="0" distL="114300" distR="114300">
            <wp:extent cx="5272405" cy="4472940"/>
            <wp:effectExtent l="0" t="0" r="4445" b="381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修改建议：</w:t>
      </w:r>
    </w:p>
    <w:p>
      <w:pPr>
        <w:widowControl w:val="0"/>
        <w:numPr>
          <w:ilvl w:val="0"/>
          <w:numId w:val="1"/>
        </w:numPr>
        <w:ind w:left="420" w:leftChars="0" w:hanging="420" w:firstLine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前后端应该进行</w:t>
      </w:r>
      <w:r>
        <w:rPr>
          <w:rFonts w:hint="eastAsia"/>
          <w:b/>
          <w:bCs/>
          <w:color w:val="FF0000"/>
          <w:lang w:val="en-US" w:eastAsia="zh-CN"/>
        </w:rPr>
        <w:t>密钥协商</w:t>
      </w:r>
      <w:r>
        <w:rPr>
          <w:rFonts w:hint="eastAsia"/>
          <w:color w:val="FF0000"/>
          <w:lang w:val="en-US" w:eastAsia="zh-CN"/>
        </w:rPr>
        <w:t>：使用非对称加解密技术，例如RSA， 前端的密钥（私钥和公钥）应该临时随机生成，并将</w:t>
      </w:r>
      <w:r>
        <w:rPr>
          <w:rFonts w:hint="eastAsia"/>
          <w:b/>
          <w:bCs/>
          <w:color w:val="FF0000"/>
          <w:lang w:val="en-US" w:eastAsia="zh-CN"/>
        </w:rPr>
        <w:t>公钥</w:t>
      </w:r>
      <w:r>
        <w:rPr>
          <w:rFonts w:hint="eastAsia"/>
          <w:color w:val="FF0000"/>
          <w:lang w:val="en-US" w:eastAsia="zh-CN"/>
        </w:rPr>
        <w:t>传给后端，后端应该将前端的token和公钥进行一一对应，并设置</w:t>
      </w:r>
      <w:r>
        <w:rPr>
          <w:rFonts w:hint="eastAsia"/>
          <w:b/>
          <w:bCs/>
          <w:color w:val="FF0000"/>
          <w:lang w:val="en-US" w:eastAsia="zh-CN"/>
        </w:rPr>
        <w:t>一致的</w:t>
      </w:r>
      <w:r>
        <w:rPr>
          <w:rFonts w:hint="eastAsia"/>
          <w:color w:val="FF0000"/>
          <w:lang w:val="en-US" w:eastAsia="zh-CN"/>
        </w:rPr>
        <w:t>过期时间</w:t>
      </w:r>
    </w:p>
    <w:p>
      <w:pPr>
        <w:widowControl w:val="0"/>
        <w:numPr>
          <w:ilvl w:val="0"/>
          <w:numId w:val="1"/>
        </w:numPr>
        <w:ind w:left="420" w:leftChars="0" w:hanging="420" w:firstLine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使用非对称加密解密， 后端使用前端的</w:t>
      </w:r>
      <w:r>
        <w:rPr>
          <w:rFonts w:hint="eastAsia"/>
          <w:b/>
          <w:bCs/>
          <w:color w:val="FF0000"/>
          <w:lang w:val="en-US" w:eastAsia="zh-CN"/>
        </w:rPr>
        <w:t>公钥</w:t>
      </w:r>
      <w:r>
        <w:rPr>
          <w:rFonts w:hint="eastAsia"/>
          <w:color w:val="FF0000"/>
          <w:lang w:val="en-US" w:eastAsia="zh-CN"/>
        </w:rPr>
        <w:t>对数据进行加密，前端使用自己的</w:t>
      </w:r>
      <w:r>
        <w:rPr>
          <w:rFonts w:hint="eastAsia"/>
          <w:b/>
          <w:bCs/>
          <w:color w:val="FF0000"/>
          <w:lang w:val="en-US" w:eastAsia="zh-CN"/>
        </w:rPr>
        <w:t>私钥</w:t>
      </w:r>
      <w:r>
        <w:rPr>
          <w:rFonts w:hint="eastAsia"/>
          <w:color w:val="FF0000"/>
          <w:lang w:val="en-US" w:eastAsia="zh-CN"/>
        </w:rPr>
        <w:t>进行解密</w:t>
      </w:r>
    </w:p>
    <w:p>
      <w:pPr>
        <w:widowControl w:val="0"/>
        <w:numPr>
          <w:numId w:val="0"/>
        </w:numPr>
        <w:jc w:val="both"/>
        <w:rPr>
          <w:rFonts w:hint="default"/>
          <w:color w:val="FF000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drawing>
          <wp:inline distT="0" distB="0" distL="114300" distR="114300">
            <wp:extent cx="5274310" cy="5177790"/>
            <wp:effectExtent l="0" t="0" r="2540" b="381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color w:val="FF000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color w:val="FF000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color w:val="FF0000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问题4： 包含无关代码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下图部分代码，没有找到对应的后端接口实现，疑似其他项目遗留下来的代码，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3838575"/>
            <wp:effectExtent l="0" t="0" r="7620" b="952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修改建议：</w:t>
      </w:r>
    </w:p>
    <w:p>
      <w:pPr>
        <w:widowControl w:val="0"/>
        <w:numPr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删掉无关代码</w:t>
      </w:r>
    </w:p>
    <w:p>
      <w:pPr>
        <w:widowControl w:val="0"/>
        <w:numPr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问题5： approve授权函数存在资金风险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代码路径：dapp/src/dapp/dapp.js</w:t>
      </w:r>
    </w:p>
    <w:p>
      <w:pPr>
        <w:widowControl w:val="0"/>
        <w:numPr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目前是将地址中所有的代币，一次性全部授权spender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0500" cy="2426970"/>
            <wp:effectExtent l="0" t="0" r="6350" b="1143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drawing>
          <wp:inline distT="0" distB="0" distL="114300" distR="114300">
            <wp:extent cx="5272405" cy="1483995"/>
            <wp:effectExtent l="0" t="0" r="4445" b="190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修改建议：</w:t>
      </w:r>
    </w:p>
    <w:p>
      <w:pPr>
        <w:widowControl w:val="0"/>
        <w:numPr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根据dapp的实际需要的金额，进行</w:t>
      </w:r>
      <w:r>
        <w:rPr>
          <w:rFonts w:hint="eastAsia"/>
          <w:b/>
          <w:bCs/>
          <w:color w:val="FF0000"/>
          <w:lang w:val="en-US" w:eastAsia="zh-CN"/>
        </w:rPr>
        <w:t>有限数量</w:t>
      </w:r>
      <w:r>
        <w:rPr>
          <w:rFonts w:hint="eastAsia"/>
          <w:color w:val="FF0000"/>
          <w:lang w:val="en-US" w:eastAsia="zh-CN"/>
        </w:rPr>
        <w:t>的授权，而不是</w:t>
      </w:r>
      <w:r>
        <w:rPr>
          <w:rFonts w:hint="eastAsia"/>
          <w:b/>
          <w:bCs/>
          <w:color w:val="FF0000"/>
          <w:lang w:val="en-US" w:eastAsia="zh-CN"/>
        </w:rPr>
        <w:t>无限制数量</w:t>
      </w:r>
      <w:r>
        <w:rPr>
          <w:rFonts w:hint="eastAsia"/>
          <w:color w:val="FF0000"/>
          <w:lang w:val="en-US" w:eastAsia="zh-CN"/>
        </w:rPr>
        <w:t>的授权，降低用户的</w:t>
      </w:r>
      <w:r>
        <w:rPr>
          <w:rFonts w:hint="eastAsia"/>
          <w:b/>
          <w:bCs/>
          <w:color w:val="FF0000"/>
          <w:lang w:val="en-US" w:eastAsia="zh-CN"/>
        </w:rPr>
        <w:t>资金风险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Wingdings 3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微软雅黑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Wingdings 3">
    <w:panose1 w:val="050401020108070707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FBE467B"/>
    <w:multiLevelType w:val="singleLevel"/>
    <w:tmpl w:val="4FBE467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23DE7EDB"/>
    <w:rsid w:val="3BBBD1D5"/>
    <w:rsid w:val="4A1947CF"/>
    <w:rsid w:val="4F9FF473"/>
    <w:rsid w:val="4FE1B3CD"/>
    <w:rsid w:val="59CFA613"/>
    <w:rsid w:val="5BF76998"/>
    <w:rsid w:val="5DDD7FE1"/>
    <w:rsid w:val="6BFFA32A"/>
    <w:rsid w:val="6FCB6029"/>
    <w:rsid w:val="6FF983A3"/>
    <w:rsid w:val="77FDBB1A"/>
    <w:rsid w:val="7EFF7718"/>
    <w:rsid w:val="BFE7AFCC"/>
    <w:rsid w:val="DD7F4255"/>
    <w:rsid w:val="DDFD4941"/>
    <w:rsid w:val="EFD637A7"/>
    <w:rsid w:val="F1FF979B"/>
    <w:rsid w:val="F7BF500A"/>
    <w:rsid w:val="F7E7E728"/>
    <w:rsid w:val="FDF5786D"/>
    <w:rsid w:val="FEFEAFAC"/>
    <w:rsid w:val="FFDBFDB1"/>
    <w:rsid w:val="FFFF2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82</TotalTime>
  <ScaleCrop>false</ScaleCrop>
  <LinksUpToDate>false</LinksUpToDate>
  <CharactersWithSpaces>0</CharactersWithSpaces>
  <Application>WPS Office_11.1.0.11698_F1E327BC-269C-435d-A152-05C5408002CA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2018-07-11T23:11:00Z</dcterms:created>
  <dc:creator>d</dc:creator>
  <cp:lastModifiedBy>yqq</cp:lastModifiedBy>
  <dcterms:modified xsi:type="dcterms:W3CDTF">2023-07-05T15:47:56Z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2052-11.1.0.11698</vt:lpwstr>
  </property>
</Properties>
</file>