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dequad-risk-register"/>
    <w:p>
      <w:pPr>
        <w:pStyle w:val="Heading1"/>
      </w:pPr>
      <w:r>
        <w:t xml:space="preserve">DEQUAD — Risk Register</w:t>
      </w:r>
    </w:p>
    <w:bookmarkStart w:id="9"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9"/>
    <w:bookmarkStart w:id="10"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01"/>
        </w:numPr>
      </w:pPr>
      <w:r>
        <w:rPr>
          <w:b/>
          <w:bCs/>
        </w:rPr>
        <w:t xml:space="preserve">🔴 16–25</w:t>
      </w:r>
      <w:r>
        <w:t xml:space="preserve"> </w:t>
      </w:r>
      <w:r>
        <w:t xml:space="preserve">— actively managed each week; board-visible.</w:t>
      </w:r>
    </w:p>
    <w:p>
      <w:pPr>
        <w:pStyle w:val="Compact"/>
        <w:numPr>
          <w:ilvl w:val="0"/>
          <w:numId w:val="1001"/>
        </w:numPr>
      </w:pPr>
      <w:r>
        <w:rPr>
          <w:b/>
          <w:bCs/>
        </w:rPr>
        <w:t xml:space="preserve">🟠 9–15</w:t>
      </w:r>
      <w:r>
        <w:t xml:space="preserve"> </w:t>
      </w:r>
      <w:r>
        <w:t xml:space="preserve">— actively managed each month.</w:t>
      </w:r>
    </w:p>
    <w:p>
      <w:pPr>
        <w:pStyle w:val="Compact"/>
        <w:numPr>
          <w:ilvl w:val="0"/>
          <w:numId w:val="1001"/>
        </w:numPr>
      </w:pPr>
      <w:r>
        <w:rPr>
          <w:b/>
          <w:bCs/>
        </w:rPr>
        <w:t xml:space="preserve">🟡 4–8</w:t>
      </w:r>
      <w:r>
        <w:t xml:space="preserve"> </w:t>
      </w:r>
      <w:r>
        <w:t xml:space="preserve">— managed quarterly.</w:t>
      </w:r>
    </w:p>
    <w:p>
      <w:pPr>
        <w:pStyle w:val="Compact"/>
        <w:numPr>
          <w:ilvl w:val="0"/>
          <w:numId w:val="1001"/>
        </w:numPr>
      </w:pPr>
      <w:r>
        <w:rPr>
          <w:b/>
          <w:bCs/>
        </w:rPr>
        <w:t xml:space="preserve">🟢 1–3</w:t>
      </w:r>
      <w:r>
        <w:t xml:space="preserve"> </w:t>
      </w:r>
      <w:r>
        <w:t xml:space="preserve">— accepted; reviewed annually.</w:t>
      </w:r>
    </w:p>
    <w:p>
      <w:r>
        <w:pict>
          <v:rect style="width:0;height:1.5pt" o:hralign="center" o:hrstd="t" o:hr="t"/>
        </w:pict>
      </w:r>
    </w:p>
    <w:bookmarkEnd w:id="10"/>
    <w:bookmarkStart w:id="11"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11"/>
    <w:bookmarkStart w:id="12"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12"/>
    <w:bookmarkStart w:id="13"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02"/>
        </w:numPr>
      </w:pPr>
      <w:r>
        <w:rPr>
          <w:b/>
          <w:bCs/>
        </w:rPr>
        <w:t xml:space="preserve">R-A1</w:t>
      </w:r>
      <w:r>
        <w:t xml:space="preserve"> </w:t>
      </w:r>
      <w:r>
        <w:t xml:space="preserve">Foreign-exchange exposure on USD-denominated cloud bills — accepted: &lt; 10% of COGS.</w:t>
      </w:r>
    </w:p>
    <w:p>
      <w:pPr>
        <w:pStyle w:val="Compact"/>
        <w:numPr>
          <w:ilvl w:val="0"/>
          <w:numId w:val="1002"/>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02"/>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3"/>
    <w:bookmarkStart w:id="14" w:name="governance"/>
    <w:p>
      <w:pPr>
        <w:pStyle w:val="Heading2"/>
      </w:pPr>
      <w:r>
        <w:t xml:space="preserve">Governance</w:t>
      </w:r>
    </w:p>
    <w:p>
      <w:pPr>
        <w:pStyle w:val="Compact"/>
        <w:numPr>
          <w:ilvl w:val="0"/>
          <w:numId w:val="1003"/>
        </w:numPr>
      </w:pPr>
      <w:r>
        <w:rPr>
          <w:b/>
          <w:bCs/>
        </w:rPr>
        <w:t xml:space="preserve">Monthly:</w:t>
      </w:r>
      <w:r>
        <w:t xml:space="preserve"> </w:t>
      </w:r>
      <w:r>
        <w:t xml:space="preserve">Founders review the full register; update RAG scores; surface new risks; close mitigated risks.</w:t>
      </w:r>
    </w:p>
    <w:p>
      <w:pPr>
        <w:pStyle w:val="Compact"/>
        <w:numPr>
          <w:ilvl w:val="0"/>
          <w:numId w:val="1003"/>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03"/>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2026-08-19T18:29:17Z</dcterms:created>
  <dcterms:modified xsi:type="dcterms:W3CDTF">2026-08-19T18:29:17Z</dcterms:modified>
</cp:coreProperties>
</file>

<file path=docProps/custom.xml><?xml version="1.0" encoding="utf-8"?>
<Properties xmlns="http://schemas.openxmlformats.org/officeDocument/2006/custom-properties" xmlns:vt="http://schemas.openxmlformats.org/officeDocument/2006/docPropsVTypes"/>
</file>