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Lead applicant</w:t>
            </w:r>
          </w:p>
        </w:tc>
        <w:tc>
          <w:tcPr/>
          <w:p>
            <w:pPr>
              <w:pStyle w:val="Compact"/>
              <w:jc w:val="left"/>
            </w:pPr>
            <w:r>
              <w:t xml:space="preserve">Yusuf Quadri — Founder &amp; Chief Executive Officer</w:t>
            </w:r>
          </w:p>
        </w:tc>
      </w:tr>
      <w:tr>
        <w:tc>
          <w:tcPr/>
          <w:p>
            <w:pPr>
              <w:pStyle w:val="Compact"/>
              <w:jc w:val="left"/>
            </w:pPr>
            <w:r>
              <w:rPr>
                <w:bCs/>
                <w:b/>
              </w:rPr>
              <w:t xml:space="preserve">Co-founder</w:t>
            </w:r>
          </w:p>
        </w:tc>
        <w:tc>
          <w:tcPr/>
          <w:p>
            <w:pPr>
              <w:pStyle w:val="Compact"/>
              <w:jc w:val="left"/>
            </w:pPr>
            <w:r>
              <w:t xml:space="preserve">Yusuff Adeagbo — Co-founder &amp; Chief Technology Officer</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t xml:space="preserve">Live in production at</w:t>
            </w:r>
            <w:r>
              <w:t xml:space="preserve"> </w:t>
            </w:r>
            <w:r>
              <w:rPr>
                <w:bCs/>
                <w:b/>
              </w:rPr>
              <w:t xml:space="preserve">dequad.co.uk</w:t>
            </w:r>
            <w:r>
              <w:t xml:space="preserve"> </w:t>
            </w:r>
            <w:r>
              <w:t xml:space="preserve">(web), Android and iOS</w:t>
            </w:r>
          </w:p>
        </w:tc>
      </w:tr>
      <w:tr>
        <w:tc>
          <w:tcPr/>
          <w:p>
            <w:pPr>
              <w:pStyle w:val="Compact"/>
              <w:jc w:val="left"/>
            </w:pPr>
            <w:r>
              <w:rPr>
                <w:bCs/>
                <w:b/>
              </w:rPr>
              <w:t xml:space="preserve">Funding</w:t>
            </w:r>
          </w:p>
        </w:tc>
        <w:tc>
          <w:tcPr/>
          <w:p>
            <w:pPr>
              <w:pStyle w:val="Compact"/>
              <w:jc w:val="left"/>
            </w:pPr>
            <w:r>
              <w:t xml:space="preserve">£14,000 total: £3,000 founders’ capital, £3,000 friends &amp; family equity, £8,000 strategic equity from a Nigerian company</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The CTO,</w:t>
      </w:r>
      <w:r>
        <w:t xml:space="preserve"> </w:t>
      </w:r>
      <w:r>
        <w:rPr>
          <w:bCs/>
          <w:b/>
        </w:rPr>
        <w:t xml:space="preserve">Yusuff Adeagbo</w:t>
      </w:r>
      <w:r>
        <w:t xml:space="preserve"> </w:t>
      </w:r>
      <w:r>
        <w:t xml:space="preserve">(MSc IT with Project Management), leads engineering. Three senior specialists are contributing on equity-only terms: a PhD digital marketer (CMO), a senior full-stack engineer,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Built and live.</w:t>
            </w:r>
            <w:r>
              <w:t xml:space="preserve"> </w:t>
            </w:r>
            <w:r>
              <w:t xml:space="preserve">Web, Android and iOS.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Funding of £14,000 committed: £3,000 founders’ capital, £3,000 from friends and family, and £8,000 from a Nigerian company investor.</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£3,000 from the founders, £3,000 from friends and family, and £8,000 from a strategic investor, a Nigerian company. Together with the in-kind support of the NatWest Accelerator and revenue earned along the way, this funds every month of the forecast. No loans, grants, tax credits or further investment are assumed. Cash stays positive in every one of the 36 months. The lowest month-end balance is £2,407 (Sep-26).</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(£5,070)</w:t>
            </w:r>
          </w:p>
        </w:tc>
        <w:tc>
          <w:tcPr/>
          <w:p>
            <w:pPr>
              <w:pStyle w:val="Compact"/>
              <w:jc w:val="right"/>
            </w:pPr>
            <w:r>
              <w:t xml:space="preserve">£8,635</w:t>
            </w:r>
          </w:p>
        </w:tc>
        <w:tc>
          <w:tcPr/>
          <w:p>
            <w:pPr>
              <w:pStyle w:val="Compact"/>
              <w:jc w:val="right"/>
            </w:pPr>
            <w:r>
              <w:t xml:space="preserve">£3,194</w:t>
            </w:r>
          </w:p>
        </w:tc>
      </w:tr>
      <w:tr>
        <w:tc>
          <w:tcPr/>
          <w:p>
            <w:pPr>
              <w:pStyle w:val="Compact"/>
              <w:jc w:val="left"/>
            </w:pPr>
            <w:r>
              <w:t xml:space="preserve">Closing cash</w:t>
            </w:r>
          </w:p>
        </w:tc>
        <w:tc>
          <w:tcPr/>
          <w:p>
            <w:pPr>
              <w:pStyle w:val="Compact"/>
              <w:jc w:val="right"/>
            </w:pPr>
            <w:r>
              <w:t xml:space="preserve">£8,480</w:t>
            </w:r>
          </w:p>
        </w:tc>
        <w:tc>
          <w:tcPr/>
          <w:p>
            <w:pPr>
              <w:pStyle w:val="Compact"/>
              <w:jc w:val="right"/>
            </w:pPr>
            <w:r>
              <w:t xml:space="preserve">£18,926</w:t>
            </w:r>
          </w:p>
        </w:tc>
        <w:tc>
          <w:tcPr/>
          <w:p>
            <w:pPr>
              <w:pStyle w:val="Compact"/>
              <w:jc w:val="right"/>
            </w:pPr>
            <w:r>
              <w:t xml:space="preserve">£27,839</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2 / 2.00 (founders unpaid)</w:t>
            </w:r>
          </w:p>
        </w:tc>
        <w:tc>
          <w:tcPr/>
          <w:p>
            <w:pPr>
              <w:pStyle w:val="Compact"/>
              <w:jc w:val="right"/>
            </w:pPr>
            <w:r>
              <w:t xml:space="preserve">2 / 2.00 (founders unpaid)</w:t>
            </w:r>
          </w:p>
        </w:tc>
        <w:tc>
          <w:tcPr/>
          <w:p>
            <w:pPr>
              <w:pStyle w:val="Compact"/>
              <w:jc w:val="right"/>
            </w:pPr>
            <w:r>
              <w:t xml:space="preserve">3 / 2.25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three full-time UK jobs at £25,000 a year plus a part-time safeguarding role</w:t>
      </w:r>
      <w:r>
        <w:t xml:space="preserve">, pays both founders, and still ends Year 3 with £39,618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a single codebase serving web (dequad.co.uk), Android and iOS (Expo / React Native), backed by a Python FastAPI service and MongoDB.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6"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The product is live on web, Android and iOS, with billing, safeguarding and university tooling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founders who take no pay in Years 1–2 mean the £14,000 of equity funding is more than enough to reach the first institutional revenue, with a cash reserve to spare.</w:t>
      </w:r>
    </w:p>
    <w:p>
      <w:pPr>
        <w:numPr>
          <w:ilvl w:val="0"/>
          <w:numId w:val="1004"/>
        </w:numPr>
        <w:pStyle w:val="Compact"/>
      </w:pPr>
      <w:r>
        <w:rPr>
          <w:bCs/>
          <w:b/>
        </w:rPr>
        <w:t xml:space="preserve">Viability does not depend on a single deal.</w:t>
      </w:r>
      <w:r>
        <w:t xml:space="preserve"> </w:t>
      </w:r>
      <w:r>
        <w:t xml:space="preserve">Section 12.3 shows that even if</w:t>
      </w:r>
      <w:r>
        <w:t xml:space="preserve"> </w:t>
      </w:r>
      <w:r>
        <w:rPr>
          <w:bCs/>
          <w:b/>
        </w:rPr>
        <w:t xml:space="preserve">no university licence is ever signed</w:t>
      </w:r>
      <w:r>
        <w:t xml:space="preserve">, the company stays solvent for all three years on Premium and Starter revenue, with costs held at Year 1 levels (Year 3 revenue £12,744; closing cash £13,178). Founders’ pay and the first hire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founders are committed, and others are backing them.</w:t>
      </w:r>
      <w:r>
        <w:t xml:space="preserve"> </w:t>
      </w:r>
      <w:r>
        <w:t xml:space="preserve">The founders have put £3,000 of their own money into the company and signed commitment undertakings (Appendix C). Friends and family (£3,000) and a Nigerian company (£8,000) have also chosen to invest.</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one part-time role.</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2 unpaid founders to a paid team of 3 (2.25 FTE) by the end of Year 3. The growth case reaches</w:t>
      </w:r>
      <w:r>
        <w:t xml:space="preserve"> </w:t>
      </w:r>
      <w:r>
        <w:rPr>
          <w:bCs/>
          <w:b/>
        </w:rPr>
        <w:t xml:space="preserve">6 people</w:t>
      </w:r>
      <w:r>
        <w:t xml:space="preserve">: both founders paid, three full-time hires at £25,000 a year, and a part-time Safeguarding &amp; Trust Lead. All of these roles are UK-based and funded from revenue.</w:t>
      </w:r>
    </w:p>
    <w:p>
      <w:r>
        <w:pict>
          <v:rect style="width:0;height:1.5pt" o:hralign="center" o:hrstd="t" o:hr="t"/>
        </w:pict>
      </w:r>
    </w:p>
    <w:bookmarkEnd w:id="35"/>
    <w:bookmarkEnd w:id="36"/>
    <w:bookmarkStart w:id="39"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founders without pay. No SME R&amp;D tax relief is assumed in the forecasts; the company will review eligibility with its accountant once qualifying PAYE costs exist (from Year 3).</w:t>
      </w:r>
    </w:p>
    <w:bookmarkStart w:id="37"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7"/>
    <w:bookmarkStart w:id="38"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8"/>
    <w:bookmarkEnd w:id="39"/>
    <w:bookmarkStart w:id="44" w:name="market-analysis"/>
    <w:p>
      <w:pPr>
        <w:pStyle w:val="Heading2"/>
      </w:pPr>
      <w:r>
        <w:t xml:space="preserve">5. Market Analysis</w:t>
      </w:r>
    </w:p>
    <w:bookmarkStart w:id="40"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0"/>
    <w:bookmarkStart w:id="41"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1"/>
    <w:bookmarkStart w:id="42"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2"/>
    <w:bookmarkStart w:id="43" w:name="customer-research"/>
    <w:p>
      <w:pPr>
        <w:pStyle w:val="Heading3"/>
      </w:pPr>
      <w:r>
        <w:t xml:space="preserve">5.4 Customer research</w:t>
      </w:r>
    </w:p>
    <w:p>
      <w:pPr>
        <w:pStyle w:val="FirstParagraph"/>
      </w:pPr>
      <w:r>
        <w:t xml:space="preserve">The founders have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Notes and survey records are kept on file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p>
      <w:r>
        <w:pict>
          <v:rect style="width:0;height:1.5pt" o:hralign="center" o:hrstd="t" o:hr="t"/>
        </w:pict>
      </w:r>
    </w:p>
    <w:bookmarkEnd w:id="43"/>
    <w:bookmarkEnd w:id="44"/>
    <w:bookmarkStart w:id="48"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5"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5"/>
    <w:bookmarkStart w:id="46"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6"/>
    <w:bookmarkStart w:id="47"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7"/>
    <w:bookmarkEnd w:id="48"/>
    <w:bookmarkStart w:id="53" w:name="staff-profile-and-recruitment-strategy"/>
    <w:p>
      <w:pPr>
        <w:pStyle w:val="Heading2"/>
      </w:pPr>
      <w:r>
        <w:t xml:space="preserve">7. Staff Profile and Recruitment Strategy</w:t>
      </w:r>
    </w:p>
    <w:bookmarkStart w:id="49" w:name="founders"/>
    <w:p>
      <w:pPr>
        <w:pStyle w:val="Heading3"/>
      </w:pPr>
      <w:r>
        <w:t xml:space="preserve">7.1 Founders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w:t>
            </w:r>
          </w:p>
        </w:tc>
        <w:tc>
          <w:tcPr/>
          <w:p>
            <w:pPr>
              <w:pStyle w:val="Compact"/>
              <w:jc w:val="left"/>
            </w:pPr>
            <w:r>
              <w:t xml:space="preserve">Strategy, university sales and partnerships, safeguarding policy and review, product direction, finance, compliance</w:t>
            </w:r>
          </w:p>
        </w:tc>
      </w:tr>
      <w:tr>
        <w:tc>
          <w:tcPr/>
          <w:p>
            <w:pPr>
              <w:pStyle w:val="Compact"/>
              <w:jc w:val="left"/>
            </w:pPr>
            <w:r>
              <w:rPr>
                <w:bCs/>
                <w:b/>
              </w:rPr>
              <w:t xml:space="preserve">Co-founder &amp; CTO</w:t>
            </w:r>
          </w:p>
        </w:tc>
        <w:tc>
          <w:tcPr/>
          <w:p>
            <w:pPr>
              <w:pStyle w:val="Compact"/>
              <w:jc w:val="left"/>
            </w:pPr>
            <w:r>
              <w:rPr>
                <w:bCs/>
                <w:b/>
              </w:rPr>
              <w:t xml:space="preserve">Yusuff Adeagbo</w:t>
            </w:r>
          </w:p>
        </w:tc>
        <w:tc>
          <w:tcPr/>
          <w:p>
            <w:pPr>
              <w:pStyle w:val="Compact"/>
              <w:jc w:val="left"/>
            </w:pPr>
            <w:r>
              <w:t xml:space="preserve">MSc Information Technology with Project Management (University of the West of Scotland); HND Computer Science; full-stack development, UI/UX, IT business analysis</w:t>
            </w:r>
          </w:p>
        </w:tc>
        <w:tc>
          <w:tcPr/>
          <w:p>
            <w:pPr>
              <w:pStyle w:val="Compact"/>
              <w:jc w:val="left"/>
            </w:pPr>
            <w:r>
              <w:t xml:space="preserve">Engineering, infrastructure, security, data protection by design, app-store releases, R&amp;D roadmap</w:t>
            </w:r>
          </w:p>
        </w:tc>
      </w:tr>
    </w:tbl>
    <w:p>
      <w:pPr>
        <w:pStyle w:val="BodyText"/>
      </w:pPr>
      <w:r>
        <w:rPr>
          <w:bCs/>
          <w:b/>
        </w:rPr>
        <w:t xml:space="preserve">How the founders support themselves.</w:t>
      </w:r>
      <w:r>
        <w:t xml:space="preserve"> </w:t>
      </w:r>
      <w:r>
        <w:t xml:space="preserve">Neither founder draws a salary in Years 1–2. Both meet their personal living costs from existing professional income and savings until DEQUAD can pay them (from Year 3 in the base case). DEQUAD is their main business focus and the reason for this application. Founder pay is the first cost to grow as revenue grows (Section 18).</w:t>
      </w:r>
    </w:p>
    <w:bookmarkEnd w:id="49"/>
    <w:bookmarkStart w:id="50"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any scenario in this plan. CVs are at Appendix N.</w:t>
      </w:r>
    </w:p>
    <w:bookmarkEnd w:id="50"/>
    <w:bookmarkStart w:id="51"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Founders (CEO and CTO)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each (base); £20,000 each (growth)</w:t>
            </w:r>
          </w:p>
        </w:tc>
        <w:tc>
          <w:tcPr/>
          <w:p>
            <w:pPr>
              <w:pStyle w:val="Compact"/>
              <w:jc w:val="left"/>
            </w:pPr>
            <w:r>
              <w:t xml:space="preserve">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founders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1"/>
    <w:bookmarkStart w:id="52"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2"/>
    <w:bookmarkEnd w:id="53"/>
    <w:bookmarkStart w:id="59" w:name="marketing-and-sales-strategy"/>
    <w:p>
      <w:pPr>
        <w:pStyle w:val="Heading2"/>
      </w:pPr>
      <w:r>
        <w:t xml:space="preserve">8. Marketing and Sales Strategy</w:t>
      </w:r>
    </w:p>
    <w:bookmarkStart w:id="54"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4"/>
    <w:bookmarkStart w:id="55"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5"/>
    <w:bookmarkStart w:id="56"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6"/>
    <w:bookmarkStart w:id="57"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7"/>
    <w:bookmarkStart w:id="58"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58"/>
    <w:bookmarkEnd w:id="59"/>
    <w:bookmarkStart w:id="61"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Live, full-featured product on web, Android and iOS, so build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Two-founder core team, so key-person risk until Year 3</w:t>
            </w:r>
          </w:p>
        </w:tc>
      </w:tr>
      <w:tr>
        <w:tc>
          <w:tcPr/>
          <w:p>
            <w:pPr>
              <w:pStyle w:val="Compact"/>
              <w:jc w:val="left"/>
            </w:pPr>
            <w:r>
              <w:t xml:space="preserve">Freemium model with a self-serve paid entry tier, already live in billing</w:t>
            </w:r>
          </w:p>
        </w:tc>
        <w:tc>
          <w:tcPr/>
          <w:p>
            <w:pPr>
              <w:pStyle w:val="Compact"/>
              <w:jc w:val="left"/>
            </w:pPr>
            <w:r>
              <w:t xml:space="preserve">Founders are unpaid in Years 1–2 and have other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0"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Move fast on the university relationships and longitudinal data that cannot be copied; position DEQUAD as complementary to clinical incumbents</w:t>
            </w:r>
          </w:p>
        </w:tc>
      </w:tr>
      <w:tr>
        <w:tc>
          <w:tcPr/>
          <w:p>
            <w:pPr>
              <w:pStyle w:val="Compact"/>
              <w:jc w:val="left"/>
            </w:pPr>
            <w:r>
              <w:t xml:space="preserve">Founder capacity</w:t>
            </w:r>
          </w:p>
        </w:tc>
        <w:tc>
          <w:tcPr/>
          <w:p>
            <w:pPr>
              <w:pStyle w:val="Compact"/>
              <w:jc w:val="left"/>
            </w:pPr>
            <w:r>
              <w:t xml:space="preserve">Founder pay starts in Year 3; the first hire takes over safeguarding review; the wider team adds equity-only capacity</w:t>
            </w:r>
          </w:p>
        </w:tc>
      </w:tr>
    </w:tbl>
    <w:p>
      <w:pPr>
        <w:pStyle w:val="BodyText"/>
      </w:pPr>
      <w:r>
        <w:t xml:space="preserve">The full scored risk register is at Appendix L.</w:t>
      </w:r>
    </w:p>
    <w:p>
      <w:r>
        <w:pict>
          <v:rect style="width:0;height:1.5pt" o:hralign="center" o:hrstd="t" o:hr="t"/>
        </w:pict>
      </w:r>
    </w:p>
    <w:bookmarkEnd w:id="60"/>
    <w:bookmarkEnd w:id="61"/>
    <w:bookmarkStart w:id="67" w:name="X332637ab1f725c36169749d50eae89fbbdc6f6c"/>
    <w:p>
      <w:pPr>
        <w:pStyle w:val="Heading2"/>
      </w:pPr>
      <w:r>
        <w:t xml:space="preserve">10. Investment Strategy and Funding Requirement</w:t>
      </w:r>
    </w:p>
    <w:bookmarkStart w:id="62"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 and Yusuff Adeagbo)</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the company account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October 2026</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t xml:space="preserve">November 2026</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The founders will keep a majority of the company.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2"/>
    <w:bookmarkStart w:id="63"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t xml:space="preserve">Platform running costs (hosting, AI inference, email/push, payment fees)</w:t>
            </w:r>
          </w:p>
        </w:tc>
        <w:tc>
          <w:tcPr/>
          <w:p>
            <w:pPr>
              <w:pStyle w:val="Compact"/>
              <w:jc w:val="right"/>
            </w:pPr>
            <w:r>
              <w:t xml:space="preserve">c.£900</w:t>
            </w:r>
          </w:p>
        </w:tc>
        <w:tc>
          <w:tcPr/>
          <w:p>
            <w:pPr>
              <w:pStyle w:val="Compact"/>
              <w:jc w:val="left"/>
            </w:pPr>
            <w:r>
              <w:t xml:space="preserve">Founders’ capital</w:t>
            </w:r>
          </w:p>
        </w:tc>
      </w:tr>
      <w:tr>
        <w:tc>
          <w:tcPr/>
          <w:p>
            <w:pPr>
              <w:pStyle w:val="Compact"/>
              <w:jc w:val="left"/>
            </w:pPr>
            <w:r>
              <w:t xml:space="preserve">Insurance, ICO registration, Cyber Essentials, UK trademark (3 classes), developer accounts, travel, office and bank</w:t>
            </w:r>
          </w:p>
        </w:tc>
        <w:tc>
          <w:tcPr/>
          <w:p>
            <w:pPr>
              <w:pStyle w:val="Compact"/>
              <w:jc w:val="right"/>
            </w:pPr>
            <w:r>
              <w:t xml:space="preserve">c.£2,600</w:t>
            </w:r>
          </w:p>
        </w:tc>
        <w:tc>
          <w:tcPr/>
          <w:p>
            <w:pPr>
              <w:pStyle w:val="Compact"/>
              <w:jc w:val="left"/>
            </w:pPr>
            <w:r>
              <w:t xml:space="preserve">Founders’ capital and friends &amp; family</w:t>
            </w:r>
          </w:p>
        </w:tc>
      </w:tr>
      <w:tr>
        <w:tc>
          <w:tcPr/>
          <w:p>
            <w:pPr>
              <w:pStyle w:val="Compact"/>
              <w:jc w:val="left"/>
            </w:pPr>
            <w:r>
              <w:t xml:space="preserve">Bedfordshire pilot delivery (training, travel, materials)</w:t>
            </w:r>
          </w:p>
        </w:tc>
        <w:tc>
          <w:tcPr/>
          <w:p>
            <w:pPr>
              <w:pStyle w:val="Compact"/>
              <w:jc w:val="right"/>
            </w:pPr>
            <w:r>
              <w:t xml:space="preserve">£500</w:t>
            </w:r>
          </w:p>
        </w:tc>
        <w:tc>
          <w:tcPr/>
          <w:p>
            <w:pPr>
              <w:pStyle w:val="Compact"/>
              <w:jc w:val="left"/>
            </w:pPr>
            <w:r>
              <w:t xml:space="preserve">Friends &amp; family</w:t>
            </w:r>
          </w:p>
        </w:tc>
      </w:tr>
      <w:tr>
        <w:tc>
          <w:tcPr/>
          <w:p>
            <w:pPr>
              <w:pStyle w:val="Compact"/>
              <w:jc w:val="left"/>
            </w:pPr>
            <w:r>
              <w:t xml:space="preserve">Student acquisition and campus marketing</w:t>
            </w:r>
          </w:p>
        </w:tc>
        <w:tc>
          <w:tcPr/>
          <w:p>
            <w:pPr>
              <w:pStyle w:val="Compact"/>
              <w:jc w:val="right"/>
            </w:pPr>
            <w:r>
              <w:t xml:space="preserve">£1,500</w:t>
            </w:r>
          </w:p>
        </w:tc>
        <w:tc>
          <w:tcPr/>
          <w:p>
            <w:pPr>
              <w:pStyle w:val="Compact"/>
              <w:jc w:val="left"/>
            </w:pPr>
            <w:r>
              <w:t xml:space="preserve">Friends &amp; family</w:t>
            </w:r>
          </w:p>
        </w:tc>
      </w:tr>
      <w:tr>
        <w:tc>
          <w:tcPr/>
          <w:p>
            <w:pPr>
              <w:pStyle w:val="Compact"/>
              <w:jc w:val="left"/>
            </w:pPr>
            <w:r>
              <w:t xml:space="preserve">QA test devices (iOS and Android)</w:t>
            </w:r>
          </w:p>
        </w:tc>
        <w:tc>
          <w:tcPr/>
          <w:p>
            <w:pPr>
              <w:pStyle w:val="Compact"/>
              <w:jc w:val="right"/>
            </w:pPr>
            <w:r>
              <w:t xml:space="preserve">£600</w:t>
            </w:r>
          </w:p>
        </w:tc>
        <w:tc>
          <w:tcPr/>
          <w:p>
            <w:pPr>
              <w:pStyle w:val="Compact"/>
              <w:jc w:val="left"/>
            </w:pPr>
            <w:r>
              <w:t xml:space="preserve">Friends &amp; family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£8,480</w:t>
            </w:r>
          </w:p>
        </w:tc>
        <w:tc>
          <w:tcPr/>
          <w:p>
            <w:pPr>
              <w:pStyle w:val="Compact"/>
              <w:jc w:val="left"/>
            </w:pPr>
            <w:r>
              <w:t xml:space="preserve">Nigerian company investment</w:t>
            </w:r>
          </w:p>
        </w:tc>
      </w:tr>
    </w:tbl>
    <w:p>
      <w:pPr>
        <w:pStyle w:val="BodyText"/>
      </w:pPr>
      <w:r>
        <w:t xml:space="preserve">Year 1 net trading cash outflow is £5,520. The company ends Year 1 with £8,480 in the bank. From Year 2, licence fees invoiced annually in advance turn cash flow positive. The investment means DEQUAD never needs to delay its freshers’-season activity while waiting for the first licence fee to arrive.</w:t>
      </w:r>
    </w:p>
    <w:bookmarkEnd w:id="63"/>
    <w:bookmarkStart w:id="64" w:name="why-the-round-is-small"/>
    <w:p>
      <w:pPr>
        <w:pStyle w:val="Heading3"/>
      </w:pPr>
      <w:r>
        <w:t xml:space="preserve">10.3 Why the round is small</w:t>
      </w:r>
    </w:p>
    <w:p>
      <w:pPr>
        <w:pStyle w:val="FirstParagraph"/>
      </w:pPr>
      <w:r>
        <w:t xml:space="preserve">The founders have deliberately raised only what the plan needs.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4"/>
    <w:bookmarkStart w:id="65"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founders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5"/>
    <w:bookmarkStart w:id="66"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committed; revenue pays for the three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(£5,070)</w:t>
            </w:r>
          </w:p>
        </w:tc>
        <w:tc>
          <w:tcPr/>
          <w:p>
            <w:pPr>
              <w:pStyle w:val="Compact"/>
              <w:jc w:val="right"/>
            </w:pPr>
            <w:r>
              <w:t xml:space="preserve">£20,774</w:t>
            </w:r>
          </w:p>
        </w:tc>
        <w:tc>
          <w:tcPr/>
          <w:p>
            <w:pPr>
              <w:pStyle w:val="Compact"/>
              <w:jc w:val="right"/>
            </w:pPr>
            <w:r>
              <w:t xml:space="preserve">(£17,496)</w:t>
            </w:r>
          </w:p>
        </w:tc>
      </w:tr>
      <w:tr>
        <w:tc>
          <w:tcPr/>
          <w:p>
            <w:pPr>
              <w:pStyle w:val="Compact"/>
              <w:jc w:val="left"/>
            </w:pPr>
            <w:r>
              <w:t xml:space="preserve">Closing cash</w:t>
            </w:r>
          </w:p>
        </w:tc>
        <w:tc>
          <w:tcPr/>
          <w:p>
            <w:pPr>
              <w:pStyle w:val="Compact"/>
              <w:jc w:val="right"/>
            </w:pPr>
            <w:r>
              <w:t xml:space="preserve">£8,480</w:t>
            </w:r>
          </w:p>
        </w:tc>
        <w:tc>
          <w:tcPr/>
          <w:p>
            <w:pPr>
              <w:pStyle w:val="Compact"/>
              <w:jc w:val="right"/>
            </w:pPr>
            <w:r>
              <w:t xml:space="preserve">£37,112</w:t>
            </w:r>
          </w:p>
        </w:tc>
        <w:tc>
          <w:tcPr/>
          <w:p>
            <w:pPr>
              <w:pStyle w:val="Compact"/>
              <w:jc w:val="right"/>
            </w:pPr>
            <w:r>
              <w:t xml:space="preserve">£39,618</w:t>
            </w:r>
          </w:p>
        </w:tc>
      </w:tr>
      <w:tr>
        <w:tc>
          <w:tcPr/>
          <w:p>
            <w:pPr>
              <w:pStyle w:val="Compact"/>
              <w:jc w:val="left"/>
            </w:pPr>
            <w:r>
              <w:t xml:space="preserve">Headcount (year end)</w:t>
            </w:r>
          </w:p>
        </w:tc>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£2,407, Sep-26). By the final quarter of Year 3, the growth case is profitable month by month again, with the full team in place. Growth-case P&amp;L, cash flow and staffing are at Appendix F.</w:t>
      </w:r>
    </w:p>
    <w:p>
      <w:r>
        <w:pict>
          <v:rect style="width:0;height:1.5pt" o:hralign="center" o:hrstd="t" o:hr="t"/>
        </w:pict>
      </w:r>
    </w:p>
    <w:bookmarkEnd w:id="66"/>
    <w:bookmarkEnd w:id="67"/>
    <w:bookmarkStart w:id="71"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68"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68"/>
    <w:bookmarkStart w:id="69"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69"/>
    <w:bookmarkStart w:id="70"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£500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£2,300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£1,390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£9,865</w:t>
            </w:r>
          </w:p>
        </w:tc>
      </w:tr>
      <w:tr>
        <w:tc>
          <w:tcPr/>
          <w:p>
            <w:pPr>
              <w:pStyle w:val="Compact"/>
              <w:jc w:val="left"/>
            </w:pPr>
            <w:r>
              <w:rPr>
                <w:bCs/>
                <w:b/>
              </w:rPr>
              <w:t xml:space="preserve">Gross profit</w:t>
            </w:r>
          </w:p>
        </w:tc>
        <w:tc>
          <w:tcPr/>
          <w:p>
            <w:pPr>
              <w:pStyle w:val="Compact"/>
              <w:jc w:val="right"/>
            </w:pPr>
            <w:r>
              <w:rPr>
                <w:bCs/>
                <w:b/>
              </w:rPr>
              <w:t xml:space="preserve">(£820)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£67,123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87.2%</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0"/>
    <w:bookmarkEnd w:id="71"/>
    <w:bookmarkStart w:id="75" w:name="cash-flow-forecast"/>
    <w:p>
      <w:pPr>
        <w:pStyle w:val="Heading2"/>
      </w:pPr>
      <w:r>
        <w:t xml:space="preserve">12. Cash Flow Forecast</w:t>
      </w:r>
    </w:p>
    <w:bookmarkStart w:id="72"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£8,480</w:t>
            </w:r>
          </w:p>
        </w:tc>
        <w:tc>
          <w:tcPr/>
          <w:p>
            <w:pPr>
              <w:pStyle w:val="Compact"/>
              <w:jc w:val="right"/>
            </w:pPr>
            <w:r>
              <w:t xml:space="preserve">£18,926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(£1,390)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(£9,865)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(£29,050)</w:t>
            </w:r>
          </w:p>
        </w:tc>
        <w:tc>
          <w:tcPr/>
          <w:p>
            <w:pPr>
              <w:pStyle w:val="Compact"/>
              <w:jc w:val="right"/>
            </w:pPr>
            <w:r>
              <w:t xml:space="preserve">(£29,050)</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(£8,721)</w:t>
            </w:r>
          </w:p>
        </w:tc>
        <w:tc>
          <w:tcPr/>
          <w:p>
            <w:pPr>
              <w:pStyle w:val="Compact"/>
              <w:jc w:val="right"/>
            </w:pPr>
            <w:r>
              <w:t xml:space="preserve">(£17,582)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(£619)</w:t>
            </w:r>
          </w:p>
        </w:tc>
        <w:tc>
          <w:tcPr/>
          <w:p>
            <w:pPr>
              <w:pStyle w:val="Compact"/>
              <w:jc w:val="right"/>
            </w:pPr>
            <w:r>
              <w:t xml:space="preserve">(£619)</w:t>
            </w:r>
          </w:p>
        </w:tc>
      </w:tr>
      <w:tr>
        <w:tc>
          <w:tcPr/>
          <w:p>
            <w:pPr>
              <w:pStyle w:val="Compact"/>
              <w:jc w:val="left"/>
            </w:pPr>
            <w:r>
              <w:rPr>
                <w:bCs/>
                <w:b/>
              </w:rPr>
              <w:t xml:space="preserve">Total payments</w:t>
            </w:r>
          </w:p>
        </w:tc>
        <w:tc>
          <w:tcPr/>
          <w:p>
            <w:pPr>
              <w:pStyle w:val="Compact"/>
              <w:jc w:val="right"/>
            </w:pPr>
            <w:r>
              <w:rPr>
                <w:bCs/>
                <w:b/>
              </w:rPr>
              <w:t xml:space="preserve">(£6,090)</w:t>
            </w:r>
          </w:p>
        </w:tc>
        <w:tc>
          <w:tcPr/>
          <w:p>
            <w:pPr>
              <w:pStyle w:val="Compact"/>
              <w:jc w:val="right"/>
            </w:pPr>
            <w:r>
              <w:rPr>
                <w:bCs/>
                <w:b/>
              </w:rPr>
              <w:t xml:space="preserve">(£13,332)</w:t>
            </w:r>
          </w:p>
        </w:tc>
        <w:tc>
          <w:tcPr/>
          <w:p>
            <w:pPr>
              <w:pStyle w:val="Compact"/>
              <w:jc w:val="right"/>
            </w:pPr>
            <w:r>
              <w:rPr>
                <w:bCs/>
                <w:b/>
              </w:rPr>
              <w:t xml:space="preserve">(£51,395)</w:t>
            </w:r>
          </w:p>
        </w:tc>
        <w:tc>
          <w:tcPr/>
          <w:p>
            <w:pPr>
              <w:pStyle w:val="Compact"/>
              <w:jc w:val="right"/>
            </w:pPr>
            <w:r>
              <w:rPr>
                <w:bCs/>
                <w:b/>
              </w:rPr>
              <w:t xml:space="preserve">(£70,816)</w:t>
            </w:r>
          </w:p>
        </w:tc>
      </w:tr>
      <w:tr>
        <w:tc>
          <w:tcPr/>
          <w:p>
            <w:pPr>
              <w:pStyle w:val="Compact"/>
              <w:jc w:val="left"/>
            </w:pPr>
            <w:r>
              <w:rPr>
                <w:bCs/>
                <w:b/>
              </w:rPr>
              <w:t xml:space="preserve">Net cash flow</w:t>
            </w:r>
          </w:p>
        </w:tc>
        <w:tc>
          <w:tcPr/>
          <w:p>
            <w:pPr>
              <w:pStyle w:val="Compact"/>
              <w:jc w:val="right"/>
            </w:pPr>
            <w:r>
              <w:rPr>
                <w:bCs/>
                <w:b/>
              </w:rPr>
              <w:t xml:space="preserve">£5,480</w:t>
            </w:r>
          </w:p>
        </w:tc>
        <w:tc>
          <w:tcPr/>
          <w:p>
            <w:pPr>
              <w:pStyle w:val="Compact"/>
              <w:jc w:val="right"/>
            </w:pPr>
            <w:r>
              <w:rPr>
                <w:bCs/>
                <w:b/>
              </w:rPr>
              <w:t xml:space="preserve">£10,446</w:t>
            </w:r>
          </w:p>
        </w:tc>
        <w:tc>
          <w:tcPr/>
          <w:p>
            <w:pPr>
              <w:pStyle w:val="Compact"/>
              <w:jc w:val="right"/>
            </w:pPr>
            <w:r>
              <w:rPr>
                <w:bCs/>
                <w:b/>
              </w:rPr>
              <w:t xml:space="preserve">£8,913</w:t>
            </w:r>
          </w:p>
        </w:tc>
        <w:tc>
          <w:tcPr/>
          <w:p>
            <w:pPr>
              <w:pStyle w:val="Compact"/>
              <w:jc w:val="right"/>
            </w:pPr>
            <w:r>
              <w:rPr>
                <w:bCs/>
                <w:b/>
              </w:rPr>
              <w:t xml:space="preserve">£24,839</w:t>
            </w:r>
          </w:p>
        </w:tc>
      </w:tr>
      <w:tr>
        <w:tc>
          <w:tcPr/>
          <w:p>
            <w:pPr>
              <w:pStyle w:val="Compact"/>
              <w:jc w:val="left"/>
            </w:pPr>
            <w:r>
              <w:rPr>
                <w:bCs/>
                <w:b/>
              </w:rPr>
              <w:t xml:space="preserve">Closing cash</w:t>
            </w:r>
          </w:p>
        </w:tc>
        <w:tc>
          <w:tcPr/>
          <w:p>
            <w:pPr>
              <w:pStyle w:val="Compact"/>
              <w:jc w:val="right"/>
            </w:pPr>
            <w:r>
              <w:rPr>
                <w:bCs/>
                <w:b/>
              </w:rPr>
              <w:t xml:space="preserve">£8,480</w:t>
            </w:r>
          </w:p>
        </w:tc>
        <w:tc>
          <w:tcPr/>
          <w:p>
            <w:pPr>
              <w:pStyle w:val="Compact"/>
              <w:jc w:val="right"/>
            </w:pPr>
            <w:r>
              <w:rPr>
                <w:bCs/>
                <w:b/>
              </w:rPr>
              <w:t xml:space="preserve">£18,926</w:t>
            </w:r>
          </w:p>
        </w:tc>
        <w:tc>
          <w:tcPr/>
          <w:p>
            <w:pPr>
              <w:pStyle w:val="Compact"/>
              <w:jc w:val="right"/>
            </w:pPr>
            <w:r>
              <w:rPr>
                <w:bCs/>
                <w:b/>
              </w:rPr>
              <w:t xml:space="preserve">£27,839</w:t>
            </w:r>
          </w:p>
        </w:tc>
        <w:tc>
          <w:tcPr/>
          <w:p>
            <w:pPr>
              <w:pStyle w:val="Compact"/>
              <w:jc w:val="right"/>
            </w:pPr>
            <w:r>
              <w:rPr>
                <w:bCs/>
                <w:b/>
              </w:rPr>
              <w:t xml:space="preserve">£27,839</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2"/>
    <w:bookmarkStart w:id="73"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£2,407</w:t>
            </w:r>
          </w:p>
        </w:tc>
        <w:tc>
          <w:tcPr/>
          <w:p>
            <w:pPr>
              <w:pStyle w:val="Compact"/>
              <w:jc w:val="right"/>
            </w:pPr>
            <w:r>
              <w:t xml:space="preserve">£4,723</w:t>
            </w:r>
          </w:p>
        </w:tc>
        <w:tc>
          <w:tcPr/>
          <w:p>
            <w:pPr>
              <w:pStyle w:val="Compact"/>
              <w:jc w:val="right"/>
            </w:pPr>
            <w:r>
              <w:t xml:space="preserve">£12,382</w:t>
            </w:r>
          </w:p>
        </w:tc>
        <w:tc>
          <w:tcPr/>
          <w:p>
            <w:pPr>
              <w:pStyle w:val="Compact"/>
              <w:jc w:val="right"/>
            </w:pPr>
            <w:r>
              <w:t xml:space="preserve">£11,146</w:t>
            </w:r>
          </w:p>
        </w:tc>
        <w:tc>
          <w:tcPr/>
          <w:p>
            <w:pPr>
              <w:pStyle w:val="Compact"/>
              <w:jc w:val="right"/>
            </w:pPr>
            <w:r>
              <w:t xml:space="preserve">£10,278</w:t>
            </w:r>
          </w:p>
        </w:tc>
        <w:tc>
          <w:tcPr/>
          <w:p>
            <w:pPr>
              <w:pStyle w:val="Compact"/>
              <w:jc w:val="right"/>
            </w:pPr>
            <w:r>
              <w:t xml:space="preserve">£9,954</w:t>
            </w:r>
          </w:p>
        </w:tc>
        <w:tc>
          <w:tcPr/>
          <w:p>
            <w:pPr>
              <w:pStyle w:val="Compact"/>
              <w:jc w:val="right"/>
            </w:pPr>
            <w:r>
              <w:t xml:space="preserve">£9,664</w:t>
            </w:r>
          </w:p>
        </w:tc>
        <w:tc>
          <w:tcPr/>
          <w:p>
            <w:pPr>
              <w:pStyle w:val="Compact"/>
              <w:jc w:val="right"/>
            </w:pPr>
            <w:r>
              <w:t xml:space="preserve">£9,427</w:t>
            </w:r>
          </w:p>
        </w:tc>
        <w:tc>
          <w:tcPr/>
          <w:p>
            <w:pPr>
              <w:pStyle w:val="Compact"/>
              <w:jc w:val="right"/>
            </w:pPr>
            <w:r>
              <w:t xml:space="preserve">£9,205</w:t>
            </w:r>
          </w:p>
        </w:tc>
        <w:tc>
          <w:tcPr/>
          <w:p>
            <w:pPr>
              <w:pStyle w:val="Compact"/>
              <w:jc w:val="right"/>
            </w:pPr>
            <w:r>
              <w:t xml:space="preserve">£8,998</w:t>
            </w:r>
          </w:p>
        </w:tc>
        <w:tc>
          <w:tcPr/>
          <w:p>
            <w:pPr>
              <w:pStyle w:val="Compact"/>
              <w:jc w:val="right"/>
            </w:pPr>
            <w:r>
              <w:t xml:space="preserve">£8,839</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£3,000</w:t>
            </w:r>
          </w:p>
        </w:tc>
        <w:tc>
          <w:tcPr/>
          <w:p>
            <w:pPr>
              <w:pStyle w:val="Compact"/>
              <w:jc w:val="right"/>
            </w:pPr>
            <w:r>
              <w:t xml:space="preserve">£8,000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(£573)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(£1,390)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(£240)</w:t>
            </w:r>
          </w:p>
        </w:tc>
        <w:tc>
          <w:tcPr/>
          <w:p>
            <w:pPr>
              <w:pStyle w:val="Compact"/>
              <w:jc w:val="right"/>
            </w:pPr>
            <w:r>
              <w:t xml:space="preserve">(£210)</w:t>
            </w:r>
          </w:p>
        </w:tc>
        <w:tc>
          <w:tcPr/>
          <w:p>
            <w:pPr>
              <w:pStyle w:val="Compact"/>
              <w:jc w:val="right"/>
            </w:pPr>
            <w:r>
              <w:t xml:space="preserve">(£150)</w:t>
            </w:r>
          </w:p>
        </w:tc>
        <w:tc>
          <w:tcPr/>
          <w:p>
            <w:pPr>
              <w:pStyle w:val="Compact"/>
              <w:jc w:val="right"/>
            </w:pPr>
            <w:r>
              <w:t xml:space="preserve">(£60)</w:t>
            </w:r>
          </w:p>
        </w:tc>
        <w:tc>
          <w:tcPr/>
          <w:p>
            <w:pPr>
              <w:pStyle w:val="Compact"/>
              <w:jc w:val="right"/>
            </w:pPr>
            <w:r>
              <w:t xml:space="preserve">(£180)</w:t>
            </w:r>
          </w:p>
        </w:tc>
        <w:tc>
          <w:tcPr/>
          <w:p>
            <w:pPr>
              <w:pStyle w:val="Compact"/>
              <w:jc w:val="right"/>
            </w:pPr>
            <w:r>
              <w:t xml:space="preserve">(£135)</w:t>
            </w:r>
          </w:p>
        </w:tc>
        <w:tc>
          <w:tcPr/>
          <w:p>
            <w:pPr>
              <w:pStyle w:val="Compact"/>
              <w:jc w:val="right"/>
            </w:pPr>
            <w:r>
              <w:t xml:space="preserve">(£105)</w:t>
            </w:r>
          </w:p>
        </w:tc>
        <w:tc>
          <w:tcPr/>
          <w:p>
            <w:pPr>
              <w:pStyle w:val="Compact"/>
              <w:jc w:val="right"/>
            </w:pPr>
            <w:r>
              <w:t xml:space="preserve">(£75)</w:t>
            </w:r>
          </w:p>
        </w:tc>
        <w:tc>
          <w:tcPr/>
          <w:p>
            <w:pPr>
              <w:pStyle w:val="Compact"/>
              <w:jc w:val="right"/>
            </w:pPr>
            <w:r>
              <w:t xml:space="preserve">(£60)</w:t>
            </w:r>
          </w:p>
        </w:tc>
        <w:tc>
          <w:tcPr/>
          <w:p>
            <w:pPr>
              <w:pStyle w:val="Compact"/>
              <w:jc w:val="right"/>
            </w:pPr>
            <w:r>
              <w:t xml:space="preserve">(£45)</w:t>
            </w:r>
          </w:p>
        </w:tc>
        <w:tc>
          <w:tcPr/>
          <w:p>
            <w:pPr>
              <w:pStyle w:val="Compact"/>
              <w:jc w:val="right"/>
            </w:pPr>
            <w:r>
              <w:t xml:space="preserve">(£45)</w:t>
            </w:r>
          </w:p>
        </w:tc>
        <w:tc>
          <w:tcPr/>
          <w:p>
            <w:pPr>
              <w:pStyle w:val="Compact"/>
              <w:jc w:val="right"/>
            </w:pPr>
            <w:r>
              <w:t xml:space="preserve">(£195)</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(£405)</w:t>
            </w:r>
          </w:p>
        </w:tc>
        <w:tc>
          <w:tcPr/>
          <w:p>
            <w:pPr>
              <w:pStyle w:val="Compact"/>
              <w:jc w:val="right"/>
            </w:pPr>
            <w:r>
              <w:t xml:space="preserve">(£135)</w:t>
            </w:r>
          </w:p>
        </w:tc>
        <w:tc>
          <w:tcPr/>
          <w:p>
            <w:pPr>
              <w:pStyle w:val="Compact"/>
              <w:jc w:val="right"/>
            </w:pPr>
            <w:r>
              <w:t xml:space="preserve">(£519)</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(£593)</w:t>
            </w:r>
          </w:p>
        </w:tc>
        <w:tc>
          <w:tcPr/>
          <w:p>
            <w:pPr>
              <w:pStyle w:val="Compact"/>
              <w:jc w:val="right"/>
            </w:pPr>
            <w:r>
              <w:rPr>
                <w:bCs/>
                <w:b/>
              </w:rPr>
              <w:t xml:space="preserve">£2,316</w:t>
            </w:r>
          </w:p>
        </w:tc>
        <w:tc>
          <w:tcPr/>
          <w:p>
            <w:pPr>
              <w:pStyle w:val="Compact"/>
              <w:jc w:val="right"/>
            </w:pPr>
            <w:r>
              <w:rPr>
                <w:bCs/>
                <w:b/>
              </w:rPr>
              <w:t xml:space="preserve">£7,659</w:t>
            </w:r>
          </w:p>
        </w:tc>
        <w:tc>
          <w:tcPr/>
          <w:p>
            <w:pPr>
              <w:pStyle w:val="Compact"/>
              <w:jc w:val="right"/>
            </w:pPr>
            <w:r>
              <w:rPr>
                <w:bCs/>
                <w:b/>
              </w:rPr>
              <w:t xml:space="preserve">(£1,236)</w:t>
            </w:r>
          </w:p>
        </w:tc>
        <w:tc>
          <w:tcPr/>
          <w:p>
            <w:pPr>
              <w:pStyle w:val="Compact"/>
              <w:jc w:val="right"/>
            </w:pPr>
            <w:r>
              <w:rPr>
                <w:bCs/>
                <w:b/>
              </w:rPr>
              <w:t xml:space="preserve">(£868)</w:t>
            </w:r>
          </w:p>
        </w:tc>
        <w:tc>
          <w:tcPr/>
          <w:p>
            <w:pPr>
              <w:pStyle w:val="Compact"/>
              <w:jc w:val="right"/>
            </w:pPr>
            <w:r>
              <w:rPr>
                <w:bCs/>
                <w:b/>
              </w:rPr>
              <w:t xml:space="preserve">(£324)</w:t>
            </w:r>
          </w:p>
        </w:tc>
        <w:tc>
          <w:tcPr/>
          <w:p>
            <w:pPr>
              <w:pStyle w:val="Compact"/>
              <w:jc w:val="right"/>
            </w:pPr>
            <w:r>
              <w:rPr>
                <w:bCs/>
                <w:b/>
              </w:rPr>
              <w:t xml:space="preserve">(£290)</w:t>
            </w:r>
          </w:p>
        </w:tc>
        <w:tc>
          <w:tcPr/>
          <w:p>
            <w:pPr>
              <w:pStyle w:val="Compact"/>
              <w:jc w:val="right"/>
            </w:pPr>
            <w:r>
              <w:rPr>
                <w:bCs/>
                <w:b/>
              </w:rPr>
              <w:t xml:space="preserve">(£237)</w:t>
            </w:r>
          </w:p>
        </w:tc>
        <w:tc>
          <w:tcPr/>
          <w:p>
            <w:pPr>
              <w:pStyle w:val="Compact"/>
              <w:jc w:val="right"/>
            </w:pPr>
            <w:r>
              <w:rPr>
                <w:bCs/>
                <w:b/>
              </w:rPr>
              <w:t xml:space="preserve">(£222)</w:t>
            </w:r>
          </w:p>
        </w:tc>
        <w:tc>
          <w:tcPr/>
          <w:p>
            <w:pPr>
              <w:pStyle w:val="Compact"/>
              <w:jc w:val="right"/>
            </w:pPr>
            <w:r>
              <w:rPr>
                <w:bCs/>
                <w:b/>
              </w:rPr>
              <w:t xml:space="preserve">(£207)</w:t>
            </w:r>
          </w:p>
        </w:tc>
        <w:tc>
          <w:tcPr/>
          <w:p>
            <w:pPr>
              <w:pStyle w:val="Compact"/>
              <w:jc w:val="right"/>
            </w:pPr>
            <w:r>
              <w:rPr>
                <w:bCs/>
                <w:b/>
              </w:rPr>
              <w:t xml:space="preserve">(£158)</w:t>
            </w:r>
          </w:p>
        </w:tc>
        <w:tc>
          <w:tcPr/>
          <w:p>
            <w:pPr>
              <w:pStyle w:val="Compact"/>
              <w:jc w:val="right"/>
            </w:pPr>
            <w:r>
              <w:rPr>
                <w:bCs/>
                <w:b/>
              </w:rPr>
              <w:t xml:space="preserve">(£360)</w:t>
            </w:r>
          </w:p>
        </w:tc>
        <w:tc>
          <w:tcPr/>
          <w:p>
            <w:pPr>
              <w:pStyle w:val="Compact"/>
              <w:jc w:val="right"/>
            </w:pPr>
            <w:r>
              <w:rPr>
                <w:bCs/>
                <w:b/>
              </w:rPr>
              <w:t xml:space="preserve">£5,480</w:t>
            </w:r>
          </w:p>
        </w:tc>
      </w:tr>
      <w:tr>
        <w:tc>
          <w:tcPr/>
          <w:p>
            <w:pPr>
              <w:pStyle w:val="Compact"/>
              <w:jc w:val="left"/>
            </w:pPr>
            <w:r>
              <w:rPr>
                <w:bCs/>
                <w:b/>
              </w:rPr>
              <w:t xml:space="preserve">Closing cash</w:t>
            </w:r>
          </w:p>
        </w:tc>
        <w:tc>
          <w:tcPr/>
          <w:p>
            <w:pPr>
              <w:pStyle w:val="Compact"/>
              <w:jc w:val="right"/>
            </w:pPr>
            <w:r>
              <w:rPr>
                <w:bCs/>
                <w:b/>
              </w:rPr>
              <w:t xml:space="preserve">£2,407</w:t>
            </w:r>
          </w:p>
        </w:tc>
        <w:tc>
          <w:tcPr/>
          <w:p>
            <w:pPr>
              <w:pStyle w:val="Compact"/>
              <w:jc w:val="right"/>
            </w:pPr>
            <w:r>
              <w:rPr>
                <w:bCs/>
                <w:b/>
              </w:rPr>
              <w:t xml:space="preserve">£4,723</w:t>
            </w:r>
          </w:p>
        </w:tc>
        <w:tc>
          <w:tcPr/>
          <w:p>
            <w:pPr>
              <w:pStyle w:val="Compact"/>
              <w:jc w:val="right"/>
            </w:pPr>
            <w:r>
              <w:rPr>
                <w:bCs/>
                <w:b/>
              </w:rPr>
              <w:t xml:space="preserve">£12,382</w:t>
            </w:r>
          </w:p>
        </w:tc>
        <w:tc>
          <w:tcPr/>
          <w:p>
            <w:pPr>
              <w:pStyle w:val="Compact"/>
              <w:jc w:val="right"/>
            </w:pPr>
            <w:r>
              <w:rPr>
                <w:bCs/>
                <w:b/>
              </w:rPr>
              <w:t xml:space="preserve">£11,146</w:t>
            </w:r>
          </w:p>
        </w:tc>
        <w:tc>
          <w:tcPr/>
          <w:p>
            <w:pPr>
              <w:pStyle w:val="Compact"/>
              <w:jc w:val="right"/>
            </w:pPr>
            <w:r>
              <w:rPr>
                <w:bCs/>
                <w:b/>
              </w:rPr>
              <w:t xml:space="preserve">£10,278</w:t>
            </w:r>
          </w:p>
        </w:tc>
        <w:tc>
          <w:tcPr/>
          <w:p>
            <w:pPr>
              <w:pStyle w:val="Compact"/>
              <w:jc w:val="right"/>
            </w:pPr>
            <w:r>
              <w:rPr>
                <w:bCs/>
                <w:b/>
              </w:rPr>
              <w:t xml:space="preserve">£9,954</w:t>
            </w:r>
          </w:p>
        </w:tc>
        <w:tc>
          <w:tcPr/>
          <w:p>
            <w:pPr>
              <w:pStyle w:val="Compact"/>
              <w:jc w:val="right"/>
            </w:pPr>
            <w:r>
              <w:rPr>
                <w:bCs/>
                <w:b/>
              </w:rPr>
              <w:t xml:space="preserve">£9,664</w:t>
            </w:r>
          </w:p>
        </w:tc>
        <w:tc>
          <w:tcPr/>
          <w:p>
            <w:pPr>
              <w:pStyle w:val="Compact"/>
              <w:jc w:val="right"/>
            </w:pPr>
            <w:r>
              <w:rPr>
                <w:bCs/>
                <w:b/>
              </w:rPr>
              <w:t xml:space="preserve">£9,427</w:t>
            </w:r>
          </w:p>
        </w:tc>
        <w:tc>
          <w:tcPr/>
          <w:p>
            <w:pPr>
              <w:pStyle w:val="Compact"/>
              <w:jc w:val="right"/>
            </w:pPr>
            <w:r>
              <w:rPr>
                <w:bCs/>
                <w:b/>
              </w:rPr>
              <w:t xml:space="preserve">£9,205</w:t>
            </w:r>
          </w:p>
        </w:tc>
        <w:tc>
          <w:tcPr/>
          <w:p>
            <w:pPr>
              <w:pStyle w:val="Compact"/>
              <w:jc w:val="right"/>
            </w:pPr>
            <w:r>
              <w:rPr>
                <w:bCs/>
                <w:b/>
              </w:rPr>
              <w:t xml:space="preserve">£8,998</w:t>
            </w:r>
          </w:p>
        </w:tc>
        <w:tc>
          <w:tcPr/>
          <w:p>
            <w:pPr>
              <w:pStyle w:val="Compact"/>
              <w:jc w:val="right"/>
            </w:pPr>
            <w:r>
              <w:rPr>
                <w:bCs/>
                <w:b/>
              </w:rPr>
              <w:t xml:space="preserve">£8,839</w:t>
            </w:r>
          </w:p>
        </w:tc>
        <w:tc>
          <w:tcPr/>
          <w:p>
            <w:pPr>
              <w:pStyle w:val="Compact"/>
              <w:jc w:val="right"/>
            </w:pPr>
            <w:r>
              <w:rPr>
                <w:bCs/>
                <w:b/>
              </w:rPr>
              <w:t xml:space="preserve">£8,480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£8,480</w:t>
            </w:r>
          </w:p>
        </w:tc>
        <w:tc>
          <w:tcPr/>
          <w:p>
            <w:pPr>
              <w:pStyle w:val="Compact"/>
              <w:jc w:val="right"/>
            </w:pPr>
            <w:r>
              <w:t xml:space="preserve">£7,139</w:t>
            </w:r>
          </w:p>
        </w:tc>
        <w:tc>
          <w:tcPr/>
          <w:p>
            <w:pPr>
              <w:pStyle w:val="Compact"/>
              <w:jc w:val="right"/>
            </w:pPr>
            <w:r>
              <w:t xml:space="preserve">£25,745</w:t>
            </w:r>
          </w:p>
        </w:tc>
        <w:tc>
          <w:tcPr/>
          <w:p>
            <w:pPr>
              <w:pStyle w:val="Compact"/>
              <w:jc w:val="right"/>
            </w:pPr>
            <w:r>
              <w:t xml:space="preserve">£25,145</w:t>
            </w:r>
          </w:p>
        </w:tc>
        <w:tc>
          <w:tcPr/>
          <w:p>
            <w:pPr>
              <w:pStyle w:val="Compact"/>
              <w:jc w:val="right"/>
            </w:pPr>
            <w:r>
              <w:t xml:space="preserve">£22,869</w:t>
            </w:r>
          </w:p>
        </w:tc>
        <w:tc>
          <w:tcPr/>
          <w:p>
            <w:pPr>
              <w:pStyle w:val="Compact"/>
              <w:jc w:val="right"/>
            </w:pPr>
            <w:r>
              <w:t xml:space="preserve">£22,200</w:t>
            </w:r>
          </w:p>
        </w:tc>
        <w:tc>
          <w:tcPr/>
          <w:p>
            <w:pPr>
              <w:pStyle w:val="Compact"/>
              <w:jc w:val="right"/>
            </w:pPr>
            <w:r>
              <w:t xml:space="preserve">£21,690</w:t>
            </w:r>
          </w:p>
        </w:tc>
        <w:tc>
          <w:tcPr/>
          <w:p>
            <w:pPr>
              <w:pStyle w:val="Compact"/>
              <w:jc w:val="right"/>
            </w:pPr>
            <w:r>
              <w:t xml:space="preserve">£21,251</w:t>
            </w:r>
          </w:p>
        </w:tc>
        <w:tc>
          <w:tcPr/>
          <w:p>
            <w:pPr>
              <w:pStyle w:val="Compact"/>
              <w:jc w:val="right"/>
            </w:pPr>
            <w:r>
              <w:t xml:space="preserve">£20,880</w:t>
            </w:r>
          </w:p>
        </w:tc>
        <w:tc>
          <w:tcPr/>
          <w:p>
            <w:pPr>
              <w:pStyle w:val="Compact"/>
              <w:jc w:val="right"/>
            </w:pPr>
            <w:r>
              <w:t xml:space="preserve">£20,592</w:t>
            </w:r>
          </w:p>
        </w:tc>
        <w:tc>
          <w:tcPr/>
          <w:p>
            <w:pPr>
              <w:pStyle w:val="Compact"/>
              <w:jc w:val="right"/>
            </w:pPr>
            <w:r>
              <w:t xml:space="preserve">£20,338</w:t>
            </w:r>
          </w:p>
        </w:tc>
        <w:tc>
          <w:tcPr/>
          <w:p>
            <w:pPr>
              <w:pStyle w:val="Compact"/>
              <w:jc w:val="right"/>
            </w:pPr>
            <w:r>
              <w:t xml:space="preserve">£20,078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(£1,334)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(£2,276)</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(£288)</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£7,139</w:t>
            </w:r>
          </w:p>
        </w:tc>
        <w:tc>
          <w:tcPr/>
          <w:p>
            <w:pPr>
              <w:pStyle w:val="Compact"/>
              <w:jc w:val="right"/>
            </w:pPr>
            <w:r>
              <w:rPr>
                <w:bCs/>
                <w:b/>
              </w:rPr>
              <w:t xml:space="preserve">£25,745</w:t>
            </w:r>
          </w:p>
        </w:tc>
        <w:tc>
          <w:tcPr/>
          <w:p>
            <w:pPr>
              <w:pStyle w:val="Compact"/>
              <w:jc w:val="right"/>
            </w:pPr>
            <w:r>
              <w:rPr>
                <w:bCs/>
                <w:b/>
              </w:rPr>
              <w:t xml:space="preserve">£25,145</w:t>
            </w:r>
          </w:p>
        </w:tc>
        <w:tc>
          <w:tcPr/>
          <w:p>
            <w:pPr>
              <w:pStyle w:val="Compact"/>
              <w:jc w:val="right"/>
            </w:pPr>
            <w:r>
              <w:rPr>
                <w:bCs/>
                <w:b/>
              </w:rPr>
              <w:t xml:space="preserve">£22,869</w:t>
            </w:r>
          </w:p>
        </w:tc>
        <w:tc>
          <w:tcPr/>
          <w:p>
            <w:pPr>
              <w:pStyle w:val="Compact"/>
              <w:jc w:val="right"/>
            </w:pPr>
            <w:r>
              <w:rPr>
                <w:bCs/>
                <w:b/>
              </w:rPr>
              <w:t xml:space="preserve">£22,200</w:t>
            </w:r>
          </w:p>
        </w:tc>
        <w:tc>
          <w:tcPr/>
          <w:p>
            <w:pPr>
              <w:pStyle w:val="Compact"/>
              <w:jc w:val="right"/>
            </w:pPr>
            <w:r>
              <w:rPr>
                <w:bCs/>
                <w:b/>
              </w:rPr>
              <w:t xml:space="preserve">£21,690</w:t>
            </w:r>
          </w:p>
        </w:tc>
        <w:tc>
          <w:tcPr/>
          <w:p>
            <w:pPr>
              <w:pStyle w:val="Compact"/>
              <w:jc w:val="right"/>
            </w:pPr>
            <w:r>
              <w:rPr>
                <w:bCs/>
                <w:b/>
              </w:rPr>
              <w:t xml:space="preserve">£21,251</w:t>
            </w:r>
          </w:p>
        </w:tc>
        <w:tc>
          <w:tcPr/>
          <w:p>
            <w:pPr>
              <w:pStyle w:val="Compact"/>
              <w:jc w:val="right"/>
            </w:pPr>
            <w:r>
              <w:rPr>
                <w:bCs/>
                <w:b/>
              </w:rPr>
              <w:t xml:space="preserve">£20,880</w:t>
            </w:r>
          </w:p>
        </w:tc>
        <w:tc>
          <w:tcPr/>
          <w:p>
            <w:pPr>
              <w:pStyle w:val="Compact"/>
              <w:jc w:val="right"/>
            </w:pPr>
            <w:r>
              <w:rPr>
                <w:bCs/>
                <w:b/>
              </w:rPr>
              <w:t xml:space="preserve">£20,592</w:t>
            </w:r>
          </w:p>
        </w:tc>
        <w:tc>
          <w:tcPr/>
          <w:p>
            <w:pPr>
              <w:pStyle w:val="Compact"/>
              <w:jc w:val="right"/>
            </w:pPr>
            <w:r>
              <w:rPr>
                <w:bCs/>
                <w:b/>
              </w:rPr>
              <w:t xml:space="preserve">£20,338</w:t>
            </w:r>
          </w:p>
        </w:tc>
        <w:tc>
          <w:tcPr/>
          <w:p>
            <w:pPr>
              <w:pStyle w:val="Compact"/>
              <w:jc w:val="right"/>
            </w:pPr>
            <w:r>
              <w:rPr>
                <w:bCs/>
                <w:b/>
              </w:rPr>
              <w:t xml:space="preserve">£20,078</w:t>
            </w:r>
          </w:p>
        </w:tc>
        <w:tc>
          <w:tcPr/>
          <w:p>
            <w:pPr>
              <w:pStyle w:val="Compact"/>
              <w:jc w:val="right"/>
            </w:pPr>
            <w:r>
              <w:rPr>
                <w:bCs/>
                <w:b/>
              </w:rPr>
              <w:t xml:space="preserve">£18,926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£18,926</w:t>
            </w:r>
          </w:p>
        </w:tc>
        <w:tc>
          <w:tcPr/>
          <w:p>
            <w:pPr>
              <w:pStyle w:val="Compact"/>
              <w:jc w:val="right"/>
            </w:pPr>
            <w:r>
              <w:t xml:space="preserve">£34,256</w:t>
            </w:r>
          </w:p>
        </w:tc>
        <w:tc>
          <w:tcPr/>
          <w:p>
            <w:pPr>
              <w:pStyle w:val="Compact"/>
              <w:jc w:val="right"/>
            </w:pPr>
            <w:r>
              <w:t xml:space="preserve">£49,466</w:t>
            </w:r>
          </w:p>
        </w:tc>
        <w:tc>
          <w:tcPr/>
          <w:p>
            <w:pPr>
              <w:pStyle w:val="Compact"/>
              <w:jc w:val="right"/>
            </w:pPr>
            <w:r>
              <w:t xml:space="preserve">£46,173</w:t>
            </w:r>
          </w:p>
        </w:tc>
        <w:tc>
          <w:tcPr/>
          <w:p>
            <w:pPr>
              <w:pStyle w:val="Compact"/>
              <w:jc w:val="right"/>
            </w:pPr>
            <w:r>
              <w:t xml:space="preserve">£42,103</w:t>
            </w:r>
          </w:p>
        </w:tc>
        <w:tc>
          <w:tcPr/>
          <w:p>
            <w:pPr>
              <w:pStyle w:val="Compact"/>
              <w:jc w:val="right"/>
            </w:pPr>
            <w:r>
              <w:t xml:space="preserve">£38,748</w:t>
            </w:r>
          </w:p>
        </w:tc>
        <w:tc>
          <w:tcPr/>
          <w:p>
            <w:pPr>
              <w:pStyle w:val="Compact"/>
              <w:jc w:val="right"/>
            </w:pPr>
            <w:r>
              <w:t xml:space="preserve">£35,126</w:t>
            </w:r>
          </w:p>
        </w:tc>
        <w:tc>
          <w:tcPr/>
          <w:p>
            <w:pPr>
              <w:pStyle w:val="Compact"/>
              <w:jc w:val="right"/>
            </w:pPr>
            <w:r>
              <w:t xml:space="preserve">£43,414</w:t>
            </w:r>
          </w:p>
        </w:tc>
        <w:tc>
          <w:tcPr/>
          <w:p>
            <w:pPr>
              <w:pStyle w:val="Compact"/>
              <w:jc w:val="right"/>
            </w:pPr>
            <w:r>
              <w:t xml:space="preserve">£40,421</w:t>
            </w:r>
          </w:p>
        </w:tc>
        <w:tc>
          <w:tcPr/>
          <w:p>
            <w:pPr>
              <w:pStyle w:val="Compact"/>
              <w:jc w:val="right"/>
            </w:pPr>
            <w:r>
              <w:t xml:space="preserve">£37,529</w:t>
            </w:r>
          </w:p>
        </w:tc>
        <w:tc>
          <w:tcPr/>
          <w:p>
            <w:pPr>
              <w:pStyle w:val="Compact"/>
              <w:jc w:val="right"/>
            </w:pPr>
            <w:r>
              <w:t xml:space="preserve">£34,071</w:t>
            </w:r>
          </w:p>
        </w:tc>
        <w:tc>
          <w:tcPr/>
          <w:p>
            <w:pPr>
              <w:pStyle w:val="Compact"/>
              <w:jc w:val="right"/>
            </w:pPr>
            <w:r>
              <w:t xml:space="preserve">£31,275</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(£2,613)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(£29,050)</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(£1,718)</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(£8,721)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(£619)</w:t>
            </w:r>
          </w:p>
        </w:tc>
        <w:tc>
          <w:tcPr/>
          <w:p>
            <w:pPr>
              <w:pStyle w:val="Compact"/>
              <w:jc w:val="right"/>
            </w:pPr>
            <w:r>
              <w:t xml:space="preserve">–</w:t>
            </w:r>
          </w:p>
        </w:tc>
        <w:tc>
          <w:tcPr/>
          <w:p>
            <w:pPr>
              <w:pStyle w:val="Compact"/>
              <w:jc w:val="right"/>
            </w:pPr>
            <w:r>
              <w:t xml:space="preserve">–</w:t>
            </w:r>
          </w:p>
        </w:tc>
        <w:tc>
          <w:tcPr/>
          <w:p>
            <w:pPr>
              <w:pStyle w:val="Compact"/>
              <w:jc w:val="right"/>
            </w:pPr>
            <w:r>
              <w:t xml:space="preserve">(£619)</w:t>
            </w:r>
          </w:p>
        </w:tc>
      </w:tr>
      <w:tr>
        <w:tc>
          <w:tcPr/>
          <w:p>
            <w:pPr>
              <w:pStyle w:val="Compact"/>
              <w:jc w:val="left"/>
            </w:pPr>
            <w:r>
              <w:rPr>
                <w:bCs/>
                <w:b/>
              </w:rPr>
              <w:t xml:space="preserve">Net cash flow</w:t>
            </w:r>
          </w:p>
        </w:tc>
        <w:tc>
          <w:tcPr/>
          <w:p>
            <w:pPr>
              <w:pStyle w:val="Compact"/>
              <w:jc w:val="right"/>
            </w:pPr>
            <w:r>
              <w:rPr>
                <w:bCs/>
                <w:b/>
              </w:rPr>
              <w:t xml:space="preserve">£15,331</w:t>
            </w:r>
          </w:p>
        </w:tc>
        <w:tc>
          <w:tcPr/>
          <w:p>
            <w:pPr>
              <w:pStyle w:val="Compact"/>
              <w:jc w:val="right"/>
            </w:pPr>
            <w:r>
              <w:rPr>
                <w:bCs/>
                <w:b/>
              </w:rPr>
              <w:t xml:space="preserve">£15,209</w:t>
            </w:r>
          </w:p>
        </w:tc>
        <w:tc>
          <w:tcPr/>
          <w:p>
            <w:pPr>
              <w:pStyle w:val="Compact"/>
              <w:jc w:val="right"/>
            </w:pPr>
            <w:r>
              <w:rPr>
                <w:bCs/>
                <w:b/>
              </w:rPr>
              <w:t xml:space="preserve">(£3,292)</w:t>
            </w:r>
          </w:p>
        </w:tc>
        <w:tc>
          <w:tcPr/>
          <w:p>
            <w:pPr>
              <w:pStyle w:val="Compact"/>
              <w:jc w:val="right"/>
            </w:pPr>
            <w:r>
              <w:rPr>
                <w:bCs/>
                <w:b/>
              </w:rPr>
              <w:t xml:space="preserve">(£4,070)</w:t>
            </w:r>
          </w:p>
        </w:tc>
        <w:tc>
          <w:tcPr/>
          <w:p>
            <w:pPr>
              <w:pStyle w:val="Compact"/>
              <w:jc w:val="right"/>
            </w:pPr>
            <w:r>
              <w:rPr>
                <w:bCs/>
                <w:b/>
              </w:rPr>
              <w:t xml:space="preserve">(£3,356)</w:t>
            </w:r>
          </w:p>
        </w:tc>
        <w:tc>
          <w:tcPr/>
          <w:p>
            <w:pPr>
              <w:pStyle w:val="Compact"/>
              <w:jc w:val="right"/>
            </w:pPr>
            <w:r>
              <w:rPr>
                <w:bCs/>
                <w:b/>
              </w:rPr>
              <w:t xml:space="preserve">(£3,622)</w:t>
            </w:r>
          </w:p>
        </w:tc>
        <w:tc>
          <w:tcPr/>
          <w:p>
            <w:pPr>
              <w:pStyle w:val="Compact"/>
              <w:jc w:val="right"/>
            </w:pPr>
            <w:r>
              <w:rPr>
                <w:bCs/>
                <w:b/>
              </w:rPr>
              <w:t xml:space="preserve">£8,288</w:t>
            </w:r>
          </w:p>
        </w:tc>
        <w:tc>
          <w:tcPr/>
          <w:p>
            <w:pPr>
              <w:pStyle w:val="Compact"/>
              <w:jc w:val="right"/>
            </w:pPr>
            <w:r>
              <w:rPr>
                <w:bCs/>
                <w:b/>
              </w:rPr>
              <w:t xml:space="preserve">(£2,993)</w:t>
            </w:r>
          </w:p>
        </w:tc>
        <w:tc>
          <w:tcPr/>
          <w:p>
            <w:pPr>
              <w:pStyle w:val="Compact"/>
              <w:jc w:val="right"/>
            </w:pPr>
            <w:r>
              <w:rPr>
                <w:bCs/>
                <w:b/>
              </w:rPr>
              <w:t xml:space="preserve">(£2,892)</w:t>
            </w:r>
          </w:p>
        </w:tc>
        <w:tc>
          <w:tcPr/>
          <w:p>
            <w:pPr>
              <w:pStyle w:val="Compact"/>
              <w:jc w:val="right"/>
            </w:pPr>
            <w:r>
              <w:rPr>
                <w:bCs/>
                <w:b/>
              </w:rPr>
              <w:t xml:space="preserve">(£3,458)</w:t>
            </w:r>
          </w:p>
        </w:tc>
        <w:tc>
          <w:tcPr/>
          <w:p>
            <w:pPr>
              <w:pStyle w:val="Compact"/>
              <w:jc w:val="right"/>
            </w:pPr>
            <w:r>
              <w:rPr>
                <w:bCs/>
                <w:b/>
              </w:rPr>
              <w:t xml:space="preserve">(£2,797)</w:t>
            </w:r>
          </w:p>
        </w:tc>
        <w:tc>
          <w:tcPr/>
          <w:p>
            <w:pPr>
              <w:pStyle w:val="Compact"/>
              <w:jc w:val="right"/>
            </w:pPr>
            <w:r>
              <w:rPr>
                <w:bCs/>
                <w:b/>
              </w:rPr>
              <w:t xml:space="preserve">(£3,436)</w:t>
            </w:r>
          </w:p>
        </w:tc>
        <w:tc>
          <w:tcPr/>
          <w:p>
            <w:pPr>
              <w:pStyle w:val="Compact"/>
              <w:jc w:val="right"/>
            </w:pPr>
            <w:r>
              <w:rPr>
                <w:bCs/>
                <w:b/>
              </w:rPr>
              <w:t xml:space="preserve">£8,913</w:t>
            </w:r>
          </w:p>
        </w:tc>
      </w:tr>
      <w:tr>
        <w:tc>
          <w:tcPr/>
          <w:p>
            <w:pPr>
              <w:pStyle w:val="Compact"/>
              <w:jc w:val="left"/>
            </w:pPr>
            <w:r>
              <w:rPr>
                <w:bCs/>
                <w:b/>
              </w:rPr>
              <w:t xml:space="preserve">Closing cash</w:t>
            </w:r>
          </w:p>
        </w:tc>
        <w:tc>
          <w:tcPr/>
          <w:p>
            <w:pPr>
              <w:pStyle w:val="Compact"/>
              <w:jc w:val="right"/>
            </w:pPr>
            <w:r>
              <w:rPr>
                <w:bCs/>
                <w:b/>
              </w:rPr>
              <w:t xml:space="preserve">£34,256</w:t>
            </w:r>
          </w:p>
        </w:tc>
        <w:tc>
          <w:tcPr/>
          <w:p>
            <w:pPr>
              <w:pStyle w:val="Compact"/>
              <w:jc w:val="right"/>
            </w:pPr>
            <w:r>
              <w:rPr>
                <w:bCs/>
                <w:b/>
              </w:rPr>
              <w:t xml:space="preserve">£49,466</w:t>
            </w:r>
          </w:p>
        </w:tc>
        <w:tc>
          <w:tcPr/>
          <w:p>
            <w:pPr>
              <w:pStyle w:val="Compact"/>
              <w:jc w:val="right"/>
            </w:pPr>
            <w:r>
              <w:rPr>
                <w:bCs/>
                <w:b/>
              </w:rPr>
              <w:t xml:space="preserve">£46,173</w:t>
            </w:r>
          </w:p>
        </w:tc>
        <w:tc>
          <w:tcPr/>
          <w:p>
            <w:pPr>
              <w:pStyle w:val="Compact"/>
              <w:jc w:val="right"/>
            </w:pPr>
            <w:r>
              <w:rPr>
                <w:bCs/>
                <w:b/>
              </w:rPr>
              <w:t xml:space="preserve">£42,103</w:t>
            </w:r>
          </w:p>
        </w:tc>
        <w:tc>
          <w:tcPr/>
          <w:p>
            <w:pPr>
              <w:pStyle w:val="Compact"/>
              <w:jc w:val="right"/>
            </w:pPr>
            <w:r>
              <w:rPr>
                <w:bCs/>
                <w:b/>
              </w:rPr>
              <w:t xml:space="preserve">£38,748</w:t>
            </w:r>
          </w:p>
        </w:tc>
        <w:tc>
          <w:tcPr/>
          <w:p>
            <w:pPr>
              <w:pStyle w:val="Compact"/>
              <w:jc w:val="right"/>
            </w:pPr>
            <w:r>
              <w:rPr>
                <w:bCs/>
                <w:b/>
              </w:rPr>
              <w:t xml:space="preserve">£35,126</w:t>
            </w:r>
          </w:p>
        </w:tc>
        <w:tc>
          <w:tcPr/>
          <w:p>
            <w:pPr>
              <w:pStyle w:val="Compact"/>
              <w:jc w:val="right"/>
            </w:pPr>
            <w:r>
              <w:rPr>
                <w:bCs/>
                <w:b/>
              </w:rPr>
              <w:t xml:space="preserve">£43,414</w:t>
            </w:r>
          </w:p>
        </w:tc>
        <w:tc>
          <w:tcPr/>
          <w:p>
            <w:pPr>
              <w:pStyle w:val="Compact"/>
              <w:jc w:val="right"/>
            </w:pPr>
            <w:r>
              <w:rPr>
                <w:bCs/>
                <w:b/>
              </w:rPr>
              <w:t xml:space="preserve">£40,421</w:t>
            </w:r>
          </w:p>
        </w:tc>
        <w:tc>
          <w:tcPr/>
          <w:p>
            <w:pPr>
              <w:pStyle w:val="Compact"/>
              <w:jc w:val="right"/>
            </w:pPr>
            <w:r>
              <w:rPr>
                <w:bCs/>
                <w:b/>
              </w:rPr>
              <w:t xml:space="preserve">£37,529</w:t>
            </w:r>
          </w:p>
        </w:tc>
        <w:tc>
          <w:tcPr/>
          <w:p>
            <w:pPr>
              <w:pStyle w:val="Compact"/>
              <w:jc w:val="right"/>
            </w:pPr>
            <w:r>
              <w:rPr>
                <w:bCs/>
                <w:b/>
              </w:rPr>
              <w:t xml:space="preserve">£34,071</w:t>
            </w:r>
          </w:p>
        </w:tc>
        <w:tc>
          <w:tcPr/>
          <w:p>
            <w:pPr>
              <w:pStyle w:val="Compact"/>
              <w:jc w:val="right"/>
            </w:pPr>
            <w:r>
              <w:rPr>
                <w:bCs/>
                <w:b/>
              </w:rPr>
              <w:t xml:space="preserve">£31,275</w:t>
            </w:r>
          </w:p>
        </w:tc>
        <w:tc>
          <w:tcPr/>
          <w:p>
            <w:pPr>
              <w:pStyle w:val="Compact"/>
              <w:jc w:val="right"/>
            </w:pPr>
            <w:r>
              <w:rPr>
                <w:bCs/>
                <w:b/>
              </w:rPr>
              <w:t xml:space="preserve">£27,839</w:t>
            </w:r>
          </w:p>
        </w:tc>
        <w:tc>
          <w:tcPr/>
          <w:p>
            <w:pPr>
              <w:pStyle w:val="Compact"/>
            </w:pPr>
          </w:p>
        </w:tc>
      </w:tr>
    </w:tbl>
    <w:p>
      <w:pPr>
        <w:pStyle w:val="BodyText"/>
      </w:pPr>
      <w:r>
        <w:t xml:space="preserve">The tightest point is Sep-26 (£2,407), before the friends-and-family and Nigerian-company investments arrive. After November 2026 the balance does not fall below about £7,000. If either investment arrives late, the founders will hold back Year 1 marketing and the test-device purchase until it lands. Section 12.3 shows the company stays solvent even if the first licence never arrives.</w:t>
      </w:r>
    </w:p>
    <w:bookmarkEnd w:id="73"/>
    <w:bookmarkStart w:id="74" w:name="downside-test-no-university-ever-signs"/>
    <w:p>
      <w:pPr>
        <w:pStyle w:val="Heading3"/>
      </w:pPr>
      <w:r>
        <w:t xml:space="preserve">12.3 Downside test: no university ever signs</w:t>
      </w:r>
    </w:p>
    <w:p>
      <w:pPr>
        <w:pStyle w:val="FirstParagraph"/>
      </w:pPr>
      <w:r>
        <w:t xml:space="preserve">If</w:t>
      </w:r>
      <w:r>
        <w:t xml:space="preserve"> </w:t>
      </w:r>
      <w:r>
        <w:rPr>
          <w:bCs/>
          <w:b/>
        </w:rPr>
        <w:t xml:space="preserve">no partner licence is signed at any point</w:t>
      </w:r>
      <w:r>
        <w:t xml:space="preserve"> </w:t>
      </w:r>
      <w:r>
        <w:t xml:space="preserve">in the three years, DEQUAD still trades on Premium and Starter revenue (Year 3 revenue £12,744). In this case the founders hold every overhead, including marketing, at its Year 1 level, work remotely, and hold back founder pay, the Year 3 hire and equipment purchases. The company never runs out of cash: the lowest balance is £2,407, and it ends Year 3 with £13,178. The business survives the failure of its main commercial assumption. What depends on that assumption is growth and jobs, not survival.</w:t>
      </w:r>
    </w:p>
    <w:p>
      <w:r>
        <w:pict>
          <v:rect style="width:0;height:1.5pt" o:hralign="center" o:hrstd="t" o:hr="t"/>
        </w:pict>
      </w:r>
    </w:p>
    <w:bookmarkEnd w:id="74"/>
    <w:bookmarkEnd w:id="75"/>
    <w:bookmarkStart w:id="76"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(£1,390)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(£9,865)</w:t>
            </w:r>
          </w:p>
        </w:tc>
      </w:tr>
      <w:tr>
        <w:tc>
          <w:tcPr/>
          <w:p>
            <w:pPr>
              <w:pStyle w:val="Compact"/>
              <w:jc w:val="left"/>
            </w:pPr>
            <w:r>
              <w:rPr>
                <w:bCs/>
                <w:b/>
              </w:rPr>
              <w:t xml:space="preserve">Gross profit</w:t>
            </w:r>
          </w:p>
        </w:tc>
        <w:tc>
          <w:tcPr/>
          <w:p>
            <w:pPr>
              <w:pStyle w:val="Compact"/>
              <w:jc w:val="right"/>
            </w:pPr>
            <w:r>
              <w:rPr>
                <w:bCs/>
                <w:b/>
              </w:rPr>
              <w:t xml:space="preserve">(£820)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£67,123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(£28,000)</w:t>
            </w:r>
          </w:p>
        </w:tc>
        <w:tc>
          <w:tcPr/>
          <w:p>
            <w:pPr>
              <w:pStyle w:val="Compact"/>
              <w:jc w:val="right"/>
            </w:pPr>
            <w:r>
              <w:t xml:space="preserve">(£28,000)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(£840)</w:t>
            </w:r>
          </w:p>
        </w:tc>
        <w:tc>
          <w:tcPr/>
          <w:p>
            <w:pPr>
              <w:pStyle w:val="Compact"/>
              <w:jc w:val="right"/>
            </w:pPr>
            <w:r>
              <w:t xml:space="preserve">(£840)</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(£210)</w:t>
            </w:r>
          </w:p>
        </w:tc>
        <w:tc>
          <w:tcPr/>
          <w:p>
            <w:pPr>
              <w:pStyle w:val="Compact"/>
              <w:jc w:val="right"/>
            </w:pPr>
            <w:r>
              <w:t xml:space="preserve">(£210)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(£43,771)</w:t>
            </w:r>
          </w:p>
        </w:tc>
        <w:tc>
          <w:tcPr/>
          <w:p>
            <w:pPr>
              <w:pStyle w:val="Compact"/>
              <w:jc w:val="right"/>
            </w:pPr>
            <w:r>
              <w:rPr>
                <w:bCs/>
                <w:b/>
              </w:rPr>
              <w:t xml:space="preserve">(£57,632)</w:t>
            </w:r>
          </w:p>
        </w:tc>
      </w:tr>
      <w:tr>
        <w:tc>
          <w:tcPr/>
          <w:p>
            <w:pPr>
              <w:pStyle w:val="Compact"/>
              <w:jc w:val="left"/>
            </w:pPr>
            <w:r>
              <w:rPr>
                <w:bCs/>
                <w:b/>
              </w:rPr>
              <w:t xml:space="preserve">EBITDA</w:t>
            </w:r>
          </w:p>
        </w:tc>
        <w:tc>
          <w:tcPr/>
          <w:p>
            <w:pPr>
              <w:pStyle w:val="Compact"/>
              <w:jc w:val="right"/>
            </w:pPr>
            <w:r>
              <w:rPr>
                <w:bCs/>
                <w:b/>
              </w:rPr>
              <w:t xml:space="preserve">(£4,920)</w:t>
            </w:r>
          </w:p>
        </w:tc>
        <w:tc>
          <w:tcPr/>
          <w:p>
            <w:pPr>
              <w:pStyle w:val="Compact"/>
              <w:jc w:val="right"/>
            </w:pPr>
            <w:r>
              <w:rPr>
                <w:bCs/>
                <w:b/>
              </w:rPr>
              <w:t xml:space="preserve">£9,679</w:t>
            </w:r>
          </w:p>
        </w:tc>
        <w:tc>
          <w:tcPr/>
          <w:p>
            <w:pPr>
              <w:pStyle w:val="Compact"/>
              <w:jc w:val="right"/>
            </w:pPr>
            <w:r>
              <w:rPr>
                <w:bCs/>
                <w:b/>
              </w:rPr>
              <w:t xml:space="preserve">£4,732</w:t>
            </w:r>
          </w:p>
        </w:tc>
        <w:tc>
          <w:tcPr/>
          <w:p>
            <w:pPr>
              <w:pStyle w:val="Compact"/>
              <w:jc w:val="right"/>
            </w:pPr>
            <w:r>
              <w:rPr>
                <w:bCs/>
                <w:b/>
              </w:rPr>
              <w:t xml:space="preserve">£9,491</w:t>
            </w:r>
          </w:p>
        </w:tc>
      </w:tr>
      <w:tr>
        <w:tc>
          <w:tcPr/>
          <w:p>
            <w:pPr>
              <w:pStyle w:val="Compact"/>
              <w:jc w:val="left"/>
            </w:pPr>
            <w:r>
              <w:t xml:space="preserve">Depreciation</w:t>
            </w:r>
          </w:p>
        </w:tc>
        <w:tc>
          <w:tcPr/>
          <w:p>
            <w:pPr>
              <w:pStyle w:val="Compact"/>
              <w:jc w:val="right"/>
            </w:pPr>
            <w:r>
              <w:t xml:space="preserve">(£150)</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(£1,442)</w:t>
            </w:r>
          </w:p>
        </w:tc>
      </w:tr>
      <w:tr>
        <w:tc>
          <w:tcPr/>
          <w:p>
            <w:pPr>
              <w:pStyle w:val="Compact"/>
              <w:jc w:val="left"/>
            </w:pPr>
            <w:r>
              <w:rPr>
                <w:bCs/>
                <w:b/>
              </w:rPr>
              <w:t xml:space="preserve">Operating profit / (loss)</w:t>
            </w:r>
          </w:p>
        </w:tc>
        <w:tc>
          <w:tcPr/>
          <w:p>
            <w:pPr>
              <w:pStyle w:val="Compact"/>
              <w:jc w:val="right"/>
            </w:pPr>
            <w:r>
              <w:rPr>
                <w:bCs/>
                <w:b/>
              </w:rPr>
              <w:t xml:space="preserve">(£5,070)</w:t>
            </w:r>
          </w:p>
        </w:tc>
        <w:tc>
          <w:tcPr/>
          <w:p>
            <w:pPr>
              <w:pStyle w:val="Compact"/>
              <w:jc w:val="right"/>
            </w:pPr>
            <w:r>
              <w:rPr>
                <w:bCs/>
                <w:b/>
              </w:rPr>
              <w:t xml:space="preserve">£9,254</w:t>
            </w:r>
          </w:p>
        </w:tc>
        <w:tc>
          <w:tcPr/>
          <w:p>
            <w:pPr>
              <w:pStyle w:val="Compact"/>
              <w:jc w:val="right"/>
            </w:pPr>
            <w:r>
              <w:rPr>
                <w:bCs/>
                <w:b/>
              </w:rPr>
              <w:t xml:space="preserve">£3,865</w:t>
            </w:r>
          </w:p>
        </w:tc>
        <w:tc>
          <w:tcPr/>
          <w:p>
            <w:pPr>
              <w:pStyle w:val="Compact"/>
              <w:jc w:val="right"/>
            </w:pPr>
            <w:r>
              <w:rPr>
                <w:bCs/>
                <w:b/>
              </w:rPr>
              <w:t xml:space="preserve">£8,049</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(£619)</w:t>
            </w:r>
          </w:p>
        </w:tc>
        <w:tc>
          <w:tcPr/>
          <w:p>
            <w:pPr>
              <w:pStyle w:val="Compact"/>
              <w:jc w:val="right"/>
            </w:pPr>
            <w:r>
              <w:t xml:space="preserve">(£671)</w:t>
            </w:r>
          </w:p>
        </w:tc>
        <w:tc>
          <w:tcPr/>
          <w:p>
            <w:pPr>
              <w:pStyle w:val="Compact"/>
              <w:jc w:val="right"/>
            </w:pPr>
            <w:r>
              <w:t xml:space="preserve">(£1,290)</w:t>
            </w:r>
          </w:p>
        </w:tc>
      </w:tr>
      <w:tr>
        <w:tc>
          <w:tcPr/>
          <w:p>
            <w:pPr>
              <w:pStyle w:val="Compact"/>
              <w:jc w:val="left"/>
            </w:pPr>
            <w:r>
              <w:rPr>
                <w:bCs/>
                <w:b/>
              </w:rPr>
              <w:t xml:space="preserve">Profit / (loss) after tax</w:t>
            </w:r>
          </w:p>
        </w:tc>
        <w:tc>
          <w:tcPr/>
          <w:p>
            <w:pPr>
              <w:pStyle w:val="Compact"/>
              <w:jc w:val="right"/>
            </w:pPr>
            <w:r>
              <w:rPr>
                <w:bCs/>
                <w:b/>
              </w:rPr>
              <w:t xml:space="preserve">(£5,070)</w:t>
            </w:r>
          </w:p>
        </w:tc>
        <w:tc>
          <w:tcPr/>
          <w:p>
            <w:pPr>
              <w:pStyle w:val="Compact"/>
              <w:jc w:val="right"/>
            </w:pPr>
            <w:r>
              <w:rPr>
                <w:bCs/>
                <w:b/>
              </w:rPr>
              <w:t xml:space="preserve">£8,635</w:t>
            </w:r>
          </w:p>
        </w:tc>
        <w:tc>
          <w:tcPr/>
          <w:p>
            <w:pPr>
              <w:pStyle w:val="Compact"/>
              <w:jc w:val="right"/>
            </w:pPr>
            <w:r>
              <w:rPr>
                <w:bCs/>
                <w:b/>
              </w:rPr>
              <w:t xml:space="preserve">£3,194</w:t>
            </w:r>
          </w:p>
        </w:tc>
        <w:tc>
          <w:tcPr/>
          <w:p>
            <w:pPr>
              <w:pStyle w:val="Compact"/>
              <w:jc w:val="right"/>
            </w:pPr>
            <w:r>
              <w:rPr>
                <w:bCs/>
                <w:b/>
              </w:rPr>
              <w:t xml:space="preserve">£6,759</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39.1%</w:t>
            </w:r>
          </w:p>
        </w:tc>
        <w:tc>
          <w:tcPr/>
          <w:p>
            <w:pPr>
              <w:pStyle w:val="Compact"/>
              <w:jc w:val="right"/>
            </w:pPr>
            <w:r>
              <w:t xml:space="preserve">5.9%</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(£5,070)</w:t>
            </w:r>
          </w:p>
        </w:tc>
        <w:tc>
          <w:tcPr/>
          <w:p>
            <w:pPr>
              <w:pStyle w:val="Compact"/>
              <w:jc w:val="right"/>
            </w:pPr>
            <w:r>
              <w:t xml:space="preserve">£150</w:t>
            </w:r>
          </w:p>
        </w:tc>
        <w:tc>
          <w:tcPr/>
          <w:p>
            <w:pPr>
              <w:pStyle w:val="Compact"/>
              <w:jc w:val="right"/>
            </w:pPr>
            <w:r>
              <w:t xml:space="preserve">(£600)</w:t>
            </w:r>
          </w:p>
        </w:tc>
        <w:tc>
          <w:tcPr/>
          <w:p>
            <w:pPr>
              <w:pStyle w:val="Compact"/>
              <w:jc w:val="right"/>
            </w:pPr>
            <w:r>
              <w:t xml:space="preserve">(£5,520)</w:t>
            </w:r>
          </w:p>
        </w:tc>
        <w:tc>
          <w:tcPr/>
          <w:p>
            <w:pPr>
              <w:pStyle w:val="Compact"/>
              <w:jc w:val="right"/>
            </w:pPr>
            <w:r>
              <w:t xml:space="preserve">£5,520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£619</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£3,865</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£3,532</w:t>
            </w:r>
          </w:p>
        </w:tc>
        <w:tc>
          <w:tcPr/>
          <w:p>
            <w:pPr>
              <w:pStyle w:val="Compact"/>
              <w:jc w:val="right"/>
            </w:pPr>
            <w:r>
              <w:t xml:space="preserve">–</w:t>
            </w:r>
          </w:p>
        </w:tc>
        <w:tc>
          <w:tcPr/>
          <w:p>
            <w:pPr>
              <w:pStyle w:val="Compact"/>
              <w:jc w:val="right"/>
            </w:pPr>
            <w:r>
              <w:t xml:space="preserve">£671</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(£5,070) funded from the equity raised. Year 2 turns profitable (£8,635 after tax) on the first licence and a cost base still carried by unpaid founders. In Year 3 the company starts paying both founders and makes its first hire, and still makes a profit (£3,194). Profit is not the aim in the early years; showing that the company can pay for its own team from revenue is.</w:t>
      </w:r>
    </w:p>
    <w:p>
      <w:r>
        <w:pict>
          <v:rect style="width:0;height:1.5pt" o:hralign="center" o:hrstd="t" o:hr="t"/>
        </w:pict>
      </w:r>
    </w:p>
    <w:bookmarkEnd w:id="76"/>
    <w:bookmarkStart w:id="77"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(£150)</w:t>
            </w:r>
          </w:p>
        </w:tc>
        <w:tc>
          <w:tcPr/>
          <w:p>
            <w:pPr>
              <w:pStyle w:val="Compact"/>
              <w:jc w:val="right"/>
            </w:pPr>
            <w:r>
              <w:t xml:space="preserve">(£575)</w:t>
            </w:r>
          </w:p>
        </w:tc>
        <w:tc>
          <w:tcPr/>
          <w:p>
            <w:pPr>
              <w:pStyle w:val="Compact"/>
              <w:jc w:val="right"/>
            </w:pPr>
            <w:r>
              <w:t xml:space="preserve">(£1,442)</w:t>
            </w:r>
          </w:p>
        </w:tc>
      </w:tr>
      <w:tr>
        <w:tc>
          <w:tcPr/>
          <w:p>
            <w:pPr>
              <w:pStyle w:val="Compact"/>
              <w:jc w:val="left"/>
            </w:pPr>
            <w:r>
              <w:rPr>
                <w:bCs/>
                <w:b/>
              </w:rPr>
              <w:t xml:space="preserve">Net book value of fixed assets</w:t>
            </w:r>
          </w:p>
        </w:tc>
        <w:tc>
          <w:tcPr/>
          <w:p>
            <w:pPr>
              <w:pStyle w:val="Compact"/>
              <w:jc w:val="right"/>
            </w:pPr>
            <w:r>
              <w:rPr>
                <w:bCs/>
                <w:b/>
              </w:rPr>
              <w:t xml:space="preserve">£450</w:t>
            </w:r>
          </w:p>
        </w:tc>
        <w:tc>
          <w:tcPr/>
          <w:p>
            <w:pPr>
              <w:pStyle w:val="Compact"/>
              <w:jc w:val="right"/>
            </w:pPr>
            <w:r>
              <w:rPr>
                <w:bCs/>
                <w:b/>
              </w:rPr>
              <w:t xml:space="preserve">£925</w:t>
            </w:r>
          </w:p>
        </w:tc>
        <w:tc>
          <w:tcPr/>
          <w:p>
            <w:pPr>
              <w:pStyle w:val="Compact"/>
              <w:jc w:val="right"/>
            </w:pPr>
            <w:r>
              <w:rPr>
                <w:bCs/>
                <w:b/>
              </w:rPr>
              <w:t xml:space="preserve">£1,258</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£8,480</w:t>
            </w:r>
          </w:p>
        </w:tc>
        <w:tc>
          <w:tcPr/>
          <w:p>
            <w:pPr>
              <w:pStyle w:val="Compact"/>
              <w:jc w:val="right"/>
            </w:pPr>
            <w:r>
              <w:t xml:space="preserve">£18,926</w:t>
            </w:r>
          </w:p>
        </w:tc>
        <w:tc>
          <w:tcPr/>
          <w:p>
            <w:pPr>
              <w:pStyle w:val="Compact"/>
              <w:jc w:val="right"/>
            </w:pPr>
            <w:r>
              <w:t xml:space="preserve">£27,839</w:t>
            </w:r>
          </w:p>
        </w:tc>
      </w:tr>
      <w:tr>
        <w:tc>
          <w:tcPr/>
          <w:p>
            <w:pPr>
              <w:pStyle w:val="Compact"/>
              <w:jc w:val="left"/>
            </w:pPr>
            <w:r>
              <w:rPr>
                <w:bCs/>
                <w:b/>
              </w:rPr>
              <w:t xml:space="preserve">Total assets</w:t>
            </w:r>
          </w:p>
        </w:tc>
        <w:tc>
          <w:tcPr/>
          <w:p>
            <w:pPr>
              <w:pStyle w:val="Compact"/>
              <w:jc w:val="right"/>
            </w:pPr>
            <w:r>
              <w:rPr>
                <w:bCs/>
                <w:b/>
              </w:rPr>
              <w:t xml:space="preserve">£8,930</w:t>
            </w:r>
          </w:p>
        </w:tc>
        <w:tc>
          <w:tcPr/>
          <w:p>
            <w:pPr>
              <w:pStyle w:val="Compact"/>
              <w:jc w:val="right"/>
            </w:pPr>
            <w:r>
              <w:rPr>
                <w:bCs/>
                <w:b/>
              </w:rPr>
              <w:t xml:space="preserve">£39,851</w:t>
            </w:r>
          </w:p>
        </w:tc>
        <w:tc>
          <w:tcPr/>
          <w:p>
            <w:pPr>
              <w:pStyle w:val="Compact"/>
              <w:jc w:val="right"/>
            </w:pPr>
            <w:r>
              <w:rPr>
                <w:bCs/>
                <w:b/>
              </w:rPr>
              <w:t xml:space="preserve">£49,097</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(£619)</w:t>
            </w:r>
          </w:p>
        </w:tc>
        <w:tc>
          <w:tcPr/>
          <w:p>
            <w:pPr>
              <w:pStyle w:val="Compact"/>
              <w:jc w:val="right"/>
            </w:pPr>
            <w:r>
              <w:t xml:space="preserve">(£671)</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(£22,286)</w:t>
            </w:r>
          </w:p>
        </w:tc>
        <w:tc>
          <w:tcPr/>
          <w:p>
            <w:pPr>
              <w:pStyle w:val="Compact"/>
              <w:jc w:val="right"/>
            </w:pPr>
            <w:r>
              <w:rPr>
                <w:bCs/>
                <w:b/>
              </w:rPr>
              <w:t xml:space="preserve">(£28,338)</w:t>
            </w:r>
          </w:p>
        </w:tc>
      </w:tr>
      <w:tr>
        <w:tc>
          <w:tcPr/>
          <w:p>
            <w:pPr>
              <w:pStyle w:val="Compact"/>
              <w:jc w:val="left"/>
            </w:pPr>
            <w:r>
              <w:rPr>
                <w:bCs/>
                <w:b/>
              </w:rPr>
              <w:t xml:space="preserve">Net assets</w:t>
            </w:r>
          </w:p>
        </w:tc>
        <w:tc>
          <w:tcPr/>
          <w:p>
            <w:pPr>
              <w:pStyle w:val="Compact"/>
              <w:jc w:val="right"/>
            </w:pPr>
            <w:r>
              <w:rPr>
                <w:bCs/>
                <w:b/>
              </w:rPr>
              <w:t xml:space="preserve">£8,930</w:t>
            </w:r>
          </w:p>
        </w:tc>
        <w:tc>
          <w:tcPr/>
          <w:p>
            <w:pPr>
              <w:pStyle w:val="Compact"/>
              <w:jc w:val="right"/>
            </w:pPr>
            <w:r>
              <w:rPr>
                <w:bCs/>
                <w:b/>
              </w:rPr>
              <w:t xml:space="preserve">£17,565</w:t>
            </w:r>
          </w:p>
        </w:tc>
        <w:tc>
          <w:tcPr/>
          <w:p>
            <w:pPr>
              <w:pStyle w:val="Compact"/>
              <w:jc w:val="right"/>
            </w:pPr>
            <w:r>
              <w:rPr>
                <w:bCs/>
                <w:b/>
              </w:rPr>
              <w:t xml:space="preserve">£20,759</w:t>
            </w:r>
          </w:p>
        </w:tc>
      </w:tr>
      <w:tr>
        <w:tc>
          <w:tcPr/>
          <w:p>
            <w:pPr>
              <w:pStyle w:val="Compact"/>
              <w:jc w:val="left"/>
            </w:pPr>
            <w:r>
              <w:t xml:space="preserve">Share capital &amp; share premium (founders £3k; friends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(£5,070)</w:t>
            </w:r>
          </w:p>
        </w:tc>
        <w:tc>
          <w:tcPr/>
          <w:p>
            <w:pPr>
              <w:pStyle w:val="Compact"/>
              <w:jc w:val="right"/>
            </w:pPr>
            <w:r>
              <w:t xml:space="preserve">£3,565</w:t>
            </w:r>
          </w:p>
        </w:tc>
        <w:tc>
          <w:tcPr/>
          <w:p>
            <w:pPr>
              <w:pStyle w:val="Compact"/>
              <w:jc w:val="right"/>
            </w:pPr>
            <w:r>
              <w:t xml:space="preserve">£6,759</w:t>
            </w:r>
          </w:p>
        </w:tc>
      </w:tr>
      <w:tr>
        <w:tc>
          <w:tcPr/>
          <w:p>
            <w:pPr>
              <w:pStyle w:val="Compact"/>
              <w:jc w:val="left"/>
            </w:pPr>
            <w:r>
              <w:rPr>
                <w:bCs/>
                <w:b/>
              </w:rPr>
              <w:t xml:space="preserve">Total shareholders’ funds</w:t>
            </w:r>
          </w:p>
        </w:tc>
        <w:tc>
          <w:tcPr/>
          <w:p>
            <w:pPr>
              <w:pStyle w:val="Compact"/>
              <w:jc w:val="right"/>
            </w:pPr>
            <w:r>
              <w:rPr>
                <w:bCs/>
                <w:b/>
              </w:rPr>
              <w:t xml:space="preserve">£8,930</w:t>
            </w:r>
          </w:p>
        </w:tc>
        <w:tc>
          <w:tcPr/>
          <w:p>
            <w:pPr>
              <w:pStyle w:val="Compact"/>
              <w:jc w:val="right"/>
            </w:pPr>
            <w:r>
              <w:rPr>
                <w:bCs/>
                <w:b/>
              </w:rPr>
              <w:t xml:space="preserve">£17,565</w:t>
            </w:r>
          </w:p>
        </w:tc>
        <w:tc>
          <w:tcPr/>
          <w:p>
            <w:pPr>
              <w:pStyle w:val="Compact"/>
              <w:jc w:val="right"/>
            </w:pPr>
            <w:r>
              <w:rPr>
                <w:bCs/>
                <w:b/>
              </w:rPr>
              <w:t xml:space="preserve">£20,759</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founders, friends and family, and the Nigerian company investor. The split between nominal share capital and share premium depends on the share price agreed for each allotment.</w:t>
      </w:r>
    </w:p>
    <w:p>
      <w:r>
        <w:pict>
          <v:rect style="width:0;height:1.5pt" o:hralign="center" o:hrstd="t" o:hr="t"/>
        </w:pict>
      </w:r>
    </w:p>
    <w:bookmarkEnd w:id="77"/>
    <w:bookmarkStart w:id="78"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78"/>
    <w:bookmarkStart w:id="79"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£600</w:t>
            </w:r>
          </w:p>
        </w:tc>
        <w:tc>
          <w:tcPr/>
          <w:p>
            <w:pPr>
              <w:pStyle w:val="Compact"/>
              <w:jc w:val="right"/>
            </w:pPr>
            <w:r>
              <w:t xml:space="preserve">£375</w:t>
            </w:r>
          </w:p>
        </w:tc>
        <w:tc>
          <w:tcPr/>
          <w:p>
            <w:pPr>
              <w:pStyle w:val="Compact"/>
              <w:jc w:val="right"/>
            </w:pPr>
            <w:r>
              <w:t xml:space="preserve">£240</w:t>
            </w:r>
          </w:p>
        </w:tc>
        <w:tc>
          <w:tcPr/>
          <w:p>
            <w:pPr>
              <w:pStyle w:val="Compact"/>
              <w:jc w:val="right"/>
            </w:pPr>
            <w:r>
              <w:t xml:space="preserve">£285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founders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79"/>
    <w:bookmarkStart w:id="80" w:name="forecasted-fixed-asset-schedule"/>
    <w:p>
      <w:pPr>
        <w:pStyle w:val="Heading2"/>
      </w:pPr>
      <w:r>
        <w:t xml:space="preserve">17. Forecasted Fixed Asset Schedule</w:t>
      </w:r>
    </w:p>
    <w:p>
      <w:pPr>
        <w:pStyle w:val="FirstParagraph"/>
      </w:pPr>
      <w:r>
        <w:t xml:space="preserve">DEQUAD’s main asset, the software platform, was built by the founders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Dec-26</w:t>
            </w:r>
          </w:p>
        </w:tc>
        <w:tc>
          <w:tcPr/>
          <w:p>
            <w:pPr>
              <w:pStyle w:val="Compact"/>
              <w:jc w:val="right"/>
            </w:pPr>
            <w:r>
              <w:t xml:space="preserve">£600</w:t>
            </w:r>
          </w:p>
        </w:tc>
        <w:tc>
          <w:tcPr/>
          <w:p>
            <w:pPr>
              <w:pStyle w:val="Compact"/>
              <w:jc w:val="right"/>
            </w:pPr>
            <w:r>
              <w:t xml:space="preserve">£150</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£50</w:t>
            </w:r>
          </w:p>
        </w:tc>
      </w:tr>
      <w:tr>
        <w:tc>
          <w:tcPr/>
          <w:p>
            <w:pPr>
              <w:pStyle w:val="Compact"/>
              <w:jc w:val="left"/>
            </w:pPr>
            <w:r>
              <w:t xml:space="preserve">Development laptop (CTO replacement)</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£150</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£1,258</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(£150)</w:t>
            </w:r>
          </w:p>
        </w:tc>
        <w:tc>
          <w:tcPr/>
          <w:p>
            <w:pPr>
              <w:pStyle w:val="Compact"/>
              <w:jc w:val="right"/>
            </w:pPr>
            <w:r>
              <w:t xml:space="preserve">£450</w:t>
            </w:r>
          </w:p>
        </w:tc>
      </w:tr>
      <w:tr>
        <w:tc>
          <w:tcPr/>
          <w:p>
            <w:pPr>
              <w:pStyle w:val="Compact"/>
              <w:jc w:val="left"/>
            </w:pPr>
            <w:r>
              <w:t xml:space="preserve">Year 2</w:t>
            </w:r>
          </w:p>
        </w:tc>
        <w:tc>
          <w:tcPr/>
          <w:p>
            <w:pPr>
              <w:pStyle w:val="Compact"/>
              <w:jc w:val="right"/>
            </w:pPr>
            <w:r>
              <w:t xml:space="preserve">£450</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£925</w:t>
            </w:r>
          </w:p>
        </w:tc>
      </w:tr>
      <w:tr>
        <w:tc>
          <w:tcPr/>
          <w:p>
            <w:pPr>
              <w:pStyle w:val="Compact"/>
              <w:jc w:val="left"/>
            </w:pPr>
            <w:r>
              <w:t xml:space="preserve">Year 3</w:t>
            </w:r>
          </w:p>
        </w:tc>
        <w:tc>
          <w:tcPr/>
          <w:p>
            <w:pPr>
              <w:pStyle w:val="Compact"/>
              <w:jc w:val="right"/>
            </w:pPr>
            <w:r>
              <w:t xml:space="preserve">£925</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£1,258</w:t>
            </w:r>
          </w:p>
        </w:tc>
      </w:tr>
    </w:tbl>
    <w:p>
      <w:pPr>
        <w:pStyle w:val="BodyText"/>
      </w:pPr>
      <w:r>
        <w:t xml:space="preserve">Founders use their own existing laptops in Year 1. All purchases are timed after licence cash has been received.</w:t>
      </w:r>
    </w:p>
    <w:p>
      <w:r>
        <w:pict>
          <v:rect style="width:0;height:1.5pt" o:hralign="center" o:hrstd="t" o:hr="t"/>
        </w:pict>
      </w:r>
    </w:p>
    <w:bookmarkEnd w:id="80"/>
    <w:bookmarkStart w:id="84" w:name="forecasted-staff-costs"/>
    <w:p>
      <w:pPr>
        <w:pStyle w:val="Heading2"/>
      </w:pPr>
      <w:r>
        <w:t xml:space="preserve">18. Forecasted Staff Costs</w:t>
      </w:r>
    </w:p>
    <w:bookmarkStart w:id="81"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Co-founder &amp; CTO — Yusuff Adeagbo</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1"/>
    <w:bookmarkStart w:id="82"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£28,000</w:t>
            </w:r>
          </w:p>
        </w:tc>
        <w:tc>
          <w:tcPr/>
          <w:p>
            <w:pPr>
              <w:pStyle w:val="Compact"/>
              <w:jc w:val="right"/>
            </w:pPr>
            <w:r>
              <w:t xml:space="preserve">£28,000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£1,950</w:t>
            </w:r>
          </w:p>
        </w:tc>
        <w:tc>
          <w:tcPr/>
          <w:p>
            <w:pPr>
              <w:pStyle w:val="Compact"/>
              <w:jc w:val="right"/>
            </w:pPr>
            <w:r>
              <w:t xml:space="preserve">£1,950</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(£1,950)</w:t>
            </w:r>
          </w:p>
        </w:tc>
        <w:tc>
          <w:tcPr/>
          <w:p>
            <w:pPr>
              <w:pStyle w:val="Compact"/>
              <w:jc w:val="right"/>
            </w:pPr>
            <w:r>
              <w:t xml:space="preserve">(£1,950)</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£840</w:t>
            </w:r>
          </w:p>
        </w:tc>
        <w:tc>
          <w:tcPr/>
          <w:p>
            <w:pPr>
              <w:pStyle w:val="Compact"/>
              <w:jc w:val="right"/>
            </w:pPr>
            <w:r>
              <w:t xml:space="preserve">£840</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£210</w:t>
            </w:r>
          </w:p>
        </w:tc>
        <w:tc>
          <w:tcPr/>
          <w:p>
            <w:pPr>
              <w:pStyle w:val="Compact"/>
              <w:jc w:val="right"/>
            </w:pPr>
            <w:r>
              <w:t xml:space="preserve">£210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£29,050</w:t>
            </w:r>
          </w:p>
        </w:tc>
        <w:tc>
          <w:tcPr/>
          <w:p>
            <w:pPr>
              <w:pStyle w:val="Compact"/>
              <w:jc w:val="right"/>
            </w:pPr>
            <w:r>
              <w:rPr>
                <w:bCs/>
                <w:b/>
              </w:rPr>
              <w:t xml:space="preserve">£29,050</w:t>
            </w:r>
          </w:p>
        </w:tc>
      </w:tr>
      <w:tr>
        <w:tc>
          <w:tcPr/>
          <w:p>
            <w:pPr>
              <w:pStyle w:val="Compact"/>
              <w:jc w:val="left"/>
            </w:pPr>
            <w:r>
              <w:t xml:space="preserve">Headcount at year end (incl. 2 founders)</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2.25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Founders:</w:t>
      </w:r>
      <w:r>
        <w:t xml:space="preserve"> </w:t>
      </w:r>
      <w:r>
        <w:t xml:space="preserve">paid as directors through PAYE from Year 3. Before then, both are unpaid (Section 7.1).</w:t>
      </w:r>
    </w:p>
    <w:bookmarkEnd w:id="82"/>
    <w:bookmarkStart w:id="83"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£20,000</w:t>
            </w:r>
          </w:p>
        </w:tc>
      </w:tr>
      <w:tr>
        <w:tc>
          <w:tcPr/>
          <w:p>
            <w:pPr>
              <w:pStyle w:val="Compact"/>
              <w:jc w:val="left"/>
            </w:pPr>
            <w:r>
              <w:t xml:space="preserve">Co-founder &amp; CTO — Yusuff Adeagbo</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£118,833</w:t>
            </w:r>
          </w:p>
        </w:tc>
        <w:tc>
          <w:tcPr/>
          <w:p>
            <w:pPr>
              <w:pStyle w:val="Compact"/>
              <w:jc w:val="right"/>
            </w:pPr>
            <w:r>
              <w:t xml:space="preserve">£118,833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£2,950</w:t>
            </w:r>
          </w:p>
        </w:tc>
        <w:tc>
          <w:tcPr/>
          <w:p>
            <w:pPr>
              <w:pStyle w:val="Compact"/>
              <w:jc w:val="right"/>
            </w:pPr>
            <w:r>
              <w:t xml:space="preserve">£2,950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£3,565</w:t>
            </w:r>
          </w:p>
        </w:tc>
        <w:tc>
          <w:tcPr/>
          <w:p>
            <w:pPr>
              <w:pStyle w:val="Compact"/>
              <w:jc w:val="right"/>
            </w:pPr>
            <w:r>
              <w:t xml:space="preserve">£3,565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£126,188</w:t>
            </w:r>
          </w:p>
        </w:tc>
        <w:tc>
          <w:tcPr/>
          <w:p>
            <w:pPr>
              <w:pStyle w:val="Compact"/>
              <w:jc w:val="right"/>
            </w:pPr>
            <w:r>
              <w:rPr>
                <w:bCs/>
                <w:b/>
              </w:rPr>
              <w:t xml:space="preserve">£126,188</w:t>
            </w:r>
          </w:p>
        </w:tc>
      </w:tr>
      <w:tr>
        <w:tc>
          <w:tcPr/>
          <w:p>
            <w:pPr>
              <w:pStyle w:val="Compact"/>
              <w:jc w:val="left"/>
            </w:pPr>
            <w:r>
              <w:t xml:space="preserve">Headcount at year end</w:t>
            </w:r>
          </w:p>
        </w:tc>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pPr>
          </w:p>
        </w:tc>
      </w:tr>
    </w:tbl>
    <w:p>
      <w:pPr>
        <w:pStyle w:val="BodyText"/>
      </w:pPr>
      <w:r>
        <w:t xml:space="preserve">The three full-time roles are each paid</w:t>
      </w:r>
      <w:r>
        <w:t xml:space="preserve"> </w:t>
      </w:r>
      <w:r>
        <w:rPr>
          <w:bCs/>
          <w:b/>
        </w:rPr>
        <w:t xml:space="preserve">£25,000 a year</w:t>
      </w:r>
      <w:r>
        <w:t xml:space="preserve">, and the plan funds them for at least 12 months from licence revenue.</w:t>
      </w:r>
    </w:p>
    <w:p>
      <w:r>
        <w:pict>
          <v:rect style="width:0;height:1.5pt" o:hralign="center" o:hrstd="t" o:hr="t"/>
        </w:pict>
      </w:r>
    </w:p>
    <w:bookmarkEnd w:id="83"/>
    <w:bookmarkEnd w:id="84"/>
    <w:bookmarkStart w:id="86"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rPr>
                <w:bCs/>
                <w:b/>
              </w:rPr>
              <w:t xml:space="preserve">B-2</w:t>
            </w:r>
          </w:p>
        </w:tc>
        <w:tc>
          <w:tcPr/>
          <w:p>
            <w:pPr>
              <w:pStyle w:val="Compact"/>
              <w:jc w:val="left"/>
            </w:pPr>
            <w:r>
              <w:rPr>
                <w:bCs/>
                <w:b/>
              </w:rPr>
              <w:t xml:space="preserve">CV — Yusuff Adeagbo, Co-founder &amp; CTO</w:t>
            </w:r>
          </w:p>
        </w:tc>
        <w:tc>
          <w:tcPr/>
          <w:p>
            <w:pPr>
              <w:pStyle w:val="Compact"/>
              <w:jc w:val="left"/>
            </w:pPr>
            <w:r>
              <w:rPr>
                <w:rStyle w:val="VerbatimChar"/>
              </w:rPr>
              <w:t xml:space="preserve">B_cofounder_cv.pdf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5" w:name="founder-cv-summaries"/>
    <w:p>
      <w:pPr>
        <w:pStyle w:val="Heading3"/>
      </w:pPr>
      <w:r>
        <w:t xml:space="preserve">19.1 Founder CV summaries</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pPr>
        <w:pStyle w:val="BodyText"/>
      </w:pPr>
      <w:r>
        <w:rPr>
          <w:bCs/>
          <w:b/>
        </w:rPr>
        <w:t xml:space="preserve">Yusuff Adeagbo — Co-founder &amp; CTO.</w:t>
      </w:r>
      <w:r>
        <w:t xml:space="preserve"> </w:t>
      </w:r>
      <w:r>
        <w:t xml:space="preserve">MSc Information Technology with Project Management, University of the West of Scotland (2022–2024); HND Computer Science. Full-stack engineering, UI/UX design, IT support and business analysis, and digital marketing for e-commerce. Leads DEQUAD’s engineering, infrastructure, security and release management. Full CV: Appendix B-2.</w:t>
      </w:r>
    </w:p>
    <w:p>
      <w:r>
        <w:pict>
          <v:rect style="width:0;height:1.5pt" o:hralign="center" o:hrstd="t" o:hr="t"/>
        </w:pict>
      </w:r>
    </w:p>
    <w:bookmarkEnd w:id="85"/>
    <w:bookmarkEnd w:id="86"/>
    <w:bookmarkEnd w:id="87"/>
    <w:bookmarkStart w:id="91"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88"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founders £3,000 (Sep 2026), friends &amp; family £3,000 (Oct 2026), Nigerian company £8,000 (Nov 2026);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88"/>
    <w:bookmarkStart w:id="89"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(£1,390)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(£18,324)</w:t>
            </w:r>
          </w:p>
        </w:tc>
      </w:tr>
      <w:tr>
        <w:tc>
          <w:tcPr/>
          <w:p>
            <w:pPr>
              <w:pStyle w:val="Compact"/>
              <w:jc w:val="left"/>
            </w:pPr>
            <w:r>
              <w:rPr>
                <w:bCs/>
                <w:b/>
              </w:rPr>
              <w:t xml:space="preserve">Gross profit</w:t>
            </w:r>
          </w:p>
        </w:tc>
        <w:tc>
          <w:tcPr/>
          <w:p>
            <w:pPr>
              <w:pStyle w:val="Compact"/>
              <w:jc w:val="right"/>
            </w:pPr>
            <w:r>
              <w:rPr>
                <w:bCs/>
                <w:b/>
              </w:rPr>
              <w:t xml:space="preserve">(£820)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£168,310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(£118,833)</w:t>
            </w:r>
          </w:p>
        </w:tc>
        <w:tc>
          <w:tcPr/>
          <w:p>
            <w:pPr>
              <w:pStyle w:val="Compact"/>
              <w:jc w:val="right"/>
            </w:pPr>
            <w:r>
              <w:t xml:space="preserve">(£118,833)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(£2,950)</w:t>
            </w:r>
          </w:p>
        </w:tc>
        <w:tc>
          <w:tcPr/>
          <w:p>
            <w:pPr>
              <w:pStyle w:val="Compact"/>
              <w:jc w:val="right"/>
            </w:pPr>
            <w:r>
              <w:t xml:space="preserve">(£2,950)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(£3,565)</w:t>
            </w:r>
          </w:p>
        </w:tc>
        <w:tc>
          <w:tcPr/>
          <w:p>
            <w:pPr>
              <w:pStyle w:val="Compact"/>
              <w:jc w:val="right"/>
            </w:pPr>
            <w:r>
              <w:t xml:space="preserve">(£3,565)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(£840)</w:t>
            </w:r>
          </w:p>
        </w:tc>
        <w:tc>
          <w:tcPr/>
          <w:p>
            <w:pPr>
              <w:pStyle w:val="Compact"/>
              <w:jc w:val="right"/>
            </w:pPr>
            <w:r>
              <w:t xml:space="preserve">(£840)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(£152,189)</w:t>
            </w:r>
          </w:p>
        </w:tc>
        <w:tc>
          <w:tcPr/>
          <w:p>
            <w:pPr>
              <w:pStyle w:val="Compact"/>
              <w:jc w:val="right"/>
            </w:pPr>
            <w:r>
              <w:rPr>
                <w:bCs/>
                <w:b/>
              </w:rPr>
              <w:t xml:space="preserve">(£167,800)</w:t>
            </w:r>
          </w:p>
        </w:tc>
      </w:tr>
      <w:tr>
        <w:tc>
          <w:tcPr/>
          <w:p>
            <w:pPr>
              <w:pStyle w:val="Compact"/>
              <w:jc w:val="left"/>
            </w:pPr>
            <w:r>
              <w:rPr>
                <w:bCs/>
                <w:b/>
              </w:rPr>
              <w:t xml:space="preserve">EBITDA</w:t>
            </w:r>
          </w:p>
        </w:tc>
        <w:tc>
          <w:tcPr/>
          <w:p>
            <w:pPr>
              <w:pStyle w:val="Compact"/>
              <w:jc w:val="right"/>
            </w:pPr>
            <w:r>
              <w:rPr>
                <w:bCs/>
                <w:b/>
              </w:rPr>
              <w:t xml:space="preserve">(£4,920)</w:t>
            </w:r>
          </w:p>
        </w:tc>
        <w:tc>
          <w:tcPr/>
          <w:p>
            <w:pPr>
              <w:pStyle w:val="Compact"/>
              <w:jc w:val="right"/>
            </w:pPr>
            <w:r>
              <w:rPr>
                <w:bCs/>
                <w:b/>
              </w:rPr>
              <w:t xml:space="preserve">£21,199</w:t>
            </w:r>
          </w:p>
        </w:tc>
        <w:tc>
          <w:tcPr/>
          <w:p>
            <w:pPr>
              <w:pStyle w:val="Compact"/>
              <w:jc w:val="right"/>
            </w:pPr>
            <w:r>
              <w:rPr>
                <w:bCs/>
                <w:b/>
              </w:rPr>
              <w:t xml:space="preserve">(£15,770)</w:t>
            </w:r>
          </w:p>
        </w:tc>
        <w:tc>
          <w:tcPr/>
          <w:p>
            <w:pPr>
              <w:pStyle w:val="Compact"/>
              <w:jc w:val="right"/>
            </w:pPr>
            <w:r>
              <w:rPr>
                <w:bCs/>
                <w:b/>
              </w:rPr>
              <w:t xml:space="preserve">£509</w:t>
            </w:r>
          </w:p>
        </w:tc>
      </w:tr>
      <w:tr>
        <w:tc>
          <w:tcPr/>
          <w:p>
            <w:pPr>
              <w:pStyle w:val="Compact"/>
              <w:jc w:val="left"/>
            </w:pPr>
            <w:r>
              <w:t xml:space="preserve">Depreciation</w:t>
            </w:r>
          </w:p>
        </w:tc>
        <w:tc>
          <w:tcPr/>
          <w:p>
            <w:pPr>
              <w:pStyle w:val="Compact"/>
              <w:jc w:val="right"/>
            </w:pPr>
            <w:r>
              <w:t xml:space="preserve">(£150)</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(£2,301)</w:t>
            </w:r>
          </w:p>
        </w:tc>
      </w:tr>
      <w:tr>
        <w:tc>
          <w:tcPr/>
          <w:p>
            <w:pPr>
              <w:pStyle w:val="Compact"/>
              <w:jc w:val="left"/>
            </w:pPr>
            <w:r>
              <w:rPr>
                <w:bCs/>
                <w:b/>
              </w:rPr>
              <w:t xml:space="preserve">Operating profit / (loss)</w:t>
            </w:r>
          </w:p>
        </w:tc>
        <w:tc>
          <w:tcPr/>
          <w:p>
            <w:pPr>
              <w:pStyle w:val="Compact"/>
              <w:jc w:val="right"/>
            </w:pPr>
            <w:r>
              <w:rPr>
                <w:bCs/>
                <w:b/>
              </w:rPr>
              <w:t xml:space="preserve">(£5,070)</w:t>
            </w:r>
          </w:p>
        </w:tc>
        <w:tc>
          <w:tcPr/>
          <w:p>
            <w:pPr>
              <w:pStyle w:val="Compact"/>
              <w:jc w:val="right"/>
            </w:pPr>
            <w:r>
              <w:rPr>
                <w:bCs/>
                <w:b/>
              </w:rPr>
              <w:t xml:space="preserve">£20,774</w:t>
            </w:r>
          </w:p>
        </w:tc>
        <w:tc>
          <w:tcPr/>
          <w:p>
            <w:pPr>
              <w:pStyle w:val="Compact"/>
              <w:jc w:val="right"/>
            </w:pPr>
            <w:r>
              <w:rPr>
                <w:bCs/>
                <w:b/>
              </w:rPr>
              <w:t xml:space="preserve">(£17,496)</w:t>
            </w:r>
          </w:p>
        </w:tc>
        <w:tc>
          <w:tcPr/>
          <w:p>
            <w:pPr>
              <w:pStyle w:val="Compact"/>
              <w:jc w:val="right"/>
            </w:pPr>
            <w:r>
              <w:rPr>
                <w:bCs/>
                <w:b/>
              </w:rPr>
              <w:t xml:space="preserve">(£1,792)</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(£2,808)</w:t>
            </w:r>
          </w:p>
        </w:tc>
        <w:tc>
          <w:tcPr/>
          <w:p>
            <w:pPr>
              <w:pStyle w:val="Compact"/>
              <w:jc w:val="right"/>
            </w:pPr>
            <w:r>
              <w:t xml:space="preserve">–</w:t>
            </w:r>
          </w:p>
        </w:tc>
        <w:tc>
          <w:tcPr/>
          <w:p>
            <w:pPr>
              <w:pStyle w:val="Compact"/>
              <w:jc w:val="right"/>
            </w:pPr>
            <w:r>
              <w:t xml:space="preserve">(£2,808)</w:t>
            </w:r>
          </w:p>
        </w:tc>
      </w:tr>
      <w:tr>
        <w:tc>
          <w:tcPr/>
          <w:p>
            <w:pPr>
              <w:pStyle w:val="Compact"/>
              <w:jc w:val="left"/>
            </w:pPr>
            <w:r>
              <w:rPr>
                <w:bCs/>
                <w:b/>
              </w:rPr>
              <w:t xml:space="preserve">Profit / (loss) after tax</w:t>
            </w:r>
          </w:p>
        </w:tc>
        <w:tc>
          <w:tcPr/>
          <w:p>
            <w:pPr>
              <w:pStyle w:val="Compact"/>
              <w:jc w:val="right"/>
            </w:pPr>
            <w:r>
              <w:rPr>
                <w:bCs/>
                <w:b/>
              </w:rPr>
              <w:t xml:space="preserve">(£5,070)</w:t>
            </w:r>
          </w:p>
        </w:tc>
        <w:tc>
          <w:tcPr/>
          <w:p>
            <w:pPr>
              <w:pStyle w:val="Compact"/>
              <w:jc w:val="right"/>
            </w:pPr>
            <w:r>
              <w:rPr>
                <w:bCs/>
                <w:b/>
              </w:rPr>
              <w:t xml:space="preserve">£17,966</w:t>
            </w:r>
          </w:p>
        </w:tc>
        <w:tc>
          <w:tcPr/>
          <w:p>
            <w:pPr>
              <w:pStyle w:val="Compact"/>
              <w:jc w:val="right"/>
            </w:pPr>
            <w:r>
              <w:rPr>
                <w:bCs/>
                <w:b/>
              </w:rPr>
              <w:t xml:space="preserve">(£17,496)</w:t>
            </w:r>
          </w:p>
        </w:tc>
        <w:tc>
          <w:tcPr/>
          <w:p>
            <w:pPr>
              <w:pStyle w:val="Compact"/>
              <w:jc w:val="right"/>
            </w:pPr>
            <w:r>
              <w:rPr>
                <w:bCs/>
                <w:b/>
              </w:rPr>
              <w:t xml:space="preserve">(£4,600)</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48.9%</w:t>
            </w:r>
          </w:p>
        </w:tc>
        <w:tc>
          <w:tcPr/>
          <w:p>
            <w:pPr>
              <w:pStyle w:val="Compact"/>
              <w:jc w:val="right"/>
            </w:pPr>
            <w:r>
              <w:t xml:space="preserve">-11.7%</w:t>
            </w:r>
          </w:p>
        </w:tc>
        <w:tc>
          <w:tcPr/>
          <w:p>
            <w:pPr>
              <w:pStyle w:val="Compact"/>
            </w:pPr>
          </w:p>
        </w:tc>
      </w:tr>
    </w:tbl>
    <w:bookmarkEnd w:id="89"/>
    <w:bookmarkStart w:id="90"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£8,480</w:t>
            </w:r>
          </w:p>
        </w:tc>
        <w:tc>
          <w:tcPr/>
          <w:p>
            <w:pPr>
              <w:pStyle w:val="Compact"/>
              <w:jc w:val="right"/>
            </w:pPr>
            <w:r>
              <w:t xml:space="preserve">£37,112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(£1,390)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(£18,324)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(£126,188)</w:t>
            </w:r>
          </w:p>
        </w:tc>
        <w:tc>
          <w:tcPr/>
          <w:p>
            <w:pPr>
              <w:pStyle w:val="Compact"/>
              <w:jc w:val="right"/>
            </w:pPr>
            <w:r>
              <w:t xml:space="preserve">(£126,188)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(£14,001)</w:t>
            </w:r>
          </w:p>
        </w:tc>
        <w:tc>
          <w:tcPr/>
          <w:p>
            <w:pPr>
              <w:pStyle w:val="Compact"/>
              <w:jc w:val="right"/>
            </w:pPr>
            <w:r>
              <w:t xml:space="preserve">(£22,862)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(£2,808)</w:t>
            </w:r>
          </w:p>
        </w:tc>
        <w:tc>
          <w:tcPr/>
          <w:p>
            <w:pPr>
              <w:pStyle w:val="Compact"/>
              <w:jc w:val="right"/>
            </w:pPr>
            <w:r>
              <w:t xml:space="preserve">(£2,808)</w:t>
            </w:r>
          </w:p>
        </w:tc>
      </w:tr>
      <w:tr>
        <w:tc>
          <w:tcPr/>
          <w:p>
            <w:pPr>
              <w:pStyle w:val="Compact"/>
              <w:jc w:val="left"/>
            </w:pPr>
            <w:r>
              <w:rPr>
                <w:bCs/>
                <w:b/>
              </w:rPr>
              <w:t xml:space="preserve">Total payments</w:t>
            </w:r>
          </w:p>
        </w:tc>
        <w:tc>
          <w:tcPr/>
          <w:p>
            <w:pPr>
              <w:pStyle w:val="Compact"/>
              <w:jc w:val="right"/>
            </w:pPr>
            <w:r>
              <w:rPr>
                <w:bCs/>
                <w:b/>
              </w:rPr>
              <w:t xml:space="preserve">(£6,090)</w:t>
            </w:r>
          </w:p>
        </w:tc>
        <w:tc>
          <w:tcPr/>
          <w:p>
            <w:pPr>
              <w:pStyle w:val="Compact"/>
              <w:jc w:val="right"/>
            </w:pPr>
            <w:r>
              <w:rPr>
                <w:bCs/>
                <w:b/>
              </w:rPr>
              <w:t xml:space="preserve">(£16,464)</w:t>
            </w:r>
          </w:p>
        </w:tc>
        <w:tc>
          <w:tcPr/>
          <w:p>
            <w:pPr>
              <w:pStyle w:val="Compact"/>
              <w:jc w:val="right"/>
            </w:pPr>
            <w:r>
              <w:rPr>
                <w:bCs/>
                <w:b/>
              </w:rPr>
              <w:t xml:space="preserve">(£171,629)</w:t>
            </w:r>
          </w:p>
        </w:tc>
        <w:tc>
          <w:tcPr/>
          <w:p>
            <w:pPr>
              <w:pStyle w:val="Compact"/>
              <w:jc w:val="right"/>
            </w:pPr>
            <w:r>
              <w:rPr>
                <w:bCs/>
                <w:b/>
              </w:rPr>
              <w:t xml:space="preserve">(£194,182)</w:t>
            </w:r>
          </w:p>
        </w:tc>
      </w:tr>
      <w:tr>
        <w:tc>
          <w:tcPr/>
          <w:p>
            <w:pPr>
              <w:pStyle w:val="Compact"/>
              <w:jc w:val="left"/>
            </w:pPr>
            <w:r>
              <w:rPr>
                <w:bCs/>
                <w:b/>
              </w:rPr>
              <w:t xml:space="preserve">Net cash flow</w:t>
            </w:r>
          </w:p>
        </w:tc>
        <w:tc>
          <w:tcPr/>
          <w:p>
            <w:pPr>
              <w:pStyle w:val="Compact"/>
              <w:jc w:val="right"/>
            </w:pPr>
            <w:r>
              <w:rPr>
                <w:bCs/>
                <w:b/>
              </w:rPr>
              <w:t xml:space="preserve">£5,480</w:t>
            </w:r>
          </w:p>
        </w:tc>
        <w:tc>
          <w:tcPr/>
          <w:p>
            <w:pPr>
              <w:pStyle w:val="Compact"/>
              <w:jc w:val="right"/>
            </w:pPr>
            <w:r>
              <w:rPr>
                <w:bCs/>
                <w:b/>
              </w:rPr>
              <w:t xml:space="preserve">£28,633</w:t>
            </w:r>
          </w:p>
        </w:tc>
        <w:tc>
          <w:tcPr/>
          <w:p>
            <w:pPr>
              <w:pStyle w:val="Compact"/>
              <w:jc w:val="right"/>
            </w:pPr>
            <w:r>
              <w:rPr>
                <w:bCs/>
                <w:b/>
              </w:rPr>
              <w:t xml:space="preserve">£2,506</w:t>
            </w:r>
          </w:p>
        </w:tc>
        <w:tc>
          <w:tcPr/>
          <w:p>
            <w:pPr>
              <w:pStyle w:val="Compact"/>
              <w:jc w:val="right"/>
            </w:pPr>
            <w:r>
              <w:rPr>
                <w:bCs/>
                <w:b/>
              </w:rPr>
              <w:t xml:space="preserve">£36,618</w:t>
            </w:r>
          </w:p>
        </w:tc>
      </w:tr>
      <w:tr>
        <w:tc>
          <w:tcPr/>
          <w:p>
            <w:pPr>
              <w:pStyle w:val="Compact"/>
              <w:jc w:val="left"/>
            </w:pPr>
            <w:r>
              <w:rPr>
                <w:bCs/>
                <w:b/>
              </w:rPr>
              <w:t xml:space="preserve">Closing cash</w:t>
            </w:r>
          </w:p>
        </w:tc>
        <w:tc>
          <w:tcPr/>
          <w:p>
            <w:pPr>
              <w:pStyle w:val="Compact"/>
              <w:jc w:val="right"/>
            </w:pPr>
            <w:r>
              <w:rPr>
                <w:bCs/>
                <w:b/>
              </w:rPr>
              <w:t xml:space="preserve">£8,480</w:t>
            </w:r>
          </w:p>
        </w:tc>
        <w:tc>
          <w:tcPr/>
          <w:p>
            <w:pPr>
              <w:pStyle w:val="Compact"/>
              <w:jc w:val="right"/>
            </w:pPr>
            <w:r>
              <w:rPr>
                <w:bCs/>
                <w:b/>
              </w:rPr>
              <w:t xml:space="preserve">£37,112</w:t>
            </w:r>
          </w:p>
        </w:tc>
        <w:tc>
          <w:tcPr/>
          <w:p>
            <w:pPr>
              <w:pStyle w:val="Compact"/>
              <w:jc w:val="right"/>
            </w:pPr>
            <w:r>
              <w:rPr>
                <w:bCs/>
                <w:b/>
              </w:rPr>
              <w:t xml:space="preserve">£39,618</w:t>
            </w:r>
          </w:p>
        </w:tc>
        <w:tc>
          <w:tcPr/>
          <w:p>
            <w:pPr>
              <w:pStyle w:val="Compact"/>
              <w:jc w:val="right"/>
            </w:pPr>
            <w:r>
              <w:rPr>
                <w:bCs/>
                <w:b/>
              </w:rPr>
              <w:t xml:space="preserve">£39,618</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with Yusuff Adeagbo (Co-founder &amp; CTO) for the UK Innovator Founder endorsement application to UKES. Version 6.0, October 2026.</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2026-10-14T14:21:33Z</dcterms:created>
  <dcterms:modified xsi:type="dcterms:W3CDTF">2026-10-14T14:21:33Z</dcterms:modified>
</cp:coreProperties>
</file>

<file path=docProps/custom.xml><?xml version="1.0" encoding="utf-8"?>
<Properties xmlns="http://schemas.openxmlformats.org/officeDocument/2006/custom-properties" xmlns:vt="http://schemas.openxmlformats.org/officeDocument/2006/docPropsVTypes"/>
</file>