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80 verified beta users</w:t>
      </w:r>
      <w:r>
        <w:t xml:space="preserve"> </w:t>
      </w:r>
      <w:r>
        <w:t xml:space="preserve">at the University of Bedfordshire (42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(£3.6k)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conservative base case, self-funded from revenue.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sustained 12+ months) once revenue scales after pilot conversion — meeting the Innovator Founder settlement job-creation criterion.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 (Sep–Nov 2026)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£4,120 → 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(5+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2026-08-19T17:10:35Z</dcterms:created>
  <dcterms:modified xsi:type="dcterms:W3CDTF">2026-08-19T17:10:35Z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