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7 people (2 founders + 5 full-time hires) once institutional revenue scales via pilot conversion — each of the 5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87.3%</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7 people (2 founders + 5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people (2 founders + 5 full-time hires)</w:t>
      </w:r>
      <w:r>
        <w:t xml:space="preserve"> </w:t>
      </w:r>
      <w:r>
        <w:t xml:space="preserve">— see Appendix G for role-by-role detail</w:t>
      </w:r>
      <w:r>
        <w:t xml:space="preserve"> </w:t>
      </w:r>
      <w:r>
        <w:rPr>
          <w:i/>
          <w:iCs/>
        </w:rPr>
        <w:t xml:space="preserve">[titles, hire dates and salary bands TBC]</w:t>
      </w:r>
      <w:r>
        <w:t xml:space="preserve">. Each of the 5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five-hire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5+ paying universities converting after the pilot stage — the resulting institutional revenue funds this plan’s job-creation target:</w:t>
      </w:r>
      <w:r>
        <w:t xml:space="preserve"> </w:t>
      </w:r>
      <w:r>
        <w:rPr>
          <w:b/>
          <w:bCs/>
        </w:rPr>
        <w:t xml:space="preserve">5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 from the £48,000 conservative Y3 revenue.</w:t>
      </w:r>
    </w:p>
    <w:p>
      <w:pPr>
        <w:pStyle w:val="BodyText"/>
      </w:pPr>
      <w:r>
        <w:rPr>
          <w:b/>
          <w:bCs/>
        </w:rPr>
        <w:t xml:space="preserve">Job-creation target (upside case, §10.4):</w:t>
      </w:r>
      <w:r>
        <w:t xml:space="preserve"> </w:t>
      </w:r>
      <w:r>
        <w:t xml:space="preserve">if institutional revenue scales beyond this base case once pilot universities convert (5+ paying universities), the plan’s job-creation target is</w:t>
      </w:r>
      <w:r>
        <w:t xml:space="preserve"> </w:t>
      </w:r>
      <w:r>
        <w:rPr>
          <w:b/>
          <w:bCs/>
        </w:rPr>
        <w:t xml:space="preserve">7 people (2 founders + 5 full-time hires)</w:t>
      </w:r>
      <w:r>
        <w:t xml:space="preserve">, each of the 5 hires sustained at least 12 months at an average salary of £25,000/year — funded entirely from revenue generated after piloting, meeting the Innovator Founder settlement job-creation criterion. This upside is not reconciled in the conservative model below.</w:t>
      </w:r>
    </w:p>
    <w:bookmarkEnd w:id="64"/>
    <w:bookmarkStart w:id="65" w:name="equity"/>
    <w:p>
      <w:pPr>
        <w:pStyle w:val="Heading3"/>
      </w:pPr>
      <w:r>
        <w:t xml:space="preserve">18.4 Equity</w:t>
      </w:r>
    </w:p>
    <w:p>
      <w:pPr>
        <w:pStyle w:val="FirstParagraph"/>
      </w:pPr>
      <w:r>
        <w:t xml:space="preserve">The wider founding team (Section 7.2) hold EMI options on equity-only terms. Option grants for the 5 Y3 hires are TBC.</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t xml:space="preserve">See Appendix F below</w:t>
            </w:r>
          </w:p>
        </w:tc>
      </w:tr>
      <w:tr>
        <w:tc>
          <w:tcPr/>
          <w:p>
            <w:pPr>
              <w:pStyle w:val="Compact"/>
            </w:pPr>
            <w:r>
              <w:t xml:space="preserve">G</w:t>
            </w:r>
          </w:p>
        </w:tc>
        <w:tc>
          <w:tcPr/>
          <w:p>
            <w:pPr>
              <w:pStyle w:val="Compact"/>
            </w:pPr>
            <w:r>
              <w:t xml:space="preserve">Job description for the base-case hire, plus the plan’s five-hire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bookmarkEnd w:id="67"/>
    <w:bookmarkEnd w:id="68"/>
    <w:bookmarkStart w:id="77"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69"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69"/>
    <w:bookmarkStart w:id="70"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70"/>
    <w:bookmarkStart w:id="71"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Total OPEX</w:t>
            </w:r>
          </w:p>
        </w:tc>
        <w:tc>
          <w:tcPr/>
          <w:p>
            <w:pPr>
              <w:pStyle w:val="Compact"/>
              <w:jc w:val="right"/>
            </w:pPr>
            <w:r>
              <w:rPr>
                <w:b/>
                <w:bCs/>
              </w:rPr>
              <w:t xml:space="preserve">£2,830</w:t>
            </w:r>
          </w:p>
        </w:tc>
        <w:tc>
          <w:tcPr/>
          <w:p>
            <w:pPr>
              <w:pStyle w:val="Compact"/>
              <w:jc w:val="right"/>
            </w:pPr>
            <w:r>
              <w:rPr>
                <w:b/>
                <w:bCs/>
              </w:rPr>
              <w:t xml:space="preserve">£6,400</w:t>
            </w:r>
          </w:p>
        </w:tc>
        <w:tc>
          <w:tcPr/>
          <w:p>
            <w:pPr>
              <w:pStyle w:val="Compact"/>
              <w:jc w:val="right"/>
            </w:pPr>
            <w:r>
              <w:rPr>
                <w:b/>
                <w:bCs/>
              </w:rPr>
              <w:t xml:space="preserve">£32,700</w:t>
            </w:r>
          </w:p>
        </w:tc>
      </w:tr>
      <w:tr>
        <w:tc>
          <w:tcPr/>
          <w:p>
            <w:pPr>
              <w:pStyle w:val="Compact"/>
            </w:pPr>
            <w:r>
              <w:rPr>
                <w:b/>
                <w:bCs/>
              </w:rPr>
              <w:t xml:space="preserve">Operating result</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rPr>
          <w:i/>
          <w:iCs/>
        </w:rPr>
        <w:t xml:space="preserve">Fixed assets capex (£600 / £600 / £1,200) is a balance-sheet item, capitalised and depreciated over its useful life rather than expensed in full — it appears as a cash outflow in the Cash Flow Forecast (§F.4) but not in Total OPEX above, which instead includes the depreciation charge.</w:t>
      </w:r>
    </w:p>
    <w:p>
      <w:r>
        <w:pict>
          <v:rect style="width:0;height:1.5pt" o:hralign="center" o:hrstd="t" o:hr="t"/>
        </w:pict>
      </w:r>
    </w:p>
    <w:bookmarkEnd w:id="71"/>
    <w:bookmarkStart w:id="72"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72"/>
    <w:bookmarkStart w:id="73"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73"/>
    <w:bookmarkStart w:id="74"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each of the 5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74"/>
    <w:bookmarkStart w:id="75"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75"/>
    <w:bookmarkStart w:id="76" w:name="f.8-key-assumptions"/>
    <w:p>
      <w:pPr>
        <w:pStyle w:val="Heading2"/>
      </w:pPr>
      <w:r>
        <w:t xml:space="preserve">F.8 Key Assumptions</w:t>
      </w:r>
    </w:p>
    <w:p>
      <w:pPr>
        <w:pStyle w:val="Compact"/>
        <w:numPr>
          <w:ilvl w:val="0"/>
          <w:numId w:val="1011"/>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11"/>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11"/>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11"/>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11"/>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11"/>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(v5.0, self-funded 3-year revision).</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2026-08-19T18:23:55Z</dcterms:created>
  <dcterms:modified xsi:type="dcterms:W3CDTF">2026-08-19T18:23:55Z</dcterms:modified>
</cp:coreProperties>
</file>

<file path=docProps/custom.xml><?xml version="1.0" encoding="utf-8"?>
<Properties xmlns="http://schemas.openxmlformats.org/officeDocument/2006/custom-properties" xmlns:vt="http://schemas.openxmlformats.org/officeDocument/2006/docPropsVTypes"/>
</file>