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17-page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7 people (5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(£1,035)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(£293)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(£333)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(£363)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£2,443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7 (2 founders + 5 full-time hires)</w:t>
      </w:r>
      <w:r>
        <w:t xml:space="preserve"> </w:t>
      </w:r>
      <w:r>
        <w:t xml:space="preserve">— each of the 5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base-case Y3 hire and modest founder pay are delayed, not that the business fails. The upside-case 5-hire job-creation target simply does not trigger (see Risk Register R17).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2026-08-19T19:03:35Z</dcterms:created>
  <dcterms:modified xsi:type="dcterms:W3CDTF">2026-08-19T19:03:35Z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