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Q1 Year 2 (ahead of the Q2 Year 2 penetration test)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with Adedapo Ajuwon (Senior Software Engineer, equity-only wider-team member) providing additional engineering capacity; further paid engineering hires are a longer-term ambition beyond this 3-year plan, not a commitment (Appendix G).</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throughout Year 1 and Year 2, and a modest £500/month salary from Year 3 — funded entirely by revenue, not by any funding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£2.00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This exceeds the £4,500 NatWest in-kind legal allocation (Business Plan §10.3) and is not separately budgeted in the Y1 cash P&amp;L (Appendix F, where Y1 legal &amp; accountancy is £300, out-of-programme only). The founders will either scope a narrower opinion within the NatWest in-kind panel’s capacity, or fund the shortfall from founder cash reserves or defer to Y2 once revenue supports it — this is not yet a fully funded commitment.</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(from Q2 Year 2)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all hires within this plan (up to 5, per the job-creation target — Appendix G) are UK-only, settled workers; a sponsor licence would only become relevant if headcount grows beyond this plan’s scope, which is not assumed here.</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17-page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87%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(£1,035)</w:t>
            </w:r>
          </w:p>
        </w:tc>
        <w:tc>
          <w:tcPr/>
          <w:p>
            <w:pPr>
              <w:pStyle w:val="Compact"/>
              <w:jc w:val="right"/>
            </w:pPr>
            <w:r>
              <w:rPr>
                <w:b/>
                <w:bCs/>
              </w:rPr>
              <w:t xml:space="preserve">£4,965</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(£135)</w:t>
            </w:r>
          </w:p>
        </w:tc>
        <w:tc>
          <w:tcPr/>
          <w:p>
            <w:pPr>
              <w:pStyle w:val="Compact"/>
              <w:jc w:val="right"/>
            </w:pPr>
            <w:r>
              <w:rPr>
                <w:b/>
                <w:bCs/>
              </w:rPr>
              <w:t xml:space="preserve">£4,830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(£243)</w:t>
            </w:r>
          </w:p>
        </w:tc>
        <w:tc>
          <w:tcPr/>
          <w:p>
            <w:pPr>
              <w:pStyle w:val="Compact"/>
              <w:jc w:val="right"/>
            </w:pPr>
            <w:r>
              <w:rPr>
                <w:b/>
                <w:bCs/>
              </w:rPr>
              <w:t xml:space="preserve">£4,587</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(£283)</w:t>
            </w:r>
          </w:p>
        </w:tc>
        <w:tc>
          <w:tcPr/>
          <w:p>
            <w:pPr>
              <w:pStyle w:val="Compact"/>
              <w:jc w:val="right"/>
            </w:pPr>
            <w:r>
              <w:rPr>
                <w:b/>
                <w:bCs/>
              </w:rPr>
              <w:t xml:space="preserve">£4,304</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(£293)</w:t>
            </w:r>
          </w:p>
        </w:tc>
        <w:tc>
          <w:tcPr/>
          <w:p>
            <w:pPr>
              <w:pStyle w:val="Compact"/>
              <w:jc w:val="right"/>
            </w:pPr>
            <w:r>
              <w:rPr>
                <w:b/>
                <w:bCs/>
              </w:rPr>
              <w:t xml:space="preserve">£4,011</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(£303)</w:t>
            </w:r>
          </w:p>
        </w:tc>
        <w:tc>
          <w:tcPr/>
          <w:p>
            <w:pPr>
              <w:pStyle w:val="Compact"/>
              <w:jc w:val="right"/>
            </w:pPr>
            <w:r>
              <w:rPr>
                <w:b/>
                <w:bCs/>
              </w:rPr>
              <w:t xml:space="preserve">£3,708</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(£323)</w:t>
            </w:r>
          </w:p>
        </w:tc>
        <w:tc>
          <w:tcPr/>
          <w:p>
            <w:pPr>
              <w:pStyle w:val="Compact"/>
              <w:jc w:val="right"/>
            </w:pPr>
            <w:r>
              <w:rPr>
                <w:b/>
                <w:bCs/>
              </w:rPr>
              <w:t xml:space="preserve">£3,435</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(£333)</w:t>
            </w:r>
          </w:p>
        </w:tc>
        <w:tc>
          <w:tcPr/>
          <w:p>
            <w:pPr>
              <w:pStyle w:val="Compact"/>
              <w:jc w:val="right"/>
            </w:pPr>
            <w:r>
              <w:rPr>
                <w:b/>
                <w:bCs/>
              </w:rPr>
              <w:t xml:space="preserve">£3,172</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(£343)</w:t>
            </w:r>
          </w:p>
        </w:tc>
        <w:tc>
          <w:tcPr/>
          <w:p>
            <w:pPr>
              <w:pStyle w:val="Compact"/>
              <w:jc w:val="right"/>
            </w:pPr>
            <w:r>
              <w:rPr>
                <w:b/>
                <w:bCs/>
              </w:rPr>
              <w:t xml:space="preserve">£2,919</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(£353)</w:t>
            </w:r>
          </w:p>
        </w:tc>
        <w:tc>
          <w:tcPr/>
          <w:p>
            <w:pPr>
              <w:pStyle w:val="Compact"/>
              <w:jc w:val="right"/>
            </w:pPr>
            <w:r>
              <w:rPr>
                <w:b/>
                <w:bCs/>
              </w:rPr>
              <w:t xml:space="preserve">£2,676</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(£363)</w:t>
            </w:r>
          </w:p>
        </w:tc>
        <w:tc>
          <w:tcPr/>
          <w:p>
            <w:pPr>
              <w:pStyle w:val="Compact"/>
              <w:jc w:val="right"/>
            </w:pPr>
            <w:r>
              <w:rPr>
                <w:b/>
                <w:bCs/>
              </w:rPr>
              <w:t xml:space="preserve">£2,443</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(£673)</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2026-08-19T19:03:39Z</dcterms:created>
  <dcterms:modified xsi:type="dcterms:W3CDTF">2026-08-19T19:03:39Z</dcterms:modified>
</cp:coreProperties>
</file>

<file path=docProps/custom.xml><?xml version="1.0" encoding="utf-8"?>
<Properties xmlns="http://schemas.openxmlformats.org/officeDocument/2006/custom-properties" xmlns:vt="http://schemas.openxmlformats.org/officeDocument/2006/docPropsVTypes"/>
</file>