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15 June 2026 (incorporation)</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80 verified beta users at the University of Bedfordshire (42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September–November 2026 (M4–M6)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£31,000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in the base case — no external funding round is assumed to enable this growth. Job-creation target: 7 people (5 full-time hires, average salary £25,000/year, each sustained at least 12 months) once institutional revenue scales after pilot conversion, funded entirely from that revenue and meeting the Innovator Founder settlement job-creation criterion.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(17-page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(14-sheet Excel workbook, self-funded 3-year model plus illustrative job-creation upside case)</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(base-case hire) plus the plan’s five-hire job-creation target,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2026-08-19T19:03:36Z</dcterms:created>
  <dcterms:modified xsi:type="dcterms:W3CDTF">2026-08-19T19:03:36Z</dcterms:modified>
</cp:coreProperties>
</file>

<file path=docProps/custom.xml><?xml version="1.0" encoding="utf-8"?>
<Properties xmlns="http://schemas.openxmlformats.org/officeDocument/2006/custom-properties" xmlns:vt="http://schemas.openxmlformats.org/officeDocument/2006/docPropsVTypes"/>
</file>