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£8,597</w:t>
            </w:r>
          </w:p>
        </w:tc>
        <w:tc>
          <w:tcPr/>
          <w:p>
            <w:pPr>
              <w:pStyle w:val="Compact"/>
              <w:jc w:val="right"/>
            </w:pPr>
            <w:r>
              <w:t xml:space="preserve">£938</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£23,050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7"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5"/>
    <w:bookmarkStart w:id="36"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On</w:t>
            </w:r>
            <w:r>
              <w:t xml:space="preserve"> </w:t>
            </w:r>
            <w:r>
              <w:rPr>
                <w:bCs/>
                <w:b/>
              </w:rPr>
              <w:t xml:space="preserve">8 April 2026</w:t>
            </w:r>
            <w:r>
              <w:t xml:space="preserve"> </w:t>
            </w:r>
            <w:r>
              <w:t xml:space="preserve">the founder had an initial consultation through the</w:t>
            </w:r>
            <w:r>
              <w:t xml:space="preserve"> </w:t>
            </w:r>
            <w:r>
              <w:rPr>
                <w:bCs/>
                <w:b/>
              </w:rPr>
              <w:t xml:space="preserve">CIPA IP Clinic</w:t>
            </w:r>
            <w:r>
              <w:t xml:space="preserve"> </w:t>
            </w:r>
            <w:r>
              <w:t xml:space="preserve">(Chartered Institute of Patent Attorneys) with</w:t>
            </w:r>
            <w:r>
              <w:t xml:space="preserve"> </w:t>
            </w:r>
            <w:r>
              <w:rPr>
                <w:bCs/>
                <w:b/>
              </w:rPr>
              <w:t xml:space="preserve">Shamil Rasheed, European Patent Attorney at Panoramix IP</w:t>
            </w:r>
            <w:r>
              <w:t xml:space="preserve"> </w:t>
            </w:r>
            <w:r>
              <w:t xml:space="preserve">(regulated by IPReg). The attorney’s written view is that software inventions face</w:t>
            </w:r>
            <w:r>
              <w:t xml:space="preserve"> </w:t>
            </w:r>
            <w:r>
              <w:t xml:space="preserve">“</w:t>
            </w:r>
            <w:r>
              <w:t xml:space="preserve">excluded subject matter</w:t>
            </w:r>
            <w:r>
              <w:t xml:space="preserve">”</w:t>
            </w:r>
            <w:r>
              <w:t xml:space="preserve"> </w:t>
            </w:r>
            <w:r>
              <w:t xml:space="preserve">limits in the UK and Europe, but that</w:t>
            </w:r>
            <w:r>
              <w:t xml:space="preserve"> </w:t>
            </w:r>
            <w:r>
              <w:rPr>
                <w:bCs/>
                <w:b/>
              </w:rPr>
              <w:t xml:space="preserve">aspects of DEQUAD may be patentable</w:t>
            </w:r>
            <w:r>
              <w:t xml:space="preserve"> </w:t>
            </w:r>
            <w:r>
              <w:t xml:space="preserve">where they produce a technical effect beyond a computer program. The candidate is the threshold-based safeguarding mechanism: when a student’s wellbeing metrics cross a defined threshold, or a student signals crisis, the system automatically generates a safeguarding page with support contacts and alerts the university. The attorney describes it as</w:t>
            </w:r>
            <w:r>
              <w:t xml:space="preserve"> </w:t>
            </w:r>
            <w:r>
              <w:rPr>
                <w:bCs/>
                <w:b/>
              </w:rPr>
              <w:t xml:space="preserve">a borderline case</w:t>
            </w:r>
            <w:r>
              <w:t xml:space="preserve">.</w:t>
            </w:r>
          </w:p>
        </w:tc>
        <w:tc>
          <w:tcPr/>
          <w:p>
            <w:pPr>
              <w:pStyle w:val="Compact"/>
              <w:jc w:val="left"/>
            </w:pPr>
            <w:r>
              <w:rPr>
                <w:bCs/>
                <w:b/>
              </w:rPr>
              <w:t xml:space="preserve">Patent exploration only after two conditions are both met:</w:t>
            </w:r>
            <w:r>
              <w:t xml:space="preserve"> </w:t>
            </w:r>
            <w:r>
              <w:t xml:space="preserve">(1) the</w:t>
            </w:r>
            <w:r>
              <w:t xml:space="preserve"> </w:t>
            </w:r>
            <w:r>
              <w:rPr>
                <w:bCs/>
                <w:b/>
              </w:rPr>
              <w:t xml:space="preserve">three-year endorsement period is successfully completed</w:t>
            </w:r>
            <w:r>
              <w:t xml:space="preserve">, and (2) the pilot has</w:t>
            </w:r>
            <w:r>
              <w:t xml:space="preserve"> </w:t>
            </w:r>
            <w:r>
              <w:rPr>
                <w:bCs/>
                <w:b/>
              </w:rPr>
              <w:t xml:space="preserve">converted into a paying university</w:t>
            </w:r>
            <w:r>
              <w:t xml:space="preserve"> </w:t>
            </w:r>
            <w:r>
              <w:t xml:space="preserve">(successful pilot, signed letter of intent and signed paid licence). Patent work therefore starts after this three-year plan, from Year 4 (September 2029 onwards), with the same attorney. DEQUAD will complete the</w:t>
            </w:r>
            <w:r>
              <w:t xml:space="preserve"> </w:t>
            </w:r>
            <w:r>
              <w:rPr>
                <w:bCs/>
                <w:b/>
              </w:rPr>
              <w:t xml:space="preserve">invention disclosure form</w:t>
            </w:r>
            <w:r>
              <w:t xml:space="preserve"> </w:t>
            </w:r>
            <w:r>
              <w:t xml:space="preserve">(process workflows, system and architecture diagrams, alert-threshold logic). The attorney will then make a detailed patentability assessment and a surface-level prior-art search, both free as part of the consultation. If the assessment is positive, DEQUAD will instruct drafting and file a</w:t>
            </w:r>
            <w:r>
              <w:t xml:space="preserve"> </w:t>
            </w:r>
            <w:r>
              <w:rPr>
                <w:bCs/>
                <w:b/>
              </w:rPr>
              <w:t xml:space="preserve">UK priority application</w:t>
            </w:r>
            <w:r>
              <w:t xml:space="preserve">. Waiting until then means the application can draw on three years of real alert data and the personal-baseline model (Section 4.2), which strengthens the case for technical effect</w:t>
            </w:r>
          </w:p>
        </w:tc>
        <w:tc>
          <w:tcPr/>
          <w:p>
            <w:pPr>
              <w:pStyle w:val="Compact"/>
              <w:jc w:val="left"/>
            </w:pPr>
            <w:r>
              <w:rPr>
                <w:bCs/>
                <w:b/>
              </w:rPr>
              <w:t xml:space="preserve">Not in the three-year forecast.</w:t>
            </w:r>
            <w:r>
              <w:t xml:space="preserve"> </w:t>
            </w:r>
            <w:r>
              <w:t xml:space="preserve">From Year 4, if positive: drafting £3,000–£5,000 plus £350 filing, then prosecution (2–3 rounds at £1,000–£1,500 each; £8,000–£10,000 in total to grant), all funded from licence revenue. Until then, DEQUAD’s algorithms are protected as trade secrets (row 1). If no university is acquired, no patent money is spent</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from Year 4, possibly working around a patent. That is a far higher bar than copying an email-domain check.</w:t>
      </w:r>
    </w:p>
    <w:p>
      <w:r>
        <w:pict>
          <v:rect style="width:0;height:1.5pt" o:hralign="center" o:hrstd="t" o:hr="t"/>
        </w:pict>
      </w:r>
    </w:p>
    <w:bookmarkEnd w:id="36"/>
    <w:bookmarkEnd w:id="37"/>
    <w:bookmarkStart w:id="40"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8"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8"/>
    <w:bookmarkStart w:id="39"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9"/>
    <w:bookmarkEnd w:id="40"/>
    <w:bookmarkStart w:id="46" w:name="market-analysis"/>
    <w:p>
      <w:pPr>
        <w:pStyle w:val="Heading2"/>
      </w:pPr>
      <w:r>
        <w:t xml:space="preserve">5. Market Analysis</w:t>
      </w:r>
    </w:p>
    <w:bookmarkStart w:id="41"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1"/>
    <w:bookmarkStart w:id="42"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2"/>
    <w:bookmarkStart w:id="43"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3"/>
    <w:bookmarkStart w:id="44"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4"/>
    <w:bookmarkStart w:id="45"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5"/>
    <w:bookmarkEnd w:id="46"/>
    <w:bookmarkStart w:id="50"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7"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7"/>
    <w:bookmarkStart w:id="48"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8"/>
    <w:bookmarkStart w:id="49"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9"/>
    <w:bookmarkEnd w:id="50"/>
    <w:bookmarkStart w:id="55" w:name="staff-profile-and-recruitment-strategy"/>
    <w:p>
      <w:pPr>
        <w:pStyle w:val="Heading2"/>
      </w:pPr>
      <w:r>
        <w:t xml:space="preserve">7. Staff Profile and Recruitment Strategy</w:t>
      </w:r>
    </w:p>
    <w:bookmarkStart w:id="51"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1"/>
    <w:bookmarkStart w:id="52"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2"/>
    <w:bookmarkStart w:id="53"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3"/>
    <w:bookmarkStart w:id="54"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4"/>
    <w:bookmarkEnd w:id="55"/>
    <w:bookmarkStart w:id="61" w:name="marketing-and-sales-strategy"/>
    <w:p>
      <w:pPr>
        <w:pStyle w:val="Heading2"/>
      </w:pPr>
      <w:r>
        <w:t xml:space="preserve">8. Marketing and Sales Strategy</w:t>
      </w:r>
    </w:p>
    <w:bookmarkStart w:id="56"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6"/>
    <w:bookmarkStart w:id="57"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7"/>
    <w:bookmarkStart w:id="58"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8"/>
    <w:bookmarkStart w:id="59"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9"/>
    <w:bookmarkStart w:id="60"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0"/>
    <w:bookmarkEnd w:id="61"/>
    <w:bookmarkStart w:id="63"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yet: a patent attorney has assessed the invention as borderline-patentable, with exploration planned only after the three-year endorsement period and a successful university conversion. No exclusivity agreed yet (Section 3.4)</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2"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patent exploration with Panoramix IP (consulted via the CIPA IP Clinic, Apr 2026) after the three-year endorsement period and a successful university conversion,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2"/>
    <w:bookmarkEnd w:id="63"/>
    <w:bookmarkStart w:id="69" w:name="X332637ab1f725c36169749d50eae89fbbdc6f6c"/>
    <w:p>
      <w:pPr>
        <w:pStyle w:val="Heading2"/>
      </w:pPr>
      <w:r>
        <w:t xml:space="preserve">10. Investment Strategy and Funding Requirement</w:t>
      </w:r>
    </w:p>
    <w:bookmarkStart w:id="64"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4"/>
    <w:bookmarkStart w:id="65"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5"/>
    <w:bookmarkStart w:id="66"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6"/>
    <w:bookmarkStart w:id="67"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7"/>
    <w:bookmarkStart w:id="68"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£20,774</w:t>
            </w:r>
          </w:p>
        </w:tc>
        <w:tc>
          <w:tcPr/>
          <w:p>
            <w:pPr>
              <w:pStyle w:val="Compact"/>
              <w:jc w:val="right"/>
            </w:pPr>
            <w:r>
              <w:t xml:space="preserve">(£34,226)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£23,050</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8"/>
    <w:bookmarkEnd w:id="69"/>
    <w:bookmarkStart w:id="73"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0"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0"/>
    <w:bookmarkStart w:id="71"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1"/>
    <w:bookmarkStart w:id="72"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2"/>
    <w:bookmarkEnd w:id="73"/>
    <w:bookmarkStart w:id="77" w:name="cash-flow-forecast"/>
    <w:p>
      <w:pPr>
        <w:pStyle w:val="Heading2"/>
      </w:pPr>
      <w:r>
        <w:t xml:space="preserve">12. Cash Flow Forecast</w:t>
      </w:r>
    </w:p>
    <w:bookmarkStart w:id="74"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(£657)</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(£13,332)</w:t>
            </w:r>
          </w:p>
        </w:tc>
        <w:tc>
          <w:tcPr/>
          <w:p>
            <w:pPr>
              <w:pStyle w:val="Compact"/>
              <w:jc w:val="right"/>
            </w:pPr>
            <w:r>
              <w:rPr>
                <w:bCs/>
                <w:b/>
              </w:rPr>
              <w:t xml:space="preserve">(£54,218)</w:t>
            </w:r>
          </w:p>
        </w:tc>
        <w:tc>
          <w:tcPr/>
          <w:p>
            <w:pPr>
              <w:pStyle w:val="Compact"/>
              <w:jc w:val="right"/>
            </w:pPr>
            <w:r>
              <w:rPr>
                <w:bCs/>
                <w:b/>
              </w:rPr>
              <w:t xml:space="preserve">(£73,439)</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£10,446</w:t>
            </w:r>
          </w:p>
        </w:tc>
        <w:tc>
          <w:tcPr/>
          <w:p>
            <w:pPr>
              <w:pStyle w:val="Compact"/>
              <w:jc w:val="right"/>
            </w:pPr>
            <w:r>
              <w:rPr>
                <w:bCs/>
                <w:b/>
              </w:rPr>
              <w:t xml:space="preserve">£6,090</w:t>
            </w:r>
          </w:p>
        </w:tc>
        <w:tc>
          <w:tcPr/>
          <w:p>
            <w:pPr>
              <w:pStyle w:val="Compact"/>
              <w:jc w:val="right"/>
            </w:pPr>
            <w:r>
              <w:rPr>
                <w:bCs/>
                <w:b/>
              </w:rPr>
              <w:t xml:space="preserve">£22,216</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£19,126</w:t>
            </w:r>
          </w:p>
        </w:tc>
        <w:tc>
          <w:tcPr/>
          <w:p>
            <w:pPr>
              <w:pStyle w:val="Compact"/>
              <w:jc w:val="right"/>
            </w:pPr>
            <w:r>
              <w:rPr>
                <w:bCs/>
                <w:b/>
              </w:rPr>
              <w:t xml:space="preserve">£25,216</w:t>
            </w:r>
          </w:p>
        </w:tc>
        <w:tc>
          <w:tcPr/>
          <w:p>
            <w:pPr>
              <w:pStyle w:val="Compact"/>
              <w:jc w:val="right"/>
            </w:pPr>
            <w:r>
              <w:rPr>
                <w:bCs/>
                <w:b/>
              </w:rPr>
              <w:t xml:space="preserve">£25,216</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4"/>
    <w:bookmarkStart w:id="75"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£21,464</w:t>
            </w:r>
          </w:p>
        </w:tc>
        <w:tc>
          <w:tcPr/>
          <w:p>
            <w:pPr>
              <w:pStyle w:val="Compact"/>
              <w:jc w:val="right"/>
            </w:pPr>
            <w:r>
              <w:t xml:space="preserve">£20,792</w:t>
            </w:r>
          </w:p>
        </w:tc>
        <w:tc>
          <w:tcPr/>
          <w:p>
            <w:pPr>
              <w:pStyle w:val="Compact"/>
              <w:jc w:val="right"/>
            </w:pPr>
            <w:r>
              <w:t xml:space="preserve">£20,538</w:t>
            </w:r>
          </w:p>
        </w:tc>
        <w:tc>
          <w:tcPr/>
          <w:p>
            <w:pPr>
              <w:pStyle w:val="Compact"/>
              <w:jc w:val="right"/>
            </w:pPr>
            <w:r>
              <w:t xml:space="preserve">£20,278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£10,446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£21,464</w:t>
            </w:r>
          </w:p>
        </w:tc>
        <w:tc>
          <w:tcPr/>
          <w:p>
            <w:pPr>
              <w:pStyle w:val="Compact"/>
              <w:jc w:val="right"/>
            </w:pPr>
            <w:r>
              <w:rPr>
                <w:bCs/>
                <w:b/>
              </w:rPr>
              <w:t xml:space="preserve">£20,792</w:t>
            </w:r>
          </w:p>
        </w:tc>
        <w:tc>
          <w:tcPr/>
          <w:p>
            <w:pPr>
              <w:pStyle w:val="Compact"/>
              <w:jc w:val="right"/>
            </w:pPr>
            <w:r>
              <w:rPr>
                <w:bCs/>
                <w:b/>
              </w:rPr>
              <w:t xml:space="preserve">£20,538</w:t>
            </w:r>
          </w:p>
        </w:tc>
        <w:tc>
          <w:tcPr/>
          <w:p>
            <w:pPr>
              <w:pStyle w:val="Compact"/>
              <w:jc w:val="right"/>
            </w:pPr>
            <w:r>
              <w:rPr>
                <w:bCs/>
                <w:b/>
              </w:rPr>
              <w:t xml:space="preserve">£20,278</w:t>
            </w:r>
          </w:p>
        </w:tc>
        <w:tc>
          <w:tcPr/>
          <w:p>
            <w:pPr>
              <w:pStyle w:val="Compact"/>
              <w:jc w:val="right"/>
            </w:pPr>
            <w:r>
              <w:rPr>
                <w:bCs/>
                <w:b/>
              </w:rPr>
              <w:t xml:space="preserve">£19,126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£19,126</w:t>
            </w:r>
          </w:p>
        </w:tc>
        <w:tc>
          <w:tcPr/>
          <w:p>
            <w:pPr>
              <w:pStyle w:val="Compact"/>
              <w:jc w:val="right"/>
            </w:pPr>
            <w:r>
              <w:t xml:space="preserve">£34,032</w:t>
            </w:r>
          </w:p>
        </w:tc>
        <w:tc>
          <w:tcPr/>
          <w:p>
            <w:pPr>
              <w:pStyle w:val="Compact"/>
              <w:jc w:val="right"/>
            </w:pPr>
            <w:r>
              <w:t xml:space="preserve">£49,026</w:t>
            </w:r>
          </w:p>
        </w:tc>
        <w:tc>
          <w:tcPr/>
          <w:p>
            <w:pPr>
              <w:pStyle w:val="Compact"/>
              <w:jc w:val="right"/>
            </w:pPr>
            <w:r>
              <w:t xml:space="preserve">£45,520</w:t>
            </w:r>
          </w:p>
        </w:tc>
        <w:tc>
          <w:tcPr/>
          <w:p>
            <w:pPr>
              <w:pStyle w:val="Compact"/>
              <w:jc w:val="right"/>
            </w:pPr>
            <w:r>
              <w:t xml:space="preserve">£41,619</w:t>
            </w:r>
          </w:p>
        </w:tc>
        <w:tc>
          <w:tcPr/>
          <w:p>
            <w:pPr>
              <w:pStyle w:val="Compact"/>
              <w:jc w:val="right"/>
            </w:pPr>
            <w:r>
              <w:t xml:space="preserve">£38,049</w:t>
            </w:r>
          </w:p>
        </w:tc>
        <w:tc>
          <w:tcPr/>
          <w:p>
            <w:pPr>
              <w:pStyle w:val="Compact"/>
              <w:jc w:val="right"/>
            </w:pPr>
            <w:r>
              <w:t xml:space="preserve">£34,212</w:t>
            </w:r>
          </w:p>
        </w:tc>
        <w:tc>
          <w:tcPr/>
          <w:p>
            <w:pPr>
              <w:pStyle w:val="Compact"/>
              <w:jc w:val="right"/>
            </w:pPr>
            <w:r>
              <w:t xml:space="preserve">£42,286</w:t>
            </w:r>
          </w:p>
        </w:tc>
        <w:tc>
          <w:tcPr/>
          <w:p>
            <w:pPr>
              <w:pStyle w:val="Compact"/>
              <w:jc w:val="right"/>
            </w:pPr>
            <w:r>
              <w:t xml:space="preserve">£39,078</w:t>
            </w:r>
          </w:p>
        </w:tc>
        <w:tc>
          <w:tcPr/>
          <w:p>
            <w:pPr>
              <w:pStyle w:val="Compact"/>
              <w:jc w:val="right"/>
            </w:pPr>
            <w:r>
              <w:t xml:space="preserve">£35,588</w:t>
            </w:r>
          </w:p>
        </w:tc>
        <w:tc>
          <w:tcPr/>
          <w:p>
            <w:pPr>
              <w:pStyle w:val="Compact"/>
              <w:jc w:val="right"/>
            </w:pPr>
            <w:r>
              <w:t xml:space="preserve">£31,878</w:t>
            </w:r>
          </w:p>
        </w:tc>
        <w:tc>
          <w:tcPr/>
          <w:p>
            <w:pPr>
              <w:pStyle w:val="Compact"/>
              <w:jc w:val="right"/>
            </w:pPr>
            <w:r>
              <w:t xml:space="preserve">£28,866</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(£968)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w:t>
            </w:r>
          </w:p>
        </w:tc>
        <w:tc>
          <w:tcPr/>
          <w:p>
            <w:pPr>
              <w:pStyle w:val="Compact"/>
              <w:jc w:val="right"/>
            </w:pPr>
            <w:r>
              <w:t xml:space="preserve">–</w:t>
            </w:r>
          </w:p>
        </w:tc>
        <w:tc>
          <w:tcPr/>
          <w:p>
            <w:pPr>
              <w:pStyle w:val="Compact"/>
              <w:jc w:val="right"/>
            </w:pPr>
            <w:r>
              <w:t xml:space="preserve">(£657)</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(£3,837)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(£3,490)</w:t>
            </w:r>
          </w:p>
        </w:tc>
        <w:tc>
          <w:tcPr/>
          <w:p>
            <w:pPr>
              <w:pStyle w:val="Compact"/>
              <w:jc w:val="right"/>
            </w:pPr>
            <w:r>
              <w:rPr>
                <w:bCs/>
                <w:b/>
              </w:rPr>
              <w:t xml:space="preserve">(£3,710)</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£6,090</w:t>
            </w:r>
          </w:p>
        </w:tc>
      </w:tr>
      <w:tr>
        <w:tc>
          <w:tcPr/>
          <w:p>
            <w:pPr>
              <w:pStyle w:val="Compact"/>
              <w:jc w:val="left"/>
            </w:pPr>
            <w:r>
              <w:rPr>
                <w:bCs/>
                <w:b/>
              </w:rPr>
              <w:t xml:space="preserve">Closing cash</w:t>
            </w:r>
          </w:p>
        </w:tc>
        <w:tc>
          <w:tcPr/>
          <w:p>
            <w:pPr>
              <w:pStyle w:val="Compact"/>
              <w:jc w:val="right"/>
            </w:pPr>
            <w:r>
              <w:rPr>
                <w:bCs/>
                <w:b/>
              </w:rPr>
              <w:t xml:space="preserve">£34,032</w:t>
            </w:r>
          </w:p>
        </w:tc>
        <w:tc>
          <w:tcPr/>
          <w:p>
            <w:pPr>
              <w:pStyle w:val="Compact"/>
              <w:jc w:val="right"/>
            </w:pPr>
            <w:r>
              <w:rPr>
                <w:bCs/>
                <w:b/>
              </w:rPr>
              <w:t xml:space="preserve">£49,026</w:t>
            </w:r>
          </w:p>
        </w:tc>
        <w:tc>
          <w:tcPr/>
          <w:p>
            <w:pPr>
              <w:pStyle w:val="Compact"/>
              <w:jc w:val="right"/>
            </w:pPr>
            <w:r>
              <w:rPr>
                <w:bCs/>
                <w:b/>
              </w:rPr>
              <w:t xml:space="preserve">£45,520</w:t>
            </w:r>
          </w:p>
        </w:tc>
        <w:tc>
          <w:tcPr/>
          <w:p>
            <w:pPr>
              <w:pStyle w:val="Compact"/>
              <w:jc w:val="right"/>
            </w:pPr>
            <w:r>
              <w:rPr>
                <w:bCs/>
                <w:b/>
              </w:rPr>
              <w:t xml:space="preserve">£41,619</w:t>
            </w:r>
          </w:p>
        </w:tc>
        <w:tc>
          <w:tcPr/>
          <w:p>
            <w:pPr>
              <w:pStyle w:val="Compact"/>
              <w:jc w:val="right"/>
            </w:pPr>
            <w:r>
              <w:rPr>
                <w:bCs/>
                <w:b/>
              </w:rPr>
              <w:t xml:space="preserve">£38,049</w:t>
            </w:r>
          </w:p>
        </w:tc>
        <w:tc>
          <w:tcPr/>
          <w:p>
            <w:pPr>
              <w:pStyle w:val="Compact"/>
              <w:jc w:val="right"/>
            </w:pPr>
            <w:r>
              <w:rPr>
                <w:bCs/>
                <w:b/>
              </w:rPr>
              <w:t xml:space="preserve">£34,212</w:t>
            </w:r>
          </w:p>
        </w:tc>
        <w:tc>
          <w:tcPr/>
          <w:p>
            <w:pPr>
              <w:pStyle w:val="Compact"/>
              <w:jc w:val="right"/>
            </w:pPr>
            <w:r>
              <w:rPr>
                <w:bCs/>
                <w:b/>
              </w:rPr>
              <w:t xml:space="preserve">£42,286</w:t>
            </w:r>
          </w:p>
        </w:tc>
        <w:tc>
          <w:tcPr/>
          <w:p>
            <w:pPr>
              <w:pStyle w:val="Compact"/>
              <w:jc w:val="right"/>
            </w:pPr>
            <w:r>
              <w:rPr>
                <w:bCs/>
                <w:b/>
              </w:rPr>
              <w:t xml:space="preserve">£39,078</w:t>
            </w:r>
          </w:p>
        </w:tc>
        <w:tc>
          <w:tcPr/>
          <w:p>
            <w:pPr>
              <w:pStyle w:val="Compact"/>
              <w:jc w:val="right"/>
            </w:pPr>
            <w:r>
              <w:rPr>
                <w:bCs/>
                <w:b/>
              </w:rPr>
              <w:t xml:space="preserve">£35,588</w:t>
            </w:r>
          </w:p>
        </w:tc>
        <w:tc>
          <w:tcPr/>
          <w:p>
            <w:pPr>
              <w:pStyle w:val="Compact"/>
              <w:jc w:val="right"/>
            </w:pPr>
            <w:r>
              <w:rPr>
                <w:bCs/>
                <w:b/>
              </w:rPr>
              <w:t xml:space="preserve">£31,878</w:t>
            </w:r>
          </w:p>
        </w:tc>
        <w:tc>
          <w:tcPr/>
          <w:p>
            <w:pPr>
              <w:pStyle w:val="Compact"/>
              <w:jc w:val="right"/>
            </w:pPr>
            <w:r>
              <w:rPr>
                <w:bCs/>
                <w:b/>
              </w:rPr>
              <w:t xml:space="preserve">£28,866</w:t>
            </w:r>
          </w:p>
        </w:tc>
        <w:tc>
          <w:tcPr/>
          <w:p>
            <w:pPr>
              <w:pStyle w:val="Compact"/>
              <w:jc w:val="right"/>
            </w:pPr>
            <w:r>
              <w:rPr>
                <w:bCs/>
                <w:b/>
              </w:rPr>
              <w:t xml:space="preserve">£25,216</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5"/>
    <w:bookmarkStart w:id="76"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6"/>
    <w:bookmarkEnd w:id="77"/>
    <w:bookmarkStart w:id="78"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(licence contracts)</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(£9,761)</w:t>
            </w:r>
          </w:p>
        </w:tc>
        <w:tc>
          <w:tcPr/>
          <w:p>
            <w:pPr>
              <w:pStyle w:val="Compact"/>
              <w:jc w:val="right"/>
            </w:pPr>
            <w:r>
              <w:rPr>
                <w:bCs/>
                <w:b/>
              </w:rPr>
              <w:t xml:space="preserve">(£46,556)</w:t>
            </w:r>
          </w:p>
        </w:tc>
        <w:tc>
          <w:tcPr/>
          <w:p>
            <w:pPr>
              <w:pStyle w:val="Compact"/>
              <w:jc w:val="right"/>
            </w:pPr>
            <w:r>
              <w:rPr>
                <w:bCs/>
                <w:b/>
              </w:rPr>
              <w:t xml:space="preserve">(£60,417)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£9,679</w:t>
            </w:r>
          </w:p>
        </w:tc>
        <w:tc>
          <w:tcPr/>
          <w:p>
            <w:pPr>
              <w:pStyle w:val="Compact"/>
              <w:jc w:val="right"/>
            </w:pPr>
            <w:r>
              <w:rPr>
                <w:bCs/>
                <w:b/>
              </w:rPr>
              <w:t xml:space="preserve">£1,947</w:t>
            </w:r>
          </w:p>
        </w:tc>
        <w:tc>
          <w:tcPr/>
          <w:p>
            <w:pPr>
              <w:pStyle w:val="Compact"/>
              <w:jc w:val="right"/>
            </w:pPr>
            <w:r>
              <w:rPr>
                <w:bCs/>
                <w:b/>
              </w:rPr>
              <w:t xml:space="preserve">£6,906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£9,254</w:t>
            </w:r>
          </w:p>
        </w:tc>
        <w:tc>
          <w:tcPr/>
          <w:p>
            <w:pPr>
              <w:pStyle w:val="Compact"/>
              <w:jc w:val="right"/>
            </w:pPr>
            <w:r>
              <w:rPr>
                <w:bCs/>
                <w:b/>
              </w:rPr>
              <w:t xml:space="preserve">£1,080</w:t>
            </w:r>
          </w:p>
        </w:tc>
        <w:tc>
          <w:tcPr/>
          <w:p>
            <w:pPr>
              <w:pStyle w:val="Compact"/>
              <w:jc w:val="right"/>
            </w:pPr>
            <w:r>
              <w:rPr>
                <w:bCs/>
                <w:b/>
              </w:rPr>
              <w:t xml:space="preserve">£5,531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c>
          <w:tcPr/>
          <w:p>
            <w:pPr>
              <w:pStyle w:val="Compact"/>
              <w:jc w:val="right"/>
            </w:pPr>
            <w:r>
              <w:t xml:space="preserve">(£799)</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£8,597</w:t>
            </w:r>
          </w:p>
        </w:tc>
        <w:tc>
          <w:tcPr/>
          <w:p>
            <w:pPr>
              <w:pStyle w:val="Compact"/>
              <w:jc w:val="right"/>
            </w:pPr>
            <w:r>
              <w:rPr>
                <w:bCs/>
                <w:b/>
              </w:rPr>
              <w:t xml:space="preserve">£938</w:t>
            </w:r>
          </w:p>
        </w:tc>
        <w:tc>
          <w:tcPr/>
          <w:p>
            <w:pPr>
              <w:pStyle w:val="Compact"/>
              <w:jc w:val="right"/>
            </w:pPr>
            <w:r>
              <w:rPr>
                <w:bCs/>
                <w:b/>
              </w:rPr>
              <w:t xml:space="preserve">£4,732</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38.9%</w:t>
            </w:r>
          </w:p>
        </w:tc>
        <w:tc>
          <w:tcPr/>
          <w:p>
            <w:pPr>
              <w:pStyle w:val="Compact"/>
              <w:jc w:val="right"/>
            </w:pPr>
            <w:r>
              <w:t xml:space="preserve">1.7%</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£9,254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£8,779</w:t>
            </w:r>
          </w:p>
        </w:tc>
        <w:tc>
          <w:tcPr/>
          <w:p>
            <w:pPr>
              <w:pStyle w:val="Compact"/>
              <w:jc w:val="right"/>
            </w:pPr>
            <w:r>
              <w:t xml:space="preserve">–</w:t>
            </w:r>
          </w:p>
        </w:tc>
        <w:tc>
          <w:tcPr/>
          <w:p>
            <w:pPr>
              <w:pStyle w:val="Compact"/>
              <w:jc w:val="right"/>
            </w:pPr>
            <w:r>
              <w:t xml:space="preserve">£657</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£1,080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£747</w:t>
            </w:r>
          </w:p>
        </w:tc>
        <w:tc>
          <w:tcPr/>
          <w:p>
            <w:pPr>
              <w:pStyle w:val="Compact"/>
              <w:jc w:val="right"/>
            </w:pPr>
            <w:r>
              <w:t xml:space="preserve">–</w:t>
            </w:r>
          </w:p>
        </w:tc>
        <w:tc>
          <w:tcPr/>
          <w:p>
            <w:pPr>
              <w:pStyle w:val="Compact"/>
              <w:jc w:val="right"/>
            </w:pPr>
            <w:r>
              <w:t xml:space="preserve">£142</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(£8,597 after tax) on the first licence and a cost base still carried by an unpaid founder. In Year 3 the company starts paying the founder and makes its first two part-time hires, and still makes a profit (£938 after tax). Patent costs fall after the three-year plan (Section 3.4). Profit is not the aim in the early years; showing that the company can pay for its own team from revenue is.</w:t>
      </w:r>
    </w:p>
    <w:p>
      <w:r>
        <w:pict>
          <v:rect style="width:0;height:1.5pt" o:hralign="center" o:hrstd="t" o:hr="t"/>
        </w:pict>
      </w:r>
    </w:p>
    <w:bookmarkEnd w:id="78"/>
    <w:bookmarkStart w:id="79"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£19,126</w:t>
            </w:r>
          </w:p>
        </w:tc>
        <w:tc>
          <w:tcPr/>
          <w:p>
            <w:pPr>
              <w:pStyle w:val="Compact"/>
              <w:jc w:val="right"/>
            </w:pPr>
            <w:r>
              <w:t xml:space="preserve">£25,216</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£40,117</w:t>
            </w:r>
          </w:p>
        </w:tc>
        <w:tc>
          <w:tcPr/>
          <w:p>
            <w:pPr>
              <w:pStyle w:val="Compact"/>
              <w:jc w:val="right"/>
            </w:pPr>
            <w:r>
              <w:rPr>
                <w:bCs/>
                <w:b/>
              </w:rPr>
              <w:t xml:space="preserve">£46,541</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(£657)</w:t>
            </w:r>
          </w:p>
        </w:tc>
        <w:tc>
          <w:tcPr/>
          <w:p>
            <w:pPr>
              <w:pStyle w:val="Compact"/>
              <w:jc w:val="right"/>
            </w:pPr>
            <w:r>
              <w:t xml:space="preserve">(£142)</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(£22,324)</w:t>
            </w:r>
          </w:p>
        </w:tc>
        <w:tc>
          <w:tcPr/>
          <w:p>
            <w:pPr>
              <w:pStyle w:val="Compact"/>
              <w:jc w:val="right"/>
            </w:pPr>
            <w:r>
              <w:rPr>
                <w:bCs/>
                <w:b/>
              </w:rPr>
              <w:t xml:space="preserve">(£27,809)</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£3,794</w:t>
            </w:r>
          </w:p>
        </w:tc>
        <w:tc>
          <w:tcPr/>
          <w:p>
            <w:pPr>
              <w:pStyle w:val="Compact"/>
              <w:jc w:val="right"/>
            </w:pPr>
            <w:r>
              <w:t xml:space="preserve">£4,732</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£17,794</w:t>
            </w:r>
          </w:p>
        </w:tc>
        <w:tc>
          <w:tcPr/>
          <w:p>
            <w:pPr>
              <w:pStyle w:val="Compact"/>
              <w:jc w:val="right"/>
            </w:pPr>
            <w:r>
              <w:rPr>
                <w:bCs/>
                <w:b/>
              </w:rPr>
              <w:t xml:space="preserve">£18,732</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9"/>
    <w:bookmarkStart w:id="80"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0"/>
    <w:bookmarkStart w:id="81"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1"/>
    <w:bookmarkStart w:id="82"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2"/>
    <w:bookmarkStart w:id="86" w:name="forecasted-staff-costs"/>
    <w:p>
      <w:pPr>
        <w:pStyle w:val="Heading2"/>
      </w:pPr>
      <w:r>
        <w:t xml:space="preserve">18. Forecasted Staff Costs</w:t>
      </w:r>
    </w:p>
    <w:bookmarkStart w:id="83"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3"/>
    <w:bookmarkStart w:id="84"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4"/>
    <w:bookmarkStart w:id="85"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5"/>
    <w:bookmarkEnd w:id="86"/>
    <w:bookmarkStart w:id="88"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7"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7"/>
    <w:bookmarkEnd w:id="88"/>
    <w:bookmarkEnd w:id="89"/>
    <w:bookmarkStart w:id="93"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0"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0"/>
    <w:bookmarkStart w:id="91"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(licence contracts)</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(£11,511)</w:t>
            </w:r>
          </w:p>
        </w:tc>
        <w:tc>
          <w:tcPr/>
          <w:p>
            <w:pPr>
              <w:pStyle w:val="Compact"/>
              <w:jc w:val="right"/>
            </w:pPr>
            <w:r>
              <w:rPr>
                <w:bCs/>
                <w:b/>
              </w:rPr>
              <w:t xml:space="preserve">(£168,919)</w:t>
            </w:r>
          </w:p>
        </w:tc>
        <w:tc>
          <w:tcPr/>
          <w:p>
            <w:pPr>
              <w:pStyle w:val="Compact"/>
              <w:jc w:val="right"/>
            </w:pPr>
            <w:r>
              <w:rPr>
                <w:bCs/>
                <w:b/>
              </w:rPr>
              <w:t xml:space="preserve">(£184,530)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£21,199</w:t>
            </w:r>
          </w:p>
        </w:tc>
        <w:tc>
          <w:tcPr/>
          <w:p>
            <w:pPr>
              <w:pStyle w:val="Compact"/>
              <w:jc w:val="right"/>
            </w:pPr>
            <w:r>
              <w:rPr>
                <w:bCs/>
                <w:b/>
              </w:rPr>
              <w:t xml:space="preserve">(£32,500)</w:t>
            </w:r>
          </w:p>
        </w:tc>
        <w:tc>
          <w:tcPr/>
          <w:p>
            <w:pPr>
              <w:pStyle w:val="Compact"/>
              <w:jc w:val="right"/>
            </w:pPr>
            <w:r>
              <w:rPr>
                <w:bCs/>
                <w:b/>
              </w:rPr>
              <w:t xml:space="preserve">(£16,021)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£20,774</w:t>
            </w:r>
          </w:p>
        </w:tc>
        <w:tc>
          <w:tcPr/>
          <w:p>
            <w:pPr>
              <w:pStyle w:val="Compact"/>
              <w:jc w:val="right"/>
            </w:pPr>
            <w:r>
              <w:rPr>
                <w:bCs/>
                <w:b/>
              </w:rPr>
              <w:t xml:space="preserve">(£34,226)</w:t>
            </w:r>
          </w:p>
        </w:tc>
        <w:tc>
          <w:tcPr/>
          <w:p>
            <w:pPr>
              <w:pStyle w:val="Compact"/>
              <w:jc w:val="right"/>
            </w:pPr>
            <w:r>
              <w:rPr>
                <w:bCs/>
                <w:b/>
              </w:rPr>
              <w:t xml:space="preserve">(£18,255)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w:t>
            </w:r>
          </w:p>
        </w:tc>
        <w:tc>
          <w:tcPr/>
          <w:p>
            <w:pPr>
              <w:pStyle w:val="Compact"/>
              <w:jc w:val="right"/>
            </w:pPr>
            <w:r>
              <w:t xml:space="preserve">(£2,846)</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£17,928</w:t>
            </w:r>
          </w:p>
        </w:tc>
        <w:tc>
          <w:tcPr/>
          <w:p>
            <w:pPr>
              <w:pStyle w:val="Compact"/>
              <w:jc w:val="right"/>
            </w:pPr>
            <w:r>
              <w:rPr>
                <w:bCs/>
                <w:b/>
              </w:rPr>
              <w:t xml:space="preserve">(£34,226)</w:t>
            </w:r>
          </w:p>
        </w:tc>
        <w:tc>
          <w:tcPr/>
          <w:p>
            <w:pPr>
              <w:pStyle w:val="Compact"/>
              <w:jc w:val="right"/>
            </w:pPr>
            <w:r>
              <w:rPr>
                <w:bCs/>
                <w:b/>
              </w:rPr>
              <w:t xml:space="preserve">(£21,101)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48.8%</w:t>
            </w:r>
          </w:p>
        </w:tc>
        <w:tc>
          <w:tcPr/>
          <w:p>
            <w:pPr>
              <w:pStyle w:val="Compact"/>
              <w:jc w:val="right"/>
            </w:pPr>
            <w:r>
              <w:t xml:space="preserve">-22.9%</w:t>
            </w:r>
          </w:p>
        </w:tc>
        <w:tc>
          <w:tcPr/>
          <w:p>
            <w:pPr>
              <w:pStyle w:val="Compact"/>
            </w:pPr>
          </w:p>
        </w:tc>
      </w:tr>
    </w:tbl>
    <w:bookmarkEnd w:id="91"/>
    <w:bookmarkStart w:id="92"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£37,312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(£2,846)</w:t>
            </w:r>
          </w:p>
        </w:tc>
        <w:tc>
          <w:tcPr/>
          <w:p>
            <w:pPr>
              <w:pStyle w:val="Compact"/>
              <w:jc w:val="right"/>
            </w:pPr>
            <w:r>
              <w:t xml:space="preserve">(£2,846)</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(£16,464)</w:t>
            </w:r>
          </w:p>
        </w:tc>
        <w:tc>
          <w:tcPr/>
          <w:p>
            <w:pPr>
              <w:pStyle w:val="Compact"/>
              <w:jc w:val="right"/>
            </w:pPr>
            <w:r>
              <w:rPr>
                <w:bCs/>
                <w:b/>
              </w:rPr>
              <w:t xml:space="preserve">(£188,397)</w:t>
            </w:r>
          </w:p>
        </w:tc>
        <w:tc>
          <w:tcPr/>
          <w:p>
            <w:pPr>
              <w:pStyle w:val="Compact"/>
              <w:jc w:val="right"/>
            </w:pPr>
            <w:r>
              <w:rPr>
                <w:bCs/>
                <w:b/>
              </w:rPr>
              <w:t xml:space="preserve">(£210,750)</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£28,633</w:t>
            </w:r>
          </w:p>
        </w:tc>
        <w:tc>
          <w:tcPr/>
          <w:p>
            <w:pPr>
              <w:pStyle w:val="Compact"/>
              <w:jc w:val="right"/>
            </w:pPr>
            <w:r>
              <w:rPr>
                <w:bCs/>
                <w:b/>
              </w:rPr>
              <w:t xml:space="preserve">(£14,262)</w:t>
            </w:r>
          </w:p>
        </w:tc>
        <w:tc>
          <w:tcPr/>
          <w:p>
            <w:pPr>
              <w:pStyle w:val="Compact"/>
              <w:jc w:val="right"/>
            </w:pPr>
            <w:r>
              <w:rPr>
                <w:bCs/>
                <w:b/>
              </w:rPr>
              <w:t xml:space="preserve">£20,050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£37,312</w:t>
            </w:r>
          </w:p>
        </w:tc>
        <w:tc>
          <w:tcPr/>
          <w:p>
            <w:pPr>
              <w:pStyle w:val="Compact"/>
              <w:jc w:val="right"/>
            </w:pPr>
            <w:r>
              <w:rPr>
                <w:bCs/>
                <w:b/>
              </w:rPr>
              <w:t xml:space="preserve">£23,050</w:t>
            </w:r>
          </w:p>
        </w:tc>
        <w:tc>
          <w:tcPr/>
          <w:p>
            <w:pPr>
              <w:pStyle w:val="Compact"/>
              <w:jc w:val="right"/>
            </w:pPr>
            <w:r>
              <w:rPr>
                <w:bCs/>
                <w:b/>
              </w:rPr>
              <w:t xml:space="preserve">£23,050</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2026-10-14T15:41:58Z</dcterms:created>
  <dcterms:modified xsi:type="dcterms:W3CDTF">2026-10-14T15:41:58Z</dcterms:modified>
</cp:coreProperties>
</file>

<file path=docProps/custom.xml><?xml version="1.0" encoding="utf-8"?>
<Properties xmlns="http://schemas.openxmlformats.org/officeDocument/2006/custom-properties" xmlns:vt="http://schemas.openxmlformats.org/officeDocument/2006/docPropsVTypes"/>
</file>