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DEQUAD_UKES_Full_Submission</w:t>
      </w:r>
    </w:p>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 — modest and self-funded</w:t>
            </w:r>
          </w:p>
        </w:tc>
        <w:tc>
          <w:tcPr/>
          <w:p>
            <w:pPr>
              <w:pStyle w:val="Compact"/>
            </w:pPr>
            <w:r>
              <w:t xml:space="preserve">2 founders (Y1–Y2, unpaid by the company) → 3 people (2.5 FTE) by Y3, funded entirely from institutional and premium revenue, not external investment.</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A job description for the first funded hire (Safeguarding &amp; Trust Lead, part-time) is already written (Appendix G); headcount grows 2 (unpaid founders) → 2 → 3 (2.5 FTE) across the self-funded 3-year forecast, all UK-based. Faster hiring would only follow proven multi-university traction and/or a future funding round, neither of which is assumed in this plan.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t xml:space="preserve">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 Further hires (engineering, customer success, marketing) are</w:t>
      </w:r>
      <w:r>
        <w:t xml:space="preserve"> </w:t>
      </w:r>
      <w:r>
        <w:rPr>
          <w:b/>
          <w:bCs/>
        </w:rPr>
        <w:t xml:space="preserve">not assumed</w:t>
      </w:r>
      <w:r>
        <w:t xml:space="preserve"> </w:t>
      </w:r>
      <w:r>
        <w:t xml:space="preserve">in this plan; they would only be made beyond Year 3 if revenue growth or a future funding round justifies them.</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funded hire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(for example, 5+ paying universities), the founders may explore external investment beyond Year 3 to accelerate growth. That scenario is not part of the numbers presented here and carries no commitment, timeline, or dependency for this plan to succeed.</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y3-first-modest-pay-first-hire"/>
    <w:p>
      <w:pPr>
        <w:pStyle w:val="Heading3"/>
      </w:pPr>
      <w:r>
        <w:t xml:space="preserve">18.3 Y3 —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w:t>
      </w:r>
      <w:r>
        <w:t xml:space="preserve"> </w:t>
      </w:r>
      <w:r>
        <w:rPr>
          <w:b/>
          <w:bCs/>
        </w:rPr>
        <w:t xml:space="preserve">2 unpaid founders (Y1) → 2 unpaid founders (Y2) → 3 people / 2.5 FTE (Y3)</w:t>
      </w:r>
      <w:r>
        <w:t xml:space="preserve"> </w:t>
      </w:r>
      <w:r>
        <w:t xml:space="preserve">— all UK-based, entirely self-funded. Scaling beyond this (additional engineering, customer success, marketing hires) is a longer-term ambition, not part of this 3-year plan, and would only follow proven multi-university revenue or a future funding round.</w:t>
      </w:r>
    </w:p>
    <w:bookmarkEnd w:id="64"/>
    <w:bookmarkStart w:id="65" w:name="equity"/>
    <w:p>
      <w:pPr>
        <w:pStyle w:val="Heading3"/>
      </w:pPr>
      <w:r>
        <w:t xml:space="preserve">18.4 Equity</w:t>
      </w:r>
    </w:p>
    <w:p>
      <w:pPr>
        <w:pStyle w:val="FirstParagraph"/>
      </w:pPr>
      <w:r>
        <w:t xml:space="preserve">The wider founding team (Section 7.2) hold EMI options on equity-only terms. No new EMI grants are modelled for the single Y3 hire’s compensation above, which is cash-only; option grants for future hires would be considered if and when a funding round is raised — not assumed in this plan.</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June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descriptions for first 6 hires</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Anchor pilot discussion currently in progress with the</w:t>
      </w:r>
      <w:r>
        <w:t xml:space="preserve"> </w:t>
      </w:r>
      <w:r>
        <w:rPr>
          <w:b/>
          <w:bCs/>
        </w:rPr>
        <w:t xml:space="preserve">University of Bedfordshire</w:t>
      </w:r>
      <w:r>
        <w:t xml:space="preserve">,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anchor pilot discussion.</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hiring and managing the first engineering team members from Y2 onward.</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June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1"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self-funded 3-year plan referenced in main document §7.3, plus the basis on which any further hiring beyond Year 3 would be considered. This is a deliberate change from earlier drafts of this plan, which assumed a 42-role, 5-year hiring plan funded by pre-seed, seed and Series A rounds. None of that external funding is assumed in this version (Section 10), so the hiring plan has been rebuilt around what institutional and premium revenue can actually fund.</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(all roles, incl. modest founder pay):</w:t>
      </w:r>
      <w:r>
        <w:t xml:space="preserve"> </w:t>
      </w:r>
      <w:r>
        <w:rPr>
          <w:b/>
          <w:bCs/>
        </w:rPr>
        <w:t xml:space="preserve">£20,000 gross / £21,500 incl. employer NI, pension and other costs</w:t>
      </w:r>
      <w:r>
        <w:t xml:space="preserve"> </w:t>
      </w:r>
      <w:r>
        <w:t xml:space="preserve">(Section 18.3).</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59" w:name="g.3-beyond-year-3-not-part-of-this-plan"/>
    <w:p>
      <w:pPr>
        <w:pStyle w:val="Heading2"/>
      </w:pPr>
      <w:r>
        <w:t xml:space="preserve">G.3 Beyond Year 3 — not part of this plan</w:t>
      </w:r>
    </w:p>
    <w:p>
      <w:pPr>
        <w:pStyle w:val="FirstParagraph"/>
      </w:pPr>
      <w:r>
        <w:t xml:space="preserve">Further roles (engineering, customer success, sales, marketing, data/ML, operations) are a long-term ambition, not a commitment. They would only be made if institutional revenue significantly exceeds the conservative Y3 base case (Section 11) or if a future funding round is raised — neither of which is assumed here. No salary bands, hire dates or headcount targets are set for this later stage, to avoid presenting an unfunded plan as committed.</w:t>
      </w:r>
    </w:p>
    <w:p>
      <w:r>
        <w:pict>
          <v:rect style="width:0;height:1.5pt" o:hralign="center" o:hrstd="t" o:hr="t"/>
        </w:pict>
      </w:r>
    </w:p>
    <w:bookmarkEnd w:id="159"/>
    <w:bookmarkStart w:id="160" w:name="X3b53e2157c356a161c77c96558b29bf7e894693"/>
    <w:p>
      <w:pPr>
        <w:pStyle w:val="Heading2"/>
      </w:pPr>
      <w:r>
        <w:t xml:space="preserve">G.4 Diversity, equality, and inclusion commitments</w:t>
      </w:r>
    </w:p>
    <w:p>
      <w:pPr>
        <w:pStyle w:val="FirstParagraph"/>
      </w:pPr>
      <w:r>
        <w:t xml:space="preserve">Even at this small scale, DEQUAD commits to:</w:t>
      </w:r>
    </w:p>
    <w:p>
      <w:pPr>
        <w:pStyle w:val="Compact"/>
        <w:numPr>
          <w:ilvl w:val="0"/>
          <w:numId w:val="1037"/>
        </w:numPr>
      </w:pPr>
      <w:r>
        <w:rPr>
          <w:b/>
          <w:bCs/>
        </w:rPr>
        <w:t xml:space="preserve">Open advertising</w:t>
      </w:r>
      <w:r>
        <w:t xml:space="preserve"> </w:t>
      </w:r>
      <w:r>
        <w:t xml:space="preserve">for the Y3 hire on at least two channels for at least 14 days before any offer.</w:t>
      </w:r>
    </w:p>
    <w:p>
      <w:pPr>
        <w:pStyle w:val="Compact"/>
        <w:numPr>
          <w:ilvl w:val="0"/>
          <w:numId w:val="1037"/>
        </w:numPr>
      </w:pPr>
      <w:r>
        <w:rPr>
          <w:b/>
          <w:bCs/>
        </w:rPr>
        <w:t xml:space="preserve">Blind shortlisting</w:t>
      </w:r>
      <w:r>
        <w:t xml:space="preserve"> </w:t>
      </w:r>
      <w:r>
        <w:t xml:space="preserve">at CV-screening stage (name, university, address removed).</w:t>
      </w:r>
    </w:p>
    <w:p>
      <w:pPr>
        <w:pStyle w:val="Compact"/>
        <w:numPr>
          <w:ilvl w:val="0"/>
          <w:numId w:val="1037"/>
        </w:numPr>
      </w:pPr>
      <w:r>
        <w:rPr>
          <w:b/>
          <w:bCs/>
        </w:rPr>
        <w:t xml:space="preserve">Structured interview rubric.</w:t>
      </w:r>
    </w:p>
    <w:p>
      <w:pPr>
        <w:pStyle w:val="Compact"/>
        <w:numPr>
          <w:ilvl w:val="0"/>
          <w:numId w:val="1037"/>
        </w:numPr>
      </w:pPr>
      <w:r>
        <w:rPr>
          <w:b/>
          <w:bCs/>
        </w:rPr>
        <w:t xml:space="preserve">Pay-band transparency</w:t>
      </w:r>
      <w:r>
        <w:t xml:space="preserve"> </w:t>
      </w:r>
      <w:r>
        <w:t xml:space="preserve">— salary published in the job advert.</w:t>
      </w:r>
    </w:p>
    <w:p>
      <w:pPr>
        <w:pStyle w:val="Compact"/>
        <w:numPr>
          <w:ilvl w:val="0"/>
          <w:numId w:val="1037"/>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0"/>
    <w:bookmarkEnd w:id="161"/>
    <w:bookmarkStart w:id="171"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2"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2"/>
    <w:bookmarkStart w:id="163"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3"/>
    <w:bookmarkStart w:id="164"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8"/>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8"/>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8"/>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64"/>
    <w:bookmarkStart w:id="165"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65"/>
    <w:bookmarkStart w:id="166"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£1.50 per enrolled student per annum</w:t>
      </w:r>
      <w:r>
        <w:t xml:space="preserve"> </w:t>
      </w:r>
      <w:r>
        <w:t xml:space="preserve">discussed with the DEQUAD team is within the indicative range we have allocated for digital-wellbeing tooling in the 2026/27 budget cycle.</w:t>
      </w:r>
    </w:p>
    <w:bookmarkEnd w:id="166"/>
    <w:bookmarkStart w:id="167"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67"/>
    <w:bookmarkStart w:id="168"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68"/>
    <w:bookmarkStart w:id="169"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Manchester</w:t>
            </w:r>
          </w:p>
        </w:tc>
        <w:tc>
          <w:tcPr/>
          <w:p>
            <w:pPr>
              <w:pStyle w:val="Compact"/>
            </w:pPr>
            <w:r>
              <w:rPr>
                <w:i/>
                <w:iCs/>
              </w:rPr>
              <w:t xml:space="preserve">Pending — discussion underway</w:t>
            </w:r>
          </w:p>
        </w:tc>
        <w:tc>
          <w:tcPr/>
          <w:p>
            <w:pPr>
              <w:pStyle w:val="Compact"/>
            </w:pPr>
            <w:r>
              <w:t xml:space="preserve">_____________</w:t>
            </w:r>
          </w:p>
        </w:tc>
        <w:tc>
          <w:tcPr/>
          <w:p>
            <w:pPr>
              <w:pStyle w:val="Compact"/>
            </w:pPr>
            <w:r>
              <w:t xml:space="preserve">Verbal interest</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r>
        <w:pict>
          <v:rect style="width:0;height:1.5pt" o:hralign="center" o:hrstd="t" o:hr="t"/>
        </w:pict>
      </w:r>
    </w:p>
    <w:bookmarkEnd w:id="169"/>
    <w:bookmarkStart w:id="170"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39"/>
        </w:numPr>
      </w:pPr>
      <w:r>
        <w:t xml:space="preserve">Verbal-interest confirmations via the named contact’s professional email signature</w:t>
      </w:r>
    </w:p>
    <w:p>
      <w:pPr>
        <w:pStyle w:val="Compact"/>
        <w:numPr>
          <w:ilvl w:val="0"/>
          <w:numId w:val="1039"/>
        </w:numPr>
      </w:pPr>
      <w:r>
        <w:t xml:space="preserve">Meeting notes from any in-person or video discussions</w:t>
      </w:r>
    </w:p>
    <w:p>
      <w:pPr>
        <w:pStyle w:val="Compact"/>
        <w:numPr>
          <w:ilvl w:val="0"/>
          <w:numId w:val="1039"/>
        </w:numPr>
      </w:pPr>
      <w:r>
        <w:t xml:space="preserve">Anonymised LinkedIn message chains where data-protection rules permit</w:t>
      </w:r>
    </w:p>
    <w:p>
      <w:pPr>
        <w:pStyle w:val="Compact"/>
        <w:numPr>
          <w:ilvl w:val="0"/>
          <w:numId w:val="1039"/>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0"/>
    <w:bookmarkEnd w:id="171"/>
    <w:bookmarkStart w:id="181"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2"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2"/>
    <w:bookmarkStart w:id="173"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3"/>
    <w:bookmarkStart w:id="174"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74"/>
    <w:bookmarkStart w:id="175"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75"/>
    <w:bookmarkStart w:id="176"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0"/>
        </w:numPr>
      </w:pPr>
      <w:r>
        <w:t xml:space="preserve">A small number of UK undergraduate students begin their first year aged 17 (typically birthday-rule edge cases).</w:t>
      </w:r>
    </w:p>
    <w:p>
      <w:pPr>
        <w:pStyle w:val="Compact"/>
        <w:numPr>
          <w:ilvl w:val="0"/>
          <w:numId w:val="1040"/>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76"/>
    <w:bookmarkStart w:id="177"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77"/>
    <w:bookmarkStart w:id="178"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78"/>
    <w:bookmarkStart w:id="179"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1"/>
        </w:numPr>
      </w:pPr>
      <w:r>
        <w:t xml:space="preserve">Confirmation of DEQUAD’s categorisation under the OSA;</w:t>
      </w:r>
    </w:p>
    <w:p>
      <w:pPr>
        <w:pStyle w:val="Compact"/>
        <w:numPr>
          <w:ilvl w:val="0"/>
          <w:numId w:val="1041"/>
        </w:numPr>
      </w:pPr>
      <w:r>
        <w:t xml:space="preserve">Sufficiency of the Illegal Content and Children’s Risk Assessments;</w:t>
      </w:r>
    </w:p>
    <w:p>
      <w:pPr>
        <w:pStyle w:val="Compact"/>
        <w:numPr>
          <w:ilvl w:val="0"/>
          <w:numId w:val="1041"/>
        </w:numPr>
      </w:pPr>
      <w:r>
        <w:t xml:space="preserve">Sufficiency of the content-reporting and complaints procedures;</w:t>
      </w:r>
    </w:p>
    <w:p>
      <w:pPr>
        <w:pStyle w:val="Compact"/>
        <w:numPr>
          <w:ilvl w:val="0"/>
          <w:numId w:val="1041"/>
        </w:numPr>
      </w:pPr>
      <w:r>
        <w:t xml:space="preserve">Adequacy of record-keeping;</w:t>
      </w:r>
    </w:p>
    <w:p>
      <w:pPr>
        <w:pStyle w:val="Compact"/>
        <w:numPr>
          <w:ilvl w:val="0"/>
          <w:numId w:val="1041"/>
        </w:numPr>
      </w:pPr>
      <w:r>
        <w:t xml:space="preserve">Risk register for foreseeable Ofcom enforcement;</w:t>
      </w:r>
    </w:p>
    <w:p>
      <w:pPr>
        <w:pStyle w:val="Compact"/>
        <w:numPr>
          <w:ilvl w:val="0"/>
          <w:numId w:val="1041"/>
        </w:numPr>
      </w:pPr>
      <w:r>
        <w:t xml:space="preserve">Boilerplate Terms of Service and Acceptable Use Policy review;</w:t>
      </w:r>
    </w:p>
    <w:p>
      <w:pPr>
        <w:pStyle w:val="Compact"/>
        <w:numPr>
          <w:ilvl w:val="0"/>
          <w:numId w:val="1041"/>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Budgeted in Year-1 P&amp;L (Appendix F).</w:t>
      </w:r>
    </w:p>
    <w:p>
      <w:r>
        <w:pict>
          <v:rect style="width:0;height:1.5pt" o:hralign="center" o:hrstd="t" o:hr="t"/>
        </w:pict>
      </w:r>
    </w:p>
    <w:bookmarkEnd w:id="179"/>
    <w:bookmarkStart w:id="180"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0"/>
    <w:bookmarkEnd w:id="181"/>
    <w:bookmarkStart w:id="189"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2"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2"/>
    <w:bookmarkStart w:id="183"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3"/>
    <w:bookmarkStart w:id="184"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84"/>
    <w:bookmarkStart w:id="185"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85"/>
    <w:bookmarkStart w:id="186"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86"/>
    <w:bookmarkStart w:id="187"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87"/>
    <w:bookmarkStart w:id="188"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88"/>
    <w:bookmarkEnd w:id="189"/>
    <w:bookmarkStart w:id="194"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0"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0"/>
    <w:bookmarkStart w:id="191"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1"/>
    <w:bookmarkStart w:id="192"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2"/>
    <w:bookmarkStart w:id="193"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3"/>
    <w:bookmarkEnd w:id="194"/>
    <w:bookmarkStart w:id="201" w:name="dequad-risk-register"/>
    <w:p>
      <w:pPr>
        <w:pStyle w:val="Heading1"/>
      </w:pPr>
      <w:r>
        <w:t xml:space="preserve">DEQUAD — Risk Register</w:t>
      </w:r>
    </w:p>
    <w:bookmarkStart w:id="195"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16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195"/>
    <w:bookmarkStart w:id="196"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2"/>
        </w:numPr>
      </w:pPr>
      <w:r>
        <w:rPr>
          <w:b/>
          <w:bCs/>
        </w:rPr>
        <w:t xml:space="preserve">🔴 16–25</w:t>
      </w:r>
      <w:r>
        <w:t xml:space="preserve"> </w:t>
      </w:r>
      <w:r>
        <w:t xml:space="preserve">— actively managed each week; board-visible.</w:t>
      </w:r>
    </w:p>
    <w:p>
      <w:pPr>
        <w:pStyle w:val="Compact"/>
        <w:numPr>
          <w:ilvl w:val="0"/>
          <w:numId w:val="1042"/>
        </w:numPr>
      </w:pPr>
      <w:r>
        <w:rPr>
          <w:b/>
          <w:bCs/>
        </w:rPr>
        <w:t xml:space="preserve">🟠 9–15</w:t>
      </w:r>
      <w:r>
        <w:t xml:space="preserve"> </w:t>
      </w:r>
      <w:r>
        <w:t xml:space="preserve">— actively managed each month.</w:t>
      </w:r>
    </w:p>
    <w:p>
      <w:pPr>
        <w:pStyle w:val="Compact"/>
        <w:numPr>
          <w:ilvl w:val="0"/>
          <w:numId w:val="1042"/>
        </w:numPr>
      </w:pPr>
      <w:r>
        <w:rPr>
          <w:b/>
          <w:bCs/>
        </w:rPr>
        <w:t xml:space="preserve">🟡 4–8</w:t>
      </w:r>
      <w:r>
        <w:t xml:space="preserve"> </w:t>
      </w:r>
      <w:r>
        <w:t xml:space="preserve">— managed quarterly.</w:t>
      </w:r>
    </w:p>
    <w:p>
      <w:pPr>
        <w:pStyle w:val="Compact"/>
        <w:numPr>
          <w:ilvl w:val="0"/>
          <w:numId w:val="1042"/>
        </w:numPr>
      </w:pPr>
      <w:r>
        <w:rPr>
          <w:b/>
          <w:bCs/>
        </w:rPr>
        <w:t xml:space="preserve">🟢 1–3</w:t>
      </w:r>
      <w:r>
        <w:t xml:space="preserve"> </w:t>
      </w:r>
      <w:r>
        <w:t xml:space="preserve">— accepted; reviewed annually.</w:t>
      </w:r>
    </w:p>
    <w:p>
      <w:r>
        <w:pict>
          <v:rect style="width:0;height:1.5pt" o:hralign="center" o:hrstd="t" o:hr="t"/>
        </w:pict>
      </w:r>
    </w:p>
    <w:bookmarkEnd w:id="196"/>
    <w:bookmarkStart w:id="197"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single Y3 hire and modest founder pay are delayed, not that the business fails.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bl>
    <w:p>
      <w:r>
        <w:pict>
          <v:rect style="width:0;height:1.5pt" o:hralign="center" o:hrstd="t" o:hr="t"/>
        </w:pict>
      </w:r>
    </w:p>
    <w:bookmarkEnd w:id="197"/>
    <w:bookmarkStart w:id="198"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198"/>
    <w:bookmarkStart w:id="199"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3"/>
        </w:numPr>
      </w:pPr>
      <w:r>
        <w:rPr>
          <w:b/>
          <w:bCs/>
        </w:rPr>
        <w:t xml:space="preserve">R-A1</w:t>
      </w:r>
      <w:r>
        <w:t xml:space="preserve"> </w:t>
      </w:r>
      <w:r>
        <w:t xml:space="preserve">Foreign-exchange exposure on USD-denominated cloud bills — accepted: &lt; 10% of COGS.</w:t>
      </w:r>
    </w:p>
    <w:p>
      <w:pPr>
        <w:pStyle w:val="Compact"/>
        <w:numPr>
          <w:ilvl w:val="0"/>
          <w:numId w:val="1043"/>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3"/>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199"/>
    <w:bookmarkStart w:id="200" w:name="governance"/>
    <w:p>
      <w:pPr>
        <w:pStyle w:val="Heading2"/>
      </w:pPr>
      <w:r>
        <w:t xml:space="preserve">Governance</w:t>
      </w:r>
    </w:p>
    <w:p>
      <w:pPr>
        <w:pStyle w:val="Compact"/>
        <w:numPr>
          <w:ilvl w:val="0"/>
          <w:numId w:val="1044"/>
        </w:numPr>
      </w:pPr>
      <w:r>
        <w:rPr>
          <w:b/>
          <w:bCs/>
        </w:rPr>
        <w:t xml:space="preserve">Monthly:</w:t>
      </w:r>
      <w:r>
        <w:t xml:space="preserve"> </w:t>
      </w:r>
      <w:r>
        <w:t xml:space="preserve">Founders review the full register; update RAG scores; surface new risks; close mitigated risks.</w:t>
      </w:r>
    </w:p>
    <w:p>
      <w:pPr>
        <w:pStyle w:val="Compact"/>
        <w:numPr>
          <w:ilvl w:val="0"/>
          <w:numId w:val="1044"/>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4"/>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June 2026.</w:t>
      </w:r>
    </w:p>
    <w:p>
      <w:r>
        <w:pict>
          <v:rect style="width:0;height:1.5pt" o:hralign="center" o:hrstd="t" o:hr="t"/>
        </w:pict>
      </w:r>
    </w:p>
    <w:bookmarkEnd w:id="200"/>
    <w:bookmarkEnd w:id="201"/>
    <w:bookmarkStart w:id="240" w:name="dequad-decision-maker-brief"/>
    <w:p>
      <w:pPr>
        <w:pStyle w:val="Heading1"/>
      </w:pPr>
      <w:r>
        <w:t xml:space="preserve">DEQUAD — Decision-Maker Brief</w:t>
      </w:r>
    </w:p>
    <w:bookmarkStart w:id="202"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2"/>
    <w:bookmarkStart w:id="203"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2 (unpaid founders) → 2 (unpaid founders) → 3 people / c.2.5 FTE, entirely self-funded</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3"/>
    <w:bookmarkStart w:id="204"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5"/>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5"/>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5"/>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6"/>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6"/>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6"/>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6"/>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04"/>
    <w:bookmarkStart w:id="208" w:name="X037fec80d67edb3c7919c0217ff6ab920ad9f12"/>
    <w:p>
      <w:pPr>
        <w:pStyle w:val="Heading2"/>
      </w:pPr>
      <w:r>
        <w:t xml:space="preserve">Page 2 — How we meet the three Home Office criteria</w:t>
      </w:r>
    </w:p>
    <w:bookmarkStart w:id="205"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7"/>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7"/>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7"/>
        </w:numPr>
      </w:pPr>
      <w:r>
        <w:t xml:space="preserve">continuous mood telemetry tied to engagement,</w:t>
      </w:r>
    </w:p>
    <w:p>
      <w:pPr>
        <w:pStyle w:val="Compact"/>
        <w:numPr>
          <w:ilvl w:val="0"/>
          <w:numId w:val="1047"/>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05"/>
    <w:bookmarkStart w:id="206" w:name="viability-1"/>
    <w:p>
      <w:pPr>
        <w:pStyle w:val="Heading3"/>
      </w:pPr>
      <w:r>
        <w:t xml:space="preserve">Viability ✅</w:t>
      </w:r>
    </w:p>
    <w:p>
      <w:pPr>
        <w:pStyle w:val="Compact"/>
        <w:numPr>
          <w:ilvl w:val="0"/>
          <w:numId w:val="1048"/>
        </w:numPr>
      </w:pPr>
      <w:r>
        <w:t xml:space="preserve">Production MVP is live, in beta with real students.</w:t>
      </w:r>
    </w:p>
    <w:p>
      <w:pPr>
        <w:pStyle w:val="Compact"/>
        <w:numPr>
          <w:ilvl w:val="0"/>
          <w:numId w:val="1048"/>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8"/>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8"/>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8"/>
        </w:numPr>
      </w:pPr>
      <w:r>
        <w:t xml:space="preserve">B2B SaaS revenue model is proven in the adjacent market — Togetherall serves 60+ UK universities at ~£40k/year.</w:t>
      </w:r>
    </w:p>
    <w:bookmarkEnd w:id="206"/>
    <w:bookmarkStart w:id="207" w:name="scalability-1"/>
    <w:p>
      <w:pPr>
        <w:pStyle w:val="Heading3"/>
      </w:pPr>
      <w:r>
        <w:t xml:space="preserve">Scalability ✅</w:t>
      </w:r>
    </w:p>
    <w:p>
      <w:pPr>
        <w:pStyle w:val="Compact"/>
        <w:numPr>
          <w:ilvl w:val="0"/>
          <w:numId w:val="1049"/>
        </w:numPr>
      </w:pPr>
      <w:r>
        <w:t xml:space="preserve">Software-only marginal cost → 92% gross margin by Y3.</w:t>
      </w:r>
    </w:p>
    <w:p>
      <w:pPr>
        <w:pStyle w:val="Compact"/>
        <w:numPr>
          <w:ilvl w:val="0"/>
          <w:numId w:val="1049"/>
        </w:numPr>
      </w:pPr>
      <w:r>
        <w:t xml:space="preserve">Within-institution network effects accelerate intra-uni adoption.</w:t>
      </w:r>
    </w:p>
    <w:p>
      <w:pPr>
        <w:pStyle w:val="Compact"/>
        <w:numPr>
          <w:ilvl w:val="0"/>
          <w:numId w:val="1049"/>
        </w:numPr>
      </w:pPr>
      <w:r>
        <w:t xml:space="preserve">6-week implementation per new university enables scale to 20+ institutions by end Y3 (out of 285 total UK).</w:t>
      </w:r>
    </w:p>
    <w:p>
      <w:pPr>
        <w:pStyle w:val="Compact"/>
        <w:numPr>
          <w:ilvl w:val="0"/>
          <w:numId w:val="1049"/>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07"/>
    <w:bookmarkEnd w:id="208"/>
    <w:bookmarkStart w:id="211" w:name="page-3-product"/>
    <w:p>
      <w:pPr>
        <w:pStyle w:val="Heading2"/>
      </w:pPr>
      <w:r>
        <w:t xml:space="preserve">Page 3 — Product</w:t>
      </w:r>
    </w:p>
    <w:bookmarkStart w:id="209"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09"/>
    <w:bookmarkStart w:id="210" w:name="tech-stack-already-running"/>
    <w:p>
      <w:pPr>
        <w:pStyle w:val="Heading3"/>
      </w:pPr>
      <w:r>
        <w:t xml:space="preserve">Tech stack (already running)</w:t>
      </w:r>
    </w:p>
    <w:p>
      <w:pPr>
        <w:pStyle w:val="Compact"/>
        <w:numPr>
          <w:ilvl w:val="0"/>
          <w:numId w:val="1050"/>
        </w:numPr>
      </w:pPr>
      <w:r>
        <w:rPr>
          <w:b/>
          <w:bCs/>
        </w:rPr>
        <w:t xml:space="preserve">Frontend:</w:t>
      </w:r>
      <w:r>
        <w:t xml:space="preserve"> </w:t>
      </w:r>
      <w:r>
        <w:t xml:space="preserve">Expo / React Native (iOS, Android, web at dequad.co.uk) — universal codebase.</w:t>
      </w:r>
    </w:p>
    <w:p>
      <w:pPr>
        <w:pStyle w:val="Compact"/>
        <w:numPr>
          <w:ilvl w:val="0"/>
          <w:numId w:val="1050"/>
        </w:numPr>
      </w:pPr>
      <w:r>
        <w:rPr>
          <w:b/>
          <w:bCs/>
        </w:rPr>
        <w:t xml:space="preserve">Backend:</w:t>
      </w:r>
      <w:r>
        <w:t xml:space="preserve"> </w:t>
      </w:r>
      <w:r>
        <w:t xml:space="preserve">FastAPI (Python), MongoDB (Motor), real-time WebSockets.</w:t>
      </w:r>
    </w:p>
    <w:p>
      <w:pPr>
        <w:pStyle w:val="Compact"/>
        <w:numPr>
          <w:ilvl w:val="0"/>
          <w:numId w:val="1050"/>
        </w:numPr>
      </w:pPr>
      <w:r>
        <w:rPr>
          <w:b/>
          <w:bCs/>
        </w:rPr>
        <w:t xml:space="preserve">AI:</w:t>
      </w:r>
      <w:r>
        <w:t xml:space="preserve"> </w:t>
      </w:r>
      <w:r>
        <w:t xml:space="preserve">OpenAI / Anthropic LLMs via Emergent integrations (text classification, safeguarding triage).</w:t>
      </w:r>
    </w:p>
    <w:p>
      <w:pPr>
        <w:pStyle w:val="Compact"/>
        <w:numPr>
          <w:ilvl w:val="0"/>
          <w:numId w:val="1050"/>
        </w:numPr>
      </w:pPr>
      <w:r>
        <w:rPr>
          <w:b/>
          <w:bCs/>
        </w:rPr>
        <w:t xml:space="preserve">Payments:</w:t>
      </w:r>
      <w:r>
        <w:t xml:space="preserve"> </w:t>
      </w:r>
      <w:r>
        <w:t xml:space="preserve">Stripe (B2C subs + B2B invoicing).</w:t>
      </w:r>
    </w:p>
    <w:p>
      <w:pPr>
        <w:pStyle w:val="Compact"/>
        <w:numPr>
          <w:ilvl w:val="0"/>
          <w:numId w:val="1050"/>
        </w:numPr>
      </w:pPr>
      <w:r>
        <w:rPr>
          <w:b/>
          <w:bCs/>
        </w:rPr>
        <w:t xml:space="preserve">Infra:</w:t>
      </w:r>
      <w:r>
        <w:t xml:space="preserve"> </w:t>
      </w:r>
      <w:r>
        <w:t xml:space="preserve">Cloudflare CDN + Render Pro; Online Safety Act-compliant reporting flows.</w:t>
      </w:r>
    </w:p>
    <w:p>
      <w:pPr>
        <w:pStyle w:val="Compact"/>
        <w:numPr>
          <w:ilvl w:val="0"/>
          <w:numId w:val="1050"/>
        </w:numPr>
      </w:pPr>
      <w:r>
        <w:rPr>
          <w:b/>
          <w:bCs/>
        </w:rPr>
        <w:t xml:space="preserve">Auth:</w:t>
      </w:r>
      <w:r>
        <w:t xml:space="preserve"> </w:t>
      </w:r>
      <w:r>
        <w:t xml:space="preserve">Custom email/password + Google OAuth + admin portal (dual auth).</w:t>
      </w:r>
    </w:p>
    <w:p>
      <w:r>
        <w:pict>
          <v:rect style="width:0;height:1.5pt" o:hralign="center" o:hrstd="t" o:hr="t"/>
        </w:pict>
      </w:r>
    </w:p>
    <w:bookmarkEnd w:id="210"/>
    <w:bookmarkEnd w:id="211"/>
    <w:bookmarkStart w:id="212"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2"/>
    <w:bookmarkStart w:id="215" w:name="page-5-market"/>
    <w:p>
      <w:pPr>
        <w:pStyle w:val="Heading2"/>
      </w:pPr>
      <w:r>
        <w:t xml:space="preserve">Page 5 — Market</w:t>
      </w:r>
    </w:p>
    <w:bookmarkStart w:id="213"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3"/>
    <w:bookmarkStart w:id="214" w:name="demand-signals"/>
    <w:p>
      <w:pPr>
        <w:pStyle w:val="Heading3"/>
      </w:pPr>
      <w:r>
        <w:t xml:space="preserve">Demand signals</w:t>
      </w:r>
    </w:p>
    <w:p>
      <w:pPr>
        <w:pStyle w:val="Compact"/>
        <w:numPr>
          <w:ilvl w:val="0"/>
          <w:numId w:val="1051"/>
        </w:numPr>
      </w:pPr>
      <w:r>
        <w:rPr>
          <w:b/>
          <w:bCs/>
        </w:rPr>
        <w:t xml:space="preserve">2.86m UK higher-ed students</w:t>
      </w:r>
      <w:r>
        <w:t xml:space="preserve"> </w:t>
      </w:r>
      <w:r>
        <w:t xml:space="preserve">(HESA 2023/24) — addressable consumer base.</w:t>
      </w:r>
    </w:p>
    <w:p>
      <w:pPr>
        <w:pStyle w:val="Compact"/>
        <w:numPr>
          <w:ilvl w:val="0"/>
          <w:numId w:val="1051"/>
        </w:numPr>
      </w:pPr>
      <w:r>
        <w:rPr>
          <w:b/>
          <w:bCs/>
        </w:rPr>
        <w:t xml:space="preserve">285 UK higher-ed institutions</w:t>
      </w:r>
      <w:r>
        <w:t xml:space="preserve"> </w:t>
      </w:r>
      <w:r>
        <w:t xml:space="preserve">— addressable B2B base.</w:t>
      </w:r>
    </w:p>
    <w:p>
      <w:pPr>
        <w:pStyle w:val="Compact"/>
        <w:numPr>
          <w:ilvl w:val="0"/>
          <w:numId w:val="1051"/>
        </w:numPr>
      </w:pPr>
      <w:r>
        <w:rPr>
          <w:b/>
          <w:bCs/>
        </w:rPr>
        <w:t xml:space="preserve">54% of UK undergrads</w:t>
      </w:r>
      <w:r>
        <w:t xml:space="preserve"> </w:t>
      </w:r>
      <w:r>
        <w:t xml:space="preserve">report frequent loneliness (ONS 2023).</w:t>
      </w:r>
    </w:p>
    <w:p>
      <w:pPr>
        <w:pStyle w:val="Compact"/>
        <w:numPr>
          <w:ilvl w:val="0"/>
          <w:numId w:val="1051"/>
        </w:numPr>
      </w:pPr>
      <w:r>
        <w:rPr>
          <w:b/>
          <w:bCs/>
        </w:rPr>
        <w:t xml:space="preserve">34% of UK undergrads</w:t>
      </w:r>
      <w:r>
        <w:t xml:space="preserve"> </w:t>
      </w:r>
      <w:r>
        <w:t xml:space="preserve">experience a clinically-significant MH issue (Student Minds 2024).</w:t>
      </w:r>
    </w:p>
    <w:p>
      <w:pPr>
        <w:pStyle w:val="Compact"/>
        <w:numPr>
          <w:ilvl w:val="0"/>
          <w:numId w:val="1051"/>
        </w:numPr>
      </w:pPr>
      <w:r>
        <w:rPr>
          <w:b/>
          <w:bCs/>
        </w:rPr>
        <w:t xml:space="preserve">6.1 weeks</w:t>
      </w:r>
      <w:r>
        <w:t xml:space="preserve"> </w:t>
      </w:r>
      <w:r>
        <w:t xml:space="preserve">average wait for a university counsellor — appetite for prevention.</w:t>
      </w:r>
    </w:p>
    <w:p>
      <w:pPr>
        <w:pStyle w:val="Compact"/>
        <w:numPr>
          <w:ilvl w:val="0"/>
          <w:numId w:val="1051"/>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14"/>
    <w:bookmarkEnd w:id="215"/>
    <w:bookmarkStart w:id="219" w:name="page-6-go-to-market"/>
    <w:p>
      <w:pPr>
        <w:pStyle w:val="Heading2"/>
      </w:pPr>
      <w:r>
        <w:t xml:space="preserve">Page 6 — Go-to-market</w:t>
      </w:r>
    </w:p>
    <w:bookmarkStart w:id="216"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16"/>
    <w:bookmarkStart w:id="217" w:name="X1901e0f50e2152fe8a92858ad7726ca13bcd567"/>
    <w:p>
      <w:pPr>
        <w:pStyle w:val="Heading3"/>
      </w:pPr>
      <w:r>
        <w:t xml:space="preserve">B2B pilot conversations (early-stage, nothing signed)</w:t>
      </w:r>
    </w:p>
    <w:p>
      <w:pPr>
        <w:pStyle w:val="Compact"/>
        <w:numPr>
          <w:ilvl w:val="0"/>
          <w:numId w:val="1052"/>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2"/>
        </w:numPr>
      </w:pPr>
      <w:r>
        <w:rPr>
          <w:b/>
          <w:bCs/>
        </w:rPr>
        <w:t xml:space="preserve">Two further peer institutions</w:t>
      </w:r>
      <w:r>
        <w:t xml:space="preserve"> </w:t>
      </w:r>
      <w:r>
        <w:t xml:space="preserve">— early-stage pilot scoping (anonymised for now); equally unconfirmed.</w:t>
      </w:r>
    </w:p>
    <w:p>
      <w:pPr>
        <w:pStyle w:val="Compact"/>
        <w:numPr>
          <w:ilvl w:val="0"/>
          <w:numId w:val="1052"/>
        </w:numPr>
      </w:pPr>
      <w:r>
        <w:rPr>
          <w:b/>
          <w:bCs/>
        </w:rPr>
        <w:t xml:space="preserve">Beta cohort active</w:t>
      </w:r>
      <w:r>
        <w:t xml:space="preserve"> </w:t>
      </w:r>
      <w:r>
        <w:t xml:space="preserve">— the existing 80-person University of Bedfordshire beta cohort uses DEQUAD, independent of any formal pilot or contract.</w:t>
      </w:r>
    </w:p>
    <w:bookmarkEnd w:id="217"/>
    <w:bookmarkStart w:id="218"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18"/>
    <w:bookmarkEnd w:id="219"/>
    <w:bookmarkStart w:id="224" w:name="page-7-founders"/>
    <w:p>
      <w:pPr>
        <w:pStyle w:val="Heading2"/>
      </w:pPr>
      <w:r>
        <w:t xml:space="preserve">Page 7 — Founders</w:t>
      </w:r>
    </w:p>
    <w:bookmarkStart w:id="220" w:name="X13b57b5dce5999842938ec26fe799383bdda8d8"/>
    <w:p>
      <w:pPr>
        <w:pStyle w:val="Heading3"/>
      </w:pPr>
      <w:r>
        <w:t xml:space="preserve">Yusuf Quadri — CEO / Product &amp; Safeguarding Lead</w:t>
      </w:r>
    </w:p>
    <w:p>
      <w:pPr>
        <w:pStyle w:val="Compact"/>
        <w:numPr>
          <w:ilvl w:val="0"/>
          <w:numId w:val="1053"/>
        </w:numPr>
      </w:pPr>
      <w:r>
        <w:t xml:space="preserve">UK-resident, full-time on DEQUAD.</w:t>
      </w:r>
    </w:p>
    <w:p>
      <w:pPr>
        <w:pStyle w:val="Compact"/>
        <w:numPr>
          <w:ilvl w:val="0"/>
          <w:numId w:val="1053"/>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anchor pilot relationship with the same university.</w:t>
      </w:r>
    </w:p>
    <w:p>
      <w:pPr>
        <w:pStyle w:val="Compact"/>
        <w:numPr>
          <w:ilvl w:val="0"/>
          <w:numId w:val="1053"/>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3"/>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3"/>
        </w:numPr>
      </w:pPr>
      <w:r>
        <w:t xml:space="preserve">Built and shipped the entire MVP at dequad.co.uk.</w:t>
      </w:r>
    </w:p>
    <w:p>
      <w:pPr>
        <w:pStyle w:val="Compact"/>
        <w:numPr>
          <w:ilvl w:val="0"/>
          <w:numId w:val="1053"/>
        </w:numPr>
      </w:pPr>
      <w:r>
        <w:t xml:space="preserve">Owns the safeguarding policy (Appendix E — DPIA, Appendix I — OSA-2023 compliance).</w:t>
      </w:r>
    </w:p>
    <w:p>
      <w:pPr>
        <w:pStyle w:val="Compact"/>
        <w:numPr>
          <w:ilvl w:val="0"/>
          <w:numId w:val="1053"/>
        </w:numPr>
      </w:pPr>
      <w:r>
        <w:t xml:space="preserve">Owns university partnerships and the NatWest Accelerator relationship.</w:t>
      </w:r>
    </w:p>
    <w:p>
      <w:pPr>
        <w:pStyle w:val="Compact"/>
        <w:numPr>
          <w:ilvl w:val="0"/>
          <w:numId w:val="1053"/>
        </w:numPr>
      </w:pPr>
      <w:r>
        <w:t xml:space="preserve">Co-founder cash contribution:</w:t>
      </w:r>
      <w:r>
        <w:t xml:space="preserve"> </w:t>
      </w:r>
      <w:r>
        <w:rPr>
          <w:b/>
          <w:bCs/>
        </w:rPr>
        <w:t xml:space="preserve">£3,000</w:t>
      </w:r>
      <w:r>
        <w:t xml:space="preserve"> </w:t>
      </w:r>
      <w:r>
        <w:t xml:space="preserve">of the £6,000 founder capital.</w:t>
      </w:r>
    </w:p>
    <w:bookmarkEnd w:id="220"/>
    <w:bookmarkStart w:id="221" w:name="X92805c7f5acbb7d3e614a242904e8db407630c7"/>
    <w:p>
      <w:pPr>
        <w:pStyle w:val="Heading3"/>
      </w:pPr>
      <w:r>
        <w:t xml:space="preserve">Yusuff Adeagbo — Co-Founder / CTO / Engineering &amp; IT Lead</w:t>
      </w:r>
    </w:p>
    <w:p>
      <w:pPr>
        <w:pStyle w:val="Compact"/>
        <w:numPr>
          <w:ilvl w:val="0"/>
          <w:numId w:val="1054"/>
        </w:numPr>
      </w:pPr>
      <w:r>
        <w:t xml:space="preserve">UK-resident, full-time on DEQUAD.</w:t>
      </w:r>
    </w:p>
    <w:p>
      <w:pPr>
        <w:pStyle w:val="Compact"/>
        <w:numPr>
          <w:ilvl w:val="0"/>
          <w:numId w:val="1054"/>
        </w:numPr>
      </w:pPr>
      <w:r>
        <w:rPr>
          <w:b/>
          <w:bCs/>
        </w:rPr>
        <w:t xml:space="preserve">MSc Information Technology with Project Management — University of the West of Scotland</w:t>
      </w:r>
      <w:r>
        <w:t xml:space="preserve">.</w:t>
      </w:r>
    </w:p>
    <w:p>
      <w:pPr>
        <w:pStyle w:val="Compact"/>
        <w:numPr>
          <w:ilvl w:val="0"/>
          <w:numId w:val="1054"/>
        </w:numPr>
      </w:pPr>
      <w:r>
        <w:rPr>
          <w:b/>
          <w:bCs/>
        </w:rPr>
        <w:t xml:space="preserve">Higher National Diploma in Computer Science</w:t>
      </w:r>
      <w:r>
        <w:t xml:space="preserve"> </w:t>
      </w:r>
      <w:r>
        <w:t xml:space="preserve">(prior).</w:t>
      </w:r>
    </w:p>
    <w:p>
      <w:pPr>
        <w:pStyle w:val="Compact"/>
        <w:numPr>
          <w:ilvl w:val="0"/>
          <w:numId w:val="1054"/>
        </w:numPr>
      </w:pPr>
      <w:r>
        <w:t xml:space="preserve">Multi-disciplinary skill set: full-stack engineering, IT support, UI/UX design, graphic design, digital marketing (e-commerce), IT business analysis.</w:t>
      </w:r>
    </w:p>
    <w:p>
      <w:pPr>
        <w:pStyle w:val="Compact"/>
        <w:numPr>
          <w:ilvl w:val="0"/>
          <w:numId w:val="1054"/>
        </w:numPr>
      </w:pPr>
      <w:r>
        <w:t xml:space="preserve">Will own the engineering hiring pipeline, infrastructure security, and the R&amp;D claim leadership.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4"/>
        </w:numPr>
      </w:pPr>
      <w:r>
        <w:t xml:space="preserve">Full CV at Appendix B-2 (</w:t>
      </w:r>
      <w:r>
        <w:rPr>
          <w:rStyle w:val="VerbatimChar"/>
        </w:rPr>
        <w:t xml:space="preserve">B_cofounder_cv.pdf</w:t>
      </w:r>
      <w:r>
        <w:t xml:space="preserve">).</w:t>
      </w:r>
    </w:p>
    <w:bookmarkEnd w:id="221"/>
    <w:bookmarkStart w:id="222" w:name="Xf62fb5c5d49ef0ced518868c8879558af755f79"/>
    <w:p>
      <w:pPr>
        <w:pStyle w:val="Heading3"/>
      </w:pPr>
      <w:r>
        <w:t xml:space="preserve">Wider founding team — joining at incorporation (EMI options, unpaid)</w:t>
      </w:r>
    </w:p>
    <w:p>
      <w:pPr>
        <w:pStyle w:val="Compact"/>
        <w:numPr>
          <w:ilvl w:val="0"/>
          <w:numId w:val="1055"/>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5"/>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5"/>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2"/>
    <w:bookmarkStart w:id="223" w:name="founder-compensation-under-this-plan"/>
    <w:p>
      <w:pPr>
        <w:pStyle w:val="Heading3"/>
      </w:pPr>
      <w:r>
        <w:t xml:space="preserve">Founder compensation under this plan</w:t>
      </w:r>
    </w:p>
    <w:p>
      <w:pPr>
        <w:pStyle w:val="Compact"/>
        <w:numPr>
          <w:ilvl w:val="0"/>
          <w:numId w:val="1056"/>
        </w:numPr>
      </w:pPr>
      <w:r>
        <w:t xml:space="preserve">£0 in Y1 and Y2 — both founders fund living costs from existing employment/freelance income.</w:t>
      </w:r>
    </w:p>
    <w:p>
      <w:pPr>
        <w:pStyle w:val="Compact"/>
        <w:numPr>
          <w:ilvl w:val="0"/>
          <w:numId w:val="1056"/>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6"/>
        </w:numPr>
      </w:pPr>
      <w:r>
        <w:t xml:space="preserve">Materially below market throughout — signals genuine founder commitment.</w:t>
      </w:r>
    </w:p>
    <w:p>
      <w:r>
        <w:pict>
          <v:rect style="width:0;height:1.5pt" o:hralign="center" o:hrstd="t" o:hr="t"/>
        </w:pict>
      </w:r>
    </w:p>
    <w:bookmarkEnd w:id="223"/>
    <w:bookmarkEnd w:id="224"/>
    <w:bookmarkStart w:id="225"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25"/>
    <w:bookmarkStart w:id="227" w:name="X0b1494f07e6ab934c51c63a3e928f5f39d8fe6b"/>
    <w:p>
      <w:pPr>
        <w:pStyle w:val="Heading2"/>
      </w:pPr>
      <w:r>
        <w:t xml:space="preserve">Page 9 — Year-1 cash flow (the critical view)</w:t>
      </w:r>
    </w:p>
    <w:bookmarkStart w:id="226"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(£930)</w:t>
            </w:r>
          </w:p>
        </w:tc>
        <w:tc>
          <w:tcPr/>
          <w:p>
            <w:pPr>
              <w:pStyle w:val="Compact"/>
              <w:jc w:val="right"/>
            </w:pPr>
            <w:r>
              <w:rPr>
                <w:b/>
                <w:bCs/>
              </w:rPr>
              <w:t xml:space="preserve">£5,070</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£4,770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£4,470</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£4,120</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£3,770</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£3,420</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(£350)</w:t>
            </w:r>
          </w:p>
        </w:tc>
        <w:tc>
          <w:tcPr/>
          <w:p>
            <w:pPr>
              <w:pStyle w:val="Compact"/>
              <w:jc w:val="right"/>
            </w:pPr>
            <w:r>
              <w:rPr>
                <w:b/>
                <w:bCs/>
              </w:rPr>
              <w:t xml:space="preserve">£3,120</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(£350)</w:t>
            </w:r>
          </w:p>
        </w:tc>
        <w:tc>
          <w:tcPr/>
          <w:p>
            <w:pPr>
              <w:pStyle w:val="Compact"/>
              <w:jc w:val="right"/>
            </w:pPr>
            <w:r>
              <w:rPr>
                <w:b/>
                <w:bCs/>
              </w:rPr>
              <w:t xml:space="preserve">£2,840</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(£350)</w:t>
            </w:r>
          </w:p>
        </w:tc>
        <w:tc>
          <w:tcPr/>
          <w:p>
            <w:pPr>
              <w:pStyle w:val="Compact"/>
              <w:jc w:val="right"/>
            </w:pPr>
            <w:r>
              <w:rPr>
                <w:b/>
                <w:bCs/>
              </w:rPr>
              <w:t xml:space="preserve">£2,580</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(£350)</w:t>
            </w:r>
          </w:p>
        </w:tc>
        <w:tc>
          <w:tcPr/>
          <w:p>
            <w:pPr>
              <w:pStyle w:val="Compact"/>
              <w:jc w:val="right"/>
            </w:pPr>
            <w:r>
              <w:rPr>
                <w:b/>
                <w:bCs/>
              </w:rPr>
              <w:t xml:space="preserve">£2,340</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(£350)</w:t>
            </w:r>
          </w:p>
        </w:tc>
        <w:tc>
          <w:tcPr/>
          <w:p>
            <w:pPr>
              <w:pStyle w:val="Compact"/>
              <w:jc w:val="right"/>
            </w:pPr>
            <w:r>
              <w:rPr>
                <w:b/>
                <w:bCs/>
              </w:rPr>
              <w:t xml:space="preserve">£2,120</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(£350)</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 </w:t>
      </w:r>
      <w:r>
        <w:t xml:space="preserve">(to be regenerated to match this version).</w:t>
      </w:r>
    </w:p>
    <w:p>
      <w:r>
        <w:pict>
          <v:rect style="width:0;height:1.5pt" o:hralign="center" o:hrstd="t" o:hr="t"/>
        </w:pict>
      </w:r>
    </w:p>
    <w:bookmarkEnd w:id="226"/>
    <w:bookmarkEnd w:id="227"/>
    <w:bookmarkStart w:id="228"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28"/>
    <w:bookmarkStart w:id="231" w:name="page-11-job-creation-and-economic-impact"/>
    <w:p>
      <w:pPr>
        <w:pStyle w:val="Heading2"/>
      </w:pPr>
      <w:r>
        <w:t xml:space="preserve">Page 11 — Job creation and economic impact</w:t>
      </w:r>
    </w:p>
    <w:bookmarkStart w:id="229"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All self-funded from revenue — no headcount in this table depends on any external funding round, none of which is assumed. Further roles (engineering, customer success, sales, marketing) are a longer-term ambition beyond Year 3, not part of this plan.</w:t>
      </w:r>
    </w:p>
    <w:bookmarkEnd w:id="229"/>
    <w:bookmarkStart w:id="230" w:name="beyond-direct-jobs"/>
    <w:p>
      <w:pPr>
        <w:pStyle w:val="Heading3"/>
      </w:pPr>
      <w:r>
        <w:t xml:space="preserve">Beyond direct jobs</w:t>
      </w:r>
    </w:p>
    <w:p>
      <w:pPr>
        <w:pStyle w:val="Compact"/>
        <w:numPr>
          <w:ilvl w:val="0"/>
          <w:numId w:val="1057"/>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7"/>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0"/>
    <w:bookmarkEnd w:id="231"/>
    <w:bookmarkStart w:id="232"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8"/>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8"/>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8"/>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2"/>
    <w:bookmarkStart w:id="234"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3"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3"/>
    <w:bookmarkEnd w:id="234"/>
    <w:bookmarkStart w:id="235"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single Y3 hire and modest founder pay are delayed, not that the business fails.</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first 6 hires all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35"/>
    <w:bookmarkStart w:id="239"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36" w:name="X14e92bc1be00b15e67e50efb5245efe3fd85b19"/>
    <w:p>
      <w:pPr>
        <w:pStyle w:val="Heading3"/>
      </w:pPr>
      <w:r>
        <w:t xml:space="preserve">Three things this submission demonstrates</w:t>
      </w:r>
    </w:p>
    <w:p>
      <w:pPr>
        <w:pStyle w:val="Compact"/>
        <w:numPr>
          <w:ilvl w:val="0"/>
          <w:numId w:val="1059"/>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59"/>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59"/>
        </w:numPr>
      </w:pPr>
      <w:r>
        <w:rPr>
          <w:b/>
          <w:bCs/>
        </w:rPr>
        <w:t xml:space="preserve">Credible, honestly-scoped UK growth</w:t>
      </w:r>
      <w:r>
        <w:t xml:space="preserve"> </w:t>
      </w:r>
      <w:r>
        <w:t xml:space="preserve">— 2 unpaid founders (Y1–Y2) growing to 3 people / c.2.5 FTE by Y3, all self-funded from revenue; 0 to c.1.5 average paying universities by Y3, modelled as a target, not a guarantee. This is deliberately smaller than a funding-dependent plan would show — and deliberately more credible for it.</w:t>
      </w:r>
    </w:p>
    <w:bookmarkEnd w:id="236"/>
    <w:bookmarkStart w:id="237" w:name="what-endorsement-enables"/>
    <w:p>
      <w:pPr>
        <w:pStyle w:val="Heading3"/>
      </w:pPr>
      <w:r>
        <w:t xml:space="preserve">What endorsement enables</w:t>
      </w:r>
    </w:p>
    <w:p>
      <w:pPr>
        <w:pStyle w:val="Compact"/>
        <w:numPr>
          <w:ilvl w:val="0"/>
          <w:numId w:val="1060"/>
        </w:numPr>
      </w:pPr>
      <w:r>
        <w:t xml:space="preserve">The lead applicant retains UK residency to continue building DEQUAD full-time.</w:t>
      </w:r>
    </w:p>
    <w:p>
      <w:pPr>
        <w:pStyle w:val="Compact"/>
        <w:numPr>
          <w:ilvl w:val="0"/>
          <w:numId w:val="1060"/>
        </w:numPr>
      </w:pPr>
      <w:r>
        <w:t xml:space="preserve">The co-founder (UK-resident already) joins formally as CTO at incorporation.</w:t>
      </w:r>
    </w:p>
    <w:p>
      <w:pPr>
        <w:pStyle w:val="Compact"/>
        <w:numPr>
          <w:ilvl w:val="0"/>
          <w:numId w:val="1060"/>
        </w:numPr>
      </w:pPr>
      <w:r>
        <w:t xml:space="preserve">The company operates and grows on its own means from day one — no external capital is required to make the 3-year plan happen.</w:t>
      </w:r>
    </w:p>
    <w:p>
      <w:pPr>
        <w:pStyle w:val="Compact"/>
        <w:numPr>
          <w:ilvl w:val="0"/>
          <w:numId w:val="1060"/>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37"/>
    <w:bookmarkStart w:id="238"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June 2026.</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38"/>
    <w:bookmarkEnd w:id="239"/>
    <w:bookmarkEnd w:id="240"/>
    <w:bookmarkStart w:id="253" w:name="appendix-n-wider-founding-team-cvs"/>
    <w:p>
      <w:pPr>
        <w:pStyle w:val="Heading1"/>
      </w:pPr>
      <w:r>
        <w:t xml:space="preserve">Appendix N — Wider Founding Team CVs</w:t>
      </w:r>
    </w:p>
    <w:bookmarkStart w:id="241"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1"/>
    <w:bookmarkStart w:id="245"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2"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2"/>
    <w:bookmarkStart w:id="243" w:name="why-this-matters-for-dequad"/>
    <w:p>
      <w:pPr>
        <w:pStyle w:val="Heading3"/>
      </w:pPr>
      <w:r>
        <w:t xml:space="preserve">Why this matters for DEQUAD</w:t>
      </w:r>
    </w:p>
    <w:p>
      <w:pPr>
        <w:pStyle w:val="Compact"/>
        <w:numPr>
          <w:ilvl w:val="0"/>
          <w:numId w:val="1061"/>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1"/>
        </w:numPr>
      </w:pPr>
      <w:r>
        <w:t xml:space="preserve">Universities now require evidenced wellbeing strategies (UUK Mental Health Charter); Gerald’s academic background lends additional credibility in the sales conversation.</w:t>
      </w:r>
    </w:p>
    <w:p>
      <w:pPr>
        <w:pStyle w:val="Compact"/>
        <w:numPr>
          <w:ilvl w:val="0"/>
          <w:numId w:val="1061"/>
        </w:numPr>
      </w:pPr>
      <w:r>
        <w:t xml:space="preserve">He owns the Y1 marketing-spend allocation across the channels in Section 16 of the business plan.</w:t>
      </w:r>
    </w:p>
    <w:bookmarkEnd w:id="243"/>
    <w:bookmarkStart w:id="244" w:name="responsibilities"/>
    <w:p>
      <w:pPr>
        <w:pStyle w:val="Heading3"/>
      </w:pPr>
      <w:r>
        <w:t xml:space="preserve">Responsibilities</w:t>
      </w:r>
    </w:p>
    <w:p>
      <w:pPr>
        <w:pStyle w:val="Compact"/>
        <w:numPr>
          <w:ilvl w:val="0"/>
          <w:numId w:val="1062"/>
        </w:numPr>
      </w:pPr>
      <w:r>
        <w:t xml:space="preserve">Brand strategy, positioning and messaging architecture</w:t>
      </w:r>
    </w:p>
    <w:p>
      <w:pPr>
        <w:pStyle w:val="Compact"/>
        <w:numPr>
          <w:ilvl w:val="0"/>
          <w:numId w:val="1062"/>
        </w:numPr>
      </w:pPr>
      <w:r>
        <w:t xml:space="preserve">UK university partnership marketing (PR, events, UUK channel)</w:t>
      </w:r>
    </w:p>
    <w:p>
      <w:pPr>
        <w:pStyle w:val="Compact"/>
        <w:numPr>
          <w:ilvl w:val="0"/>
          <w:numId w:val="1062"/>
        </w:numPr>
      </w:pPr>
      <w:r>
        <w:t xml:space="preserve">Performance marketing strategy across Instagram, TikTok, Google Search, LinkedIn</w:t>
      </w:r>
    </w:p>
    <w:p>
      <w:pPr>
        <w:pStyle w:val="Compact"/>
        <w:numPr>
          <w:ilvl w:val="0"/>
          <w:numId w:val="1062"/>
        </w:numPr>
      </w:pPr>
      <w:r>
        <w:t xml:space="preserve">Marketing measurement and dashboarding; CAC discipline</w:t>
      </w:r>
    </w:p>
    <w:p>
      <w:pPr>
        <w:pStyle w:val="Compact"/>
        <w:numPr>
          <w:ilvl w:val="0"/>
          <w:numId w:val="1062"/>
        </w:numPr>
      </w:pPr>
      <w:r>
        <w:t xml:space="preserve">Mentoring the first marketing hire (Q3 Y2)</w:t>
      </w:r>
    </w:p>
    <w:p>
      <w:r>
        <w:pict>
          <v:rect style="width:0;height:1.5pt" o:hralign="center" o:hrstd="t" o:hr="t"/>
        </w:pict>
      </w:r>
    </w:p>
    <w:bookmarkEnd w:id="244"/>
    <w:bookmarkEnd w:id="245"/>
    <w:bookmarkStart w:id="248"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46"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46"/>
    <w:bookmarkStart w:id="247" w:name="responsibilities-1"/>
    <w:p>
      <w:pPr>
        <w:pStyle w:val="Heading3"/>
      </w:pPr>
      <w:r>
        <w:t xml:space="preserve">Responsibilities</w:t>
      </w:r>
    </w:p>
    <w:p>
      <w:pPr>
        <w:pStyle w:val="Compact"/>
        <w:numPr>
          <w:ilvl w:val="0"/>
          <w:numId w:val="1063"/>
        </w:numPr>
      </w:pPr>
      <w:r>
        <w:t xml:space="preserve">Production reliability and performance of the DEQUAD platform</w:t>
      </w:r>
    </w:p>
    <w:p>
      <w:pPr>
        <w:pStyle w:val="Compact"/>
        <w:numPr>
          <w:ilvl w:val="0"/>
          <w:numId w:val="1063"/>
        </w:numPr>
      </w:pPr>
      <w:r>
        <w:t xml:space="preserve">Feature delivery in collaboration with the CTO — peer matching, mood tracker, safeguarding webhook, admin tooling</w:t>
      </w:r>
    </w:p>
    <w:p>
      <w:pPr>
        <w:pStyle w:val="Compact"/>
        <w:numPr>
          <w:ilvl w:val="0"/>
          <w:numId w:val="1063"/>
        </w:numPr>
      </w:pPr>
      <w:r>
        <w:t xml:space="preserve">Code review and engineering standards across the team</w:t>
      </w:r>
    </w:p>
    <w:p>
      <w:pPr>
        <w:pStyle w:val="Compact"/>
        <w:numPr>
          <w:ilvl w:val="0"/>
          <w:numId w:val="1063"/>
        </w:numPr>
      </w:pPr>
      <w:r>
        <w:t xml:space="preserve">Mentoring the Y3 part-time hire (Section 18.3) once revenue supports it</w:t>
      </w:r>
    </w:p>
    <w:p>
      <w:r>
        <w:pict>
          <v:rect style="width:0;height:1.5pt" o:hralign="center" o:hrstd="t" o:hr="t"/>
        </w:pict>
      </w:r>
    </w:p>
    <w:bookmarkEnd w:id="247"/>
    <w:bookmarkEnd w:id="248"/>
    <w:bookmarkStart w:id="251"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49"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49"/>
    <w:bookmarkStart w:id="250" w:name="responsibilities-to-dequad"/>
    <w:p>
      <w:pPr>
        <w:pStyle w:val="Heading3"/>
      </w:pPr>
      <w:r>
        <w:t xml:space="preserve">Responsibilities to DEQUAD</w:t>
      </w:r>
    </w:p>
    <w:p>
      <w:pPr>
        <w:pStyle w:val="Compact"/>
        <w:numPr>
          <w:ilvl w:val="0"/>
          <w:numId w:val="1064"/>
        </w:numPr>
      </w:pPr>
      <w:r>
        <w:t xml:space="preserve">Programme governance for university pilot rollouts</w:t>
      </w:r>
    </w:p>
    <w:p>
      <w:pPr>
        <w:pStyle w:val="Compact"/>
        <w:numPr>
          <w:ilvl w:val="0"/>
          <w:numId w:val="1064"/>
        </w:numPr>
      </w:pPr>
      <w:r>
        <w:t xml:space="preserve">Quarterly risk-register review challenge (see Risk Register, Governance section)</w:t>
      </w:r>
    </w:p>
    <w:p>
      <w:pPr>
        <w:pStyle w:val="Compact"/>
        <w:numPr>
          <w:ilvl w:val="0"/>
          <w:numId w:val="1064"/>
        </w:numPr>
      </w:pPr>
      <w:r>
        <w:t xml:space="preserve">LLM safety and evaluation input to the safeguarding triage model</w:t>
      </w:r>
    </w:p>
    <w:p>
      <w:pPr>
        <w:pStyle w:val="Compact"/>
        <w:numPr>
          <w:ilvl w:val="0"/>
          <w:numId w:val="1064"/>
        </w:numPr>
      </w:pPr>
      <w:r>
        <w:t xml:space="preserve">Introduction to MIGSO-PCUBED’s enterprise network for B2B pilot acceleration</w:t>
      </w:r>
    </w:p>
    <w:p>
      <w:r>
        <w:pict>
          <v:rect style="width:0;height:1.5pt" o:hralign="center" o:hrstd="t" o:hr="t"/>
        </w:pict>
      </w:r>
    </w:p>
    <w:bookmarkEnd w:id="250"/>
    <w:bookmarkEnd w:id="251"/>
    <w:bookmarkStart w:id="252"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June 2026.</w:t>
      </w:r>
    </w:p>
    <w:p>
      <w:r>
        <w:pict>
          <v:rect style="width:0;height:1.5pt" o:hralign="center" o:hrstd="t" o:hr="t"/>
        </w:pict>
      </w:r>
    </w:p>
    <w:bookmarkEnd w:id="252"/>
    <w:bookmarkEnd w:id="253"/>
    <w:bookmarkStart w:id="259" w:name="appendix-o-yusuf-quadri"/>
    <w:p>
      <w:pPr>
        <w:pStyle w:val="Heading1"/>
      </w:pPr>
      <w:r>
        <w:t xml:space="preserve">Appendix O — Yusuf Quadri</w:t>
      </w:r>
    </w:p>
    <w:bookmarkStart w:id="254"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54"/>
    <w:bookmarkStart w:id="255"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5"/>
        </w:numPr>
      </w:pPr>
      <w:r>
        <w:t xml:space="preserve">identity data (</w:t>
      </w:r>
      <w:r>
        <w:rPr>
          <w:rStyle w:val="VerbatimChar"/>
        </w:rPr>
        <w:t xml:space="preserve">.ac.uk</w:t>
      </w:r>
      <w:r>
        <w:t xml:space="preserve"> </w:t>
      </w:r>
      <w:r>
        <w:t xml:space="preserve">email verification),</w:t>
      </w:r>
    </w:p>
    <w:p>
      <w:pPr>
        <w:pStyle w:val="Compact"/>
        <w:numPr>
          <w:ilvl w:val="0"/>
          <w:numId w:val="1065"/>
        </w:numPr>
      </w:pPr>
      <w:r>
        <w:t xml:space="preserve">mood telemetry (sensitive personal data under the UK GDPR / Data Protection Act 2018),</w:t>
      </w:r>
    </w:p>
    <w:p>
      <w:pPr>
        <w:pStyle w:val="Compact"/>
        <w:numPr>
          <w:ilvl w:val="0"/>
          <w:numId w:val="1065"/>
        </w:numPr>
      </w:pPr>
      <w:r>
        <w:t xml:space="preserve">chat metadata (Online Safety Act 2023 in-scope),</w:t>
      </w:r>
    </w:p>
    <w:p>
      <w:pPr>
        <w:pStyle w:val="Compact"/>
        <w:numPr>
          <w:ilvl w:val="0"/>
          <w:numId w:val="1065"/>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55"/>
    <w:bookmarkStart w:id="256"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56"/>
    <w:bookmarkStart w:id="257"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57"/>
    <w:bookmarkStart w:id="258"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6"/>
        </w:numPr>
      </w:pPr>
      <w:r>
        <w:t xml:space="preserve">Refreshing the Suicide Prevention certification annually (next refresh: 2027).</w:t>
      </w:r>
    </w:p>
    <w:p>
      <w:pPr>
        <w:pStyle w:val="Compact"/>
        <w:numPr>
          <w:ilvl w:val="0"/>
          <w:numId w:val="1066"/>
        </w:numPr>
      </w:pPr>
      <w:r>
        <w:t xml:space="preserve">Refreshing the Adult Safeguarding certification every two years.</w:t>
      </w:r>
    </w:p>
    <w:p>
      <w:pPr>
        <w:pStyle w:val="Compact"/>
        <w:numPr>
          <w:ilvl w:val="0"/>
          <w:numId w:val="1066"/>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6"/>
        </w:numPr>
      </w:pPr>
      <w:r>
        <w:t xml:space="preserve">Participating in the Universities UK Mental Health Charter community of practice from Y1 Q3.</w:t>
      </w:r>
    </w:p>
    <w:p>
      <w:pPr>
        <w:pStyle w:val="Compact"/>
        <w:numPr>
          <w:ilvl w:val="0"/>
          <w:numId w:val="1066"/>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June 2026.</w:t>
      </w:r>
    </w:p>
    <w:bookmarkEnd w:id="258"/>
    <w:bookmarkEnd w:id="2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DEQUAD_UKES_Full_Submission</dc:title>
  <dc:creator/>
  <cp:keywords/>
  <dcterms:created xsi:type="dcterms:W3CDTF">2026-08-18T23:12:45Z</dcterms:created>
  <dcterms:modified xsi:type="dcterms:W3CDTF">2026-08-18T23:12:45Z</dcterms:modified>
</cp:coreProperties>
</file>

<file path=docProps/custom.xml><?xml version="1.0" encoding="utf-8"?>
<Properties xmlns="http://schemas.openxmlformats.org/officeDocument/2006/custom-properties" xmlns:vt="http://schemas.openxmlformats.org/officeDocument/2006/docPropsVTypes"/>
</file>