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with Adedapo Ajuwon (Senior Software Engineer, equity-only wider-team member) providing additional engineering capacity; further paid engineering hires are a longer-term ambition beyond this 3-year plan, not a commitment (Appendix G).</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Total OPEX</w:t>
            </w:r>
          </w:p>
        </w:tc>
        <w:tc>
          <w:tcPr/>
          <w:p>
            <w:pPr>
              <w:pStyle w:val="Compact"/>
              <w:jc w:val="right"/>
            </w:pPr>
            <w:r>
              <w:rPr>
                <w:b/>
                <w:bCs/>
              </w:rPr>
              <w:t xml:space="preserve">£2,830</w:t>
            </w:r>
          </w:p>
        </w:tc>
        <w:tc>
          <w:tcPr/>
          <w:p>
            <w:pPr>
              <w:pStyle w:val="Compact"/>
              <w:jc w:val="right"/>
            </w:pPr>
            <w:r>
              <w:rPr>
                <w:b/>
                <w:bCs/>
              </w:rPr>
              <w:t xml:space="preserve">£6,400</w:t>
            </w:r>
          </w:p>
        </w:tc>
        <w:tc>
          <w:tcPr/>
          <w:p>
            <w:pPr>
              <w:pStyle w:val="Compact"/>
              <w:jc w:val="right"/>
            </w:pPr>
            <w:r>
              <w:rPr>
                <w:b/>
                <w:bCs/>
              </w:rPr>
              <w:t xml:space="preserve">£32,700</w:t>
            </w:r>
          </w:p>
        </w:tc>
      </w:tr>
      <w:tr>
        <w:tc>
          <w:tcPr/>
          <w:p>
            <w:pPr>
              <w:pStyle w:val="Compact"/>
            </w:pPr>
            <w:r>
              <w:rPr>
                <w:b/>
                <w:bCs/>
              </w:rPr>
              <w:t xml:space="preserve">Operating result</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rPr>
          <w:i/>
          <w:iCs/>
        </w:rPr>
        <w:t xml:space="preserve">Fixed assets capex (£600 / £600 / £1,200) is a balance-sheet item, capitalised and depreciated over its useful life rather than expensed in full — it appears as a cash outflow in the Cash Flow Forecast (§F.4) but not in Total OPEX above, which instead includes the depreciation charge.</w:t>
      </w:r>
    </w:p>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This exceeds the £4,500 NatWest in-kind legal allocation (Business Plan §10.3) and is not separately budgeted in the Y1 cash P&amp;L (Appendix F, where Y1 legal &amp; accountancy is £300, out-of-programme only). The founders will either scope a narrower opinion within the NatWest in-kind panel’s capacity, or fund the shortfall from founder cash reserves or defer to Y2 once revenue supports it — this is not yet a fully funded commitment.</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87%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(£1,035)</w:t>
            </w:r>
          </w:p>
        </w:tc>
        <w:tc>
          <w:tcPr/>
          <w:p>
            <w:pPr>
              <w:pStyle w:val="Compact"/>
              <w:jc w:val="right"/>
            </w:pPr>
            <w:r>
              <w:rPr>
                <w:b/>
                <w:bCs/>
              </w:rPr>
              <w:t xml:space="preserve">£4,965</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(£135)</w:t>
            </w:r>
          </w:p>
        </w:tc>
        <w:tc>
          <w:tcPr/>
          <w:p>
            <w:pPr>
              <w:pStyle w:val="Compact"/>
              <w:jc w:val="right"/>
            </w:pPr>
            <w:r>
              <w:rPr>
                <w:b/>
                <w:bCs/>
              </w:rPr>
              <w:t xml:space="preserve">£4,830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(£243)</w:t>
            </w:r>
          </w:p>
        </w:tc>
        <w:tc>
          <w:tcPr/>
          <w:p>
            <w:pPr>
              <w:pStyle w:val="Compact"/>
              <w:jc w:val="right"/>
            </w:pPr>
            <w:r>
              <w:rPr>
                <w:b/>
                <w:bCs/>
              </w:rPr>
              <w:t xml:space="preserve">£4,587</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(£283)</w:t>
            </w:r>
          </w:p>
        </w:tc>
        <w:tc>
          <w:tcPr/>
          <w:p>
            <w:pPr>
              <w:pStyle w:val="Compact"/>
              <w:jc w:val="right"/>
            </w:pPr>
            <w:r>
              <w:rPr>
                <w:b/>
                <w:bCs/>
              </w:rPr>
              <w:t xml:space="preserve">£4,304</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(£293)</w:t>
            </w:r>
          </w:p>
        </w:tc>
        <w:tc>
          <w:tcPr/>
          <w:p>
            <w:pPr>
              <w:pStyle w:val="Compact"/>
              <w:jc w:val="right"/>
            </w:pPr>
            <w:r>
              <w:rPr>
                <w:b/>
                <w:bCs/>
              </w:rPr>
              <w:t xml:space="preserve">£4,011</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(£303)</w:t>
            </w:r>
          </w:p>
        </w:tc>
        <w:tc>
          <w:tcPr/>
          <w:p>
            <w:pPr>
              <w:pStyle w:val="Compact"/>
              <w:jc w:val="right"/>
            </w:pPr>
            <w:r>
              <w:rPr>
                <w:b/>
                <w:bCs/>
              </w:rPr>
              <w:t xml:space="preserve">£3,708</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(£323)</w:t>
            </w:r>
          </w:p>
        </w:tc>
        <w:tc>
          <w:tcPr/>
          <w:p>
            <w:pPr>
              <w:pStyle w:val="Compact"/>
              <w:jc w:val="right"/>
            </w:pPr>
            <w:r>
              <w:rPr>
                <w:b/>
                <w:bCs/>
              </w:rPr>
              <w:t xml:space="preserve">£3,435</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(£333)</w:t>
            </w:r>
          </w:p>
        </w:tc>
        <w:tc>
          <w:tcPr/>
          <w:p>
            <w:pPr>
              <w:pStyle w:val="Compact"/>
              <w:jc w:val="right"/>
            </w:pPr>
            <w:r>
              <w:rPr>
                <w:b/>
                <w:bCs/>
              </w:rPr>
              <w:t xml:space="preserve">£3,172</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(£343)</w:t>
            </w:r>
          </w:p>
        </w:tc>
        <w:tc>
          <w:tcPr/>
          <w:p>
            <w:pPr>
              <w:pStyle w:val="Compact"/>
              <w:jc w:val="right"/>
            </w:pPr>
            <w:r>
              <w:rPr>
                <w:b/>
                <w:bCs/>
              </w:rPr>
              <w:t xml:space="preserve">£2,919</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(£353)</w:t>
            </w:r>
          </w:p>
        </w:tc>
        <w:tc>
          <w:tcPr/>
          <w:p>
            <w:pPr>
              <w:pStyle w:val="Compact"/>
              <w:jc w:val="right"/>
            </w:pPr>
            <w:r>
              <w:rPr>
                <w:b/>
                <w:bCs/>
              </w:rPr>
              <w:t xml:space="preserve">£2,676</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(£363)</w:t>
            </w:r>
          </w:p>
        </w:tc>
        <w:tc>
          <w:tcPr/>
          <w:p>
            <w:pPr>
              <w:pStyle w:val="Compact"/>
              <w:jc w:val="right"/>
            </w:pPr>
            <w:r>
              <w:rPr>
                <w:b/>
                <w:bCs/>
              </w:rPr>
              <w:t xml:space="preserve">£2,443</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(£673)</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2026-08-19T18:40:05Z</dcterms:created>
  <dcterms:modified xsi:type="dcterms:W3CDTF">2026-08-19T18:40:05Z</dcterms:modified>
</cp:coreProperties>
</file>

<file path=docProps/custom.xml><?xml version="1.0" encoding="utf-8"?>
<Properties xmlns="http://schemas.openxmlformats.org/officeDocument/2006/custom-properties" xmlns:vt="http://schemas.openxmlformats.org/officeDocument/2006/docPropsVTypes"/>
</file>