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DEQUAD_Pitch_Deck</w:t>
      </w:r>
    </w:p>
    <w:p>
      <w:r>
        <w:pict>
          <v:rect style="width:0;height:1.5pt" o:hralign="center" o:hrstd="t" o:hr="t"/>
        </w:pict>
      </w:r>
    </w:p>
    <w:bookmarkStart w:id="10" w:name="dequad"/>
    <w:p>
      <w:pPr>
        <w:pStyle w:val="Heading1"/>
      </w:pPr>
      <w:r>
        <w:t xml:space="preserve">DEQUAD</w:t>
      </w:r>
    </w:p>
    <w:bookmarkStart w:id="9" w:name="X1fd28d3d92530c30b31abfb16b1f117debfc207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Self-funded 3-year plan · UKES Innovator Founder submission · August 2026</w:t>
      </w:r>
    </w:p>
    <w:bookmarkEnd w:id="9"/>
    <w:bookmarkEnd w:id="10"/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/>
          <w:bCs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/>
          <w:iCs/>
        </w:rPr>
        <w:t xml:space="preserve">(ONS, 2023)</w:t>
      </w:r>
      <w:r>
        <w:t xml:space="preserve"> </w:t>
      </w:r>
      <w:r>
        <w:rPr>
          <w:b/>
          <w:bCs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/>
          <w:iCs/>
        </w:rPr>
        <w:t xml:space="preserve">(Student Minds, 2024)</w:t>
      </w:r>
      <w:r>
        <w:t xml:space="preserve"> </w:t>
      </w: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/>
          <w:iCs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/>
          <w:bCs/>
        </w:rPr>
        <w:t xml:space="preserve">No-one is solving this for the 95% of students who never walk into the counselling office.</w:t>
      </w:r>
    </w:p>
    <w:bookmarkEnd w:id="11"/>
    <w:p>
      <w:r>
        <w:pict>
          <v:rect style="width:0;height:1.5pt" o:hralign="center" o:hrstd="t" o:hr="t"/>
        </w:pict>
      </w:r>
    </w:p>
    <w:bookmarkStart w:id="12" w:name="why-now"/>
    <w:p>
      <w:pPr>
        <w:pStyle w:val="Heading2"/>
      </w:pPr>
      <w:r>
        <w:t xml:space="preserve">02 · Why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/>
          <w:bCs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bookmarkEnd w:id="12"/>
    <w:p>
      <w:r>
        <w:pict>
          <v:rect style="width:0;height:1.5pt" o:hralign="center" o:hrstd="t" o:hr="t"/>
        </w:pict>
      </w:r>
    </w:p>
    <w:bookmarkStart w:id="13" w:name="the-product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/>
          <w:bCs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/>
                <w:bCs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bookmarkEnd w:id="13"/>
    <w:p>
      <w:r>
        <w:pict>
          <v:rect style="width:0;height:1.5pt" o:hralign="center" o:hrstd="t" o:hr="t"/>
        </w:pict>
      </w:r>
    </w:p>
    <w:bookmarkStart w:id="14" w:name="differentiation"/>
    <w:p>
      <w:pPr>
        <w:pStyle w:val="Heading2"/>
      </w:pPr>
      <w:r>
        <w:t xml:space="preserve">04 ·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growing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£2/student/yr (~£20k)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is the only product combining all five top-row capabilities.</w:t>
      </w:r>
    </w:p>
    <w:bookmarkEnd w:id="14"/>
    <w:p>
      <w:r>
        <w:pict>
          <v:rect style="width:0;height:1.5pt" o:hralign="center" o:hrstd="t" o:hr="t"/>
        </w:pict>
      </w:r>
    </w:p>
    <w:bookmarkStart w:id="15" w:name="market"/>
    <w:p>
      <w:pPr>
        <w:pStyle w:val="Heading2"/>
      </w:pPr>
      <w:r>
        <w:t xml:space="preserve">05 ·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 (matches Togetherall’s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is a long-term market-opportunity reference, not a forecast — the committed 3-year plan (slide 09) targets a far smaller, self-funded base of c.£48k revenue by Y3.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/>
          <w:iCs/>
        </w:rPr>
        <w:t xml:space="preserve">(HESA 2023/24)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markets.</w:t>
      </w:r>
    </w:p>
    <w:bookmarkEnd w:id="15"/>
    <w:p>
      <w:r>
        <w:pict>
          <v:rect style="width:0;height:1.5pt" o:hralign="center" o:hrstd="t" o:hr="t"/>
        </w:pict>
      </w:r>
    </w:p>
    <w:bookmarkStart w:id="16" w:name="business-model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/>
          <w:bCs/>
        </w:rPr>
        <w:t xml:space="preserve">92% gross margin</w:t>
      </w:r>
      <w:r>
        <w:t xml:space="preserve"> </w:t>
      </w:r>
      <w:r>
        <w:t xml:space="preserve">by Y3.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university</w:t>
            </w:r>
          </w:p>
        </w:tc>
        <w:tc>
          <w:tcPr/>
          <w:p>
            <w:pPr>
              <w:pStyle w:val="Compac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Integrated Care Board</w:t>
            </w:r>
          </w:p>
        </w:tc>
        <w:tc>
          <w:tcPr/>
          <w:p>
            <w:pPr>
              <w:pStyle w:val="Compac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(B2C)</w:t>
            </w:r>
          </w:p>
        </w:tc>
        <w:tc>
          <w:tcPr/>
          <w:p>
            <w:pPr>
              <w:pStyle w:val="Compact"/>
            </w:pPr>
            <w:r>
              <w:t xml:space="preserve">Free core. Optional</w:t>
            </w:r>
            <w:r>
              <w:t xml:space="preserve"> </w:t>
            </w:r>
            <w:r>
              <w:rPr>
                <w:b/>
                <w:bCs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bookmarkEnd w:id="16"/>
    <w:p>
      <w:r>
        <w:pict>
          <v:rect style="width:0;height:1.5pt" o:hralign="center" o:hrstd="t" o:hr="t"/>
        </w:pict>
      </w:r>
    </w:p>
    <w:bookmarkStart w:id="17" w:name="traction"/>
    <w:p>
      <w:pPr>
        <w:pStyle w:val="Heading2"/>
      </w:pPr>
      <w:r>
        <w:t xml:space="preserve">07 · Traction</w:t>
      </w:r>
    </w:p>
    <w:p>
      <w:pPr>
        <w:pStyle w:val="Compact"/>
        <w:numPr>
          <w:ilvl w:val="0"/>
          <w:numId w:val="1003"/>
        </w:numPr>
      </w:pPr>
      <w:r>
        <w:t xml:space="preserve">📅</w:t>
      </w:r>
      <w:r>
        <w:t xml:space="preserve"> </w:t>
      </w:r>
      <w:r>
        <w:rPr>
          <w:b/>
          <w:bCs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pStyle w:val="Compact"/>
        <w:numPr>
          <w:ilvl w:val="0"/>
          <w:numId w:val="1003"/>
        </w:numPr>
      </w:pPr>
      <w:r>
        <w:t xml:space="preserve">🛠️</w:t>
      </w:r>
      <w:r>
        <w:t xml:space="preserve"> </w:t>
      </w:r>
      <w:r>
        <w:rPr>
          <w:b/>
          <w:bCs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80 verified beta users</w:t>
      </w:r>
      <w:r>
        <w:t xml:space="preserve"> </w:t>
      </w:r>
      <w:r>
        <w:t xml:space="preserve">at the University of Bedfordshire (42 daily-active, 6-week retention).</w:t>
      </w:r>
    </w:p>
    <w:p>
      <w:pPr>
        <w:pStyle w:val="Compact"/>
        <w:numPr>
          <w:ilvl w:val="0"/>
          <w:numId w:val="1003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Prospective pilot — University of Bedfordshire.</w:t>
      </w:r>
      <w:r>
        <w:t xml:space="preserve"> </w:t>
      </w:r>
      <w:r>
        <w:t xml:space="preserve">Early, informal conversation only —</w:t>
      </w:r>
      <w:r>
        <w:t xml:space="preserve"> </w:t>
      </w:r>
      <w:r>
        <w:rPr>
          <w:b/>
          <w:bCs/>
        </w:rPr>
        <w:t xml:space="preserve">no agreement, LOI or date signed.</w:t>
      </w:r>
      <w:r>
        <w:t xml:space="preserve"> </w:t>
      </w:r>
      <w:r>
        <w:t xml:space="preserve">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 </w:t>
      </w:r>
      <w:r>
        <w:t xml:space="preserve">as a target, contingent on the university’s decision. Lead founder was Bedfordshire SU President 2021–2023 — direct relationships with student services and safeguarding leads.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/>
          <w:bCs/>
        </w:rPr>
        <w:t xml:space="preserve">16 March 2026</w:t>
      </w:r>
      <w:r>
        <w:t xml:space="preserve">. £31k of in-kind support delivered (office, legal, accountancy, mentoring), Y1 only.</w:t>
      </w:r>
    </w:p>
    <w:p>
      <w:pPr>
        <w:pStyle w:val="FirstParagraph"/>
      </w:pPr>
      <w:r>
        <w:t xml:space="preserve">Two UK high-street banks have independently selected the team.</w:t>
      </w:r>
    </w:p>
    <w:bookmarkEnd w:id="17"/>
    <w:p>
      <w:r>
        <w:pict>
          <v:rect style="width:0;height:1.5pt" o:hralign="center" o:hrstd="t" o:hr="t"/>
        </w:pict>
      </w:r>
    </w:p>
    <w:bookmarkStart w:id="18" w:name="team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/>
          <w:bCs/>
        </w:rPr>
        <w:t xml:space="preserve">no salary funded within this 3-year self-funded plan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</w:p>
        </w:tc>
        <w:tc>
          <w:tcPr/>
          <w:p>
            <w:pPr>
              <w:pStyle w:val="Compac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Yusuff Adeagbo</w:t>
            </w:r>
          </w:p>
        </w:tc>
        <w:tc>
          <w:tcPr/>
          <w:p>
            <w:pPr>
              <w:pStyle w:val="Compac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Adedapo Ajuwon</w:t>
            </w:r>
          </w:p>
        </w:tc>
        <w:tc>
          <w:tcPr/>
          <w:p>
            <w:pPr>
              <w:pStyle w:val="Compac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Chinyere Jennifer</w:t>
            </w:r>
          </w:p>
        </w:tc>
        <w:tc>
          <w:tcPr/>
          <w:p>
            <w:pPr>
              <w:pStyle w:val="Compac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</w:pPr>
            <w:r>
              <w:t xml:space="preserve">Senior PM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; LLM background.</w:t>
            </w:r>
          </w:p>
        </w:tc>
      </w:tr>
    </w:tbl>
    <w:bookmarkEnd w:id="18"/>
    <w:p>
      <w:r>
        <w:pict>
          <v:rect style="width:0;height:1.5pt" o:hralign="center" o:hrstd="t" o:hr="t"/>
        </w:pict>
      </w:r>
    </w:p>
    <w:bookmarkStart w:id="19" w:name="financials-3-year-forecast-self-funded"/>
    <w:p>
      <w:pPr>
        <w:pStyle w:val="Heading2"/>
      </w:pPr>
      <w:r>
        <w:t xml:space="preserve">09 · Financials — 3-year forecast, self-funded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9,200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external investment is assumed anywhere in this forecast.</w:t>
      </w:r>
      <w:r>
        <w:t xml:space="preserve"> </w:t>
      </w:r>
      <w:r>
        <w:t xml:space="preserve">Y1’s small loss (£3.6k) is absorbed entirely by the £6,000 founder capital; Y2 is modestly profitable; Y3 funds the plan’s only hire and a small founder salary. Deliberately small, deliberately achievable.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/>
          <w:bCs/>
        </w:rPr>
        <w:t xml:space="preserve">2 unpaid founders (Y1) → 2 unpaid founders (Y2) → 3 people / c.2.5 FTE (Y3)</w:t>
      </w:r>
      <w:r>
        <w:t xml:space="preserve">, all self-funded from revenue.</w:t>
      </w:r>
    </w:p>
    <w:bookmarkEnd w:id="19"/>
    <w:p>
      <w:r>
        <w:pict>
          <v:rect style="width:0;height:1.5pt" o:hralign="center" o:hrstd="t" o:hr="t"/>
        </w:pict>
      </w:r>
    </w:p>
    <w:bookmarkStart w:id="20" w:name="year-1-cash-plan-viability-evidence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M4–M6 (Sep–Nov 2026)</w:t>
            </w:r>
            <w:r>
              <w:t xml:space="preserve"> </w:t>
            </w:r>
            <w:r>
              <w:t xml:space="preserve">— proposed pilot window,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£4,120 → 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t xml:space="preserve">Cash is positive every single month of Year 1 — on founder capital and premium subscriptions alone.</w:t>
      </w:r>
      <w:r>
        <w:t xml:space="preserve"> </w:t>
      </w:r>
      <w:r>
        <w:rPr>
          <w:b/>
          <w:bCs/>
        </w:rPr>
        <w:t xml:space="preserve">No institutional revenue, pre-seed or other external funding is assumed at any point.</w:t>
      </w:r>
      <w:r>
        <w:t xml:space="preserve"> </w:t>
      </w:r>
      <w:r>
        <w:t xml:space="preserve">Whether or not the Bedfordshire pilot conversation converts, the plan does not depend on it to survive Year 1.</w:t>
      </w:r>
    </w:p>
    <w:bookmarkEnd w:id="20"/>
    <w:p>
      <w:r>
        <w:pict>
          <v:rect style="width:0;height:1.5pt" o:hralign="center" o:hrstd="t" o:hr="t"/>
        </w:pict>
      </w:r>
    </w:p>
    <w:bookmarkStart w:id="22" w:name="the-plan-self-funded-no-ask"/>
    <w:p>
      <w:pPr>
        <w:pStyle w:val="Heading2"/>
      </w:pPr>
      <w:r>
        <w:t xml:space="preserve">11 · The plan · self-funded, no ask</w:t>
      </w:r>
    </w:p>
    <w:p>
      <w:pPr>
        <w:pStyle w:val="FirstParagraph"/>
      </w:pPr>
      <w:r>
        <w:rPr>
          <w:b/>
          <w:bCs/>
        </w:rPr>
        <w:t xml:space="preserve">There is no funding ask.</w:t>
      </w:r>
      <w:r>
        <w:t xml:space="preserve"> </w:t>
      </w:r>
      <w:r>
        <w:t xml:space="preserve">DEQUAD’s 3-year plan is funded entirely by</w:t>
      </w:r>
      <w:r>
        <w:t xml:space="preserve"> </w:t>
      </w:r>
      <w:r>
        <w:rPr>
          <w:b/>
          <w:bCs/>
        </w:rPr>
        <w:t xml:space="preserve">£6,000 of founder capital plus revenue</w:t>
      </w:r>
      <w:r>
        <w:t xml:space="preserve"> </w:t>
      </w:r>
      <w:r>
        <w:t xml:space="preserve">— no pre-seed, seed or other external investment is assumed, committed, or required for it to succeed.</w:t>
      </w:r>
    </w:p>
    <w:bookmarkStart w:id="21" w:name="why-this-is-the-plan"/>
    <w:p>
      <w:pPr>
        <w:pStyle w:val="Heading3"/>
      </w:pPr>
      <w:r>
        <w:t xml:space="preserve">Why this is the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Costs are scoped to fit £6,000</w:t>
            </w:r>
          </w:p>
        </w:tc>
        <w:tc>
          <w:tcPr/>
          <w:p>
            <w:pPr>
              <w:pStyle w:val="Compact"/>
            </w:pPr>
            <w:r>
              <w:t xml:space="preserve">Y1 total spend ≈£4,700 — hosting, tooling, basic legal/insurance, minimal founder-led marketing. No paid hires, no office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dependency on the Bedfordshire pilot</w:t>
            </w:r>
          </w:p>
        </w:tc>
        <w:tc>
          <w:tcPr/>
          <w:p>
            <w:pPr>
              <w:pStyle w:val="Compact"/>
            </w:pPr>
            <w:r>
              <w:t xml:space="preserve">Nothing is signed. If it converts, it’s Y2+ upside (Section 11). If it doesn’t, the plan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is sequenced to revenue, not capital</w:t>
            </w:r>
          </w:p>
        </w:tc>
        <w:tc>
          <w:tcPr/>
          <w:p>
            <w:pPr>
              <w:pStyle w:val="Compact"/>
            </w:pPr>
            <w:r>
              <w:t xml:space="preserve">The plan’s only hire (Y3, part-time) and modest founder pay are triggered by revenue actually landing — not by a funding round closing.</w:t>
            </w:r>
          </w:p>
        </w:tc>
      </w:tr>
    </w:tbl>
    <w:p>
      <w:pPr>
        <w:pStyle w:val="BodyText"/>
      </w:pPr>
      <w:r>
        <w:t xml:space="preserve">If institutional traction significantly exceeds this conservative forecast (5+ paying universities), the founders may explore external investment beyond Year 3 to accelerate growth — a future option, not a plan dependency.</w:t>
      </w:r>
    </w:p>
    <w:bookmarkEnd w:id="21"/>
    <w:bookmarkEnd w:id="22"/>
    <w:p>
      <w:r>
        <w:pict>
          <v:rect style="width:0;height:1.5pt" o:hralign="center" o:hrstd="t" o:hr="t"/>
        </w:pict>
      </w:r>
    </w:p>
    <w:bookmarkStart w:id="23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/>
          <w:bCs/>
        </w:rPr>
        <w:t xml:space="preserve">Live at dequad.co.uk</w:t>
      </w:r>
      <w:r>
        <w:t xml:space="preserve"> </w:t>
      </w:r>
      <w:r>
        <w:t xml:space="preserve">· MVP shipped · 5-person founding team · self-funded</w:t>
      </w:r>
      <w:r>
        <w:t xml:space="preserve"> </w:t>
      </w:r>
      <w:r>
        <w:t xml:space="preserve">NatWest Accelerator · Santander Universities · University of Bedfordshire (pilot conversation — nothing signed)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— yusuf@dequad.co.uk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— yusuff@dequad.co.uk</w:t>
      </w:r>
    </w:p>
    <w:p>
      <w:pPr>
        <w:pStyle w:val="BodyText"/>
      </w:pPr>
      <w:r>
        <w:rPr>
          <w:i/>
          <w:iCs/>
        </w:rPr>
        <w:t xml:space="preserve">Thank you.</w:t>
      </w:r>
    </w:p>
    <w:p>
      <w:pPr>
        <w:pStyle w:val="BodyText"/>
      </w:pPr>
      <w:r>
        <w:rPr>
          <w:i/>
          <w:iCs/>
        </w:rPr>
        <w:t xml:space="preserve">Deck written and prepared by the founders — Yusuf Quadri (CEO) &amp; Yusuff Adeagbo (CTO).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DEQUAD_Pitch_Deck</dc:title>
  <dc:creator/>
  <cp:keywords/>
  <dcterms:created xsi:type="dcterms:W3CDTF">2026-08-18T23:04:44Z</dcterms:created>
  <dcterms:modified xsi:type="dcterms:W3CDTF">2026-08-18T23:04:44Z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