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87%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80 verified beta users</w:t>
      </w:r>
      <w:r>
        <w:t xml:space="preserve"> </w:t>
      </w:r>
      <w:r>
        <w:t xml:space="preserve">at the University of Bedfordshire (42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conservative base case, self-funded from revenue.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sustained 12+ months) once revenue scales after pilot conversion — meeting the Innovator Founder settlement job-creation criterion.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 (Sep–Nov 2026)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£4,304 → 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(6+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2026-08-22T13:57:04Z</dcterms:created>
  <dcterms:modified xsi:type="dcterms:W3CDTF">2026-08-22T13:57:04Z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