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No. 17405964, incorporated in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18 August 2026</w:t>
      </w:r>
      <w:r>
        <w:t xml:space="preserve"> </w:t>
      </w:r>
      <w:r>
        <w:t xml:space="preserve">(incorporation)</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20 verified student accounts at the University of Bedfordshire</w:t>
            </w:r>
            <w:r>
              <w:t xml:space="preserve"> </w:t>
            </w:r>
            <w:r>
              <w:t xml:space="preserve">(10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~£150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5 people (2 founders + 3 full-time hires) once institutional revenue scales via pilot conversion — each of the 3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FirstParagraph"/>
      </w:pPr>
      <w:r>
        <w:t xml:space="preserve">DEQUAD’s innovation claim is not any single feature — every individual element below can be found somewhere in the market. It is the</w:t>
      </w:r>
      <w:r>
        <w:t xml:space="preserve"> </w:t>
      </w:r>
      <w:r>
        <w:rPr>
          <w:b/>
          <w:bCs/>
        </w:rPr>
        <w:t xml:space="preserve">combination</w:t>
      </w:r>
      <w:r>
        <w:t xml:space="preserve">, shipped as one product, that does not exist anywhere else in the UK today. This is also, independently, what the market itself says it wants: in the primary buyer research at Section 5.2, 9 of 11 university safeguarding and student-services leads interviewed named</w:t>
      </w:r>
      <w:r>
        <w:t xml:space="preserve"> </w:t>
      </w:r>
      <w:r>
        <w:rPr>
          <w:i/>
          <w:iCs/>
        </w:rPr>
        <w:t xml:space="preserve">identity-verified peer networks</w:t>
      </w:r>
      <w:r>
        <w:t xml:space="preserve"> </w:t>
      </w:r>
      <w:r>
        <w:t xml:space="preserve">as their single biggest unmet need — not a founder assertion, a validated gap.</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 with an OCR-based student-ID check already scoped as the next hardening step (Section 4.1; architecture at Appendix J). Generic social apps cannot retrofit this without abandoning their open-network model; it has to be built in from day one, which is exactly what DEQUAD did.</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p>
      <w:pPr>
        <w:pStyle w:val="FirstParagraph"/>
      </w:pPr>
      <w:r>
        <w:rPr>
          <w:b/>
          <w:bCs/>
        </w:rPr>
        <w:t xml:space="preserve">Why this is hard to copy, not just hard to imagine.</w:t>
      </w:r>
      <w:r>
        <w:t xml:space="preserve"> </w:t>
      </w:r>
      <w:r>
        <w:t xml:space="preserve">The feature-by-feature comparison in Section 6 already shows no competitor holding more than two of these ten capabilities at once. The harder question — could Togetherall or TalkCampus simply copy the</w:t>
      </w:r>
      <w:r>
        <w:t xml:space="preserve"> </w:t>
      </w:r>
      <w:r>
        <w:rPr>
          <w:rStyle w:val="VerbatimChar"/>
        </w:rPr>
        <w:t xml:space="preserve">.ac.uk</w:t>
      </w:r>
      <w:r>
        <w:t xml:space="preserve"> </w:t>
      </w:r>
      <w:r>
        <w:t xml:space="preserve">layer? — is addressed head-on rather than assumed away: the founders’ own Risk Register (Appendix L, R8) treats this as a live, scored risk, not a hypothetical, and names the actual moats that survive a copied email-domain check — the safeguarding webhook, the graded-alert taxonomy, and the university insights dashboard, none of which can be replicated without also rebuilding practitioner-designed triage logic, the thing an incumbent moderation product is least likely to have.</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20 verified beta users at the University of Bedfordshire (10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FirstParagraph"/>
      </w:pPr>
      <w:r>
        <w:t xml:space="preserve">DEQUAD scales the way a software business is supposed to: revenue grows far faster than cost or headcount, because the product — not additional people — carries the growth.</w:t>
      </w:r>
    </w:p>
    <w:p>
      <w:pPr>
        <w:pStyle w:val="Compact"/>
        <w:numPr>
          <w:ilvl w:val="0"/>
          <w:numId w:val="1005"/>
        </w:numPr>
      </w:pPr>
      <w:r>
        <w:rPr>
          <w:b/>
          <w:bCs/>
        </w:rPr>
        <w:t xml:space="preserve">Revenue grows sharply while the core team barely grows at all.</w:t>
      </w:r>
      <w:r>
        <w:t xml:space="preserve"> </w:t>
      </w:r>
      <w:r>
        <w:t xml:space="preserve">Total revenue rises from a deliberately small £150 in Y1 — reflecting a self-funded, pre-institutional-revenue starting point — to £48,000 by Y3, while the founder-led core team grows from 2 unpaid founders to just 3 people (c.2.5 FTE) over the same period (Section 18). That gap between revenue growth and headcount growth</w:t>
      </w:r>
      <w:r>
        <w:t xml:space="preserve"> </w:t>
      </w:r>
      <w:r>
        <w:rPr>
          <w:i/>
          <w:iCs/>
        </w:rPr>
        <w:t xml:space="preserve">is</w:t>
      </w:r>
      <w:r>
        <w:t xml:space="preserve"> </w:t>
      </w:r>
      <w:r>
        <w:t xml:space="preserve">the scalability case, made concrete rather than asserted.</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87.3%</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 is architectural, not aspirational.</w:t>
      </w:r>
      <w:r>
        <w:t xml:space="preserve"> </w:t>
      </w:r>
      <w:r>
        <w:t xml:space="preserve">The</w:t>
      </w:r>
      <w:r>
        <w:t xml:space="preserve"> </w:t>
      </w:r>
      <w:r>
        <w:rPr>
          <w:rStyle w:val="VerbatimChar"/>
        </w:rPr>
        <w:t xml:space="preserve">.ac.uk</w:t>
      </w:r>
      <w:r>
        <w:t xml:space="preserve"> </w:t>
      </w:r>
      <w:r>
        <w:t xml:space="preserve">verification engine (Section 3.1) is built as a configurable domain allow-list, not a hard-coded UK rule — the same mechanism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without re-architecting the product, addressing a £180m English-language HE TAM post-Y3. This is flagged as a longer-term opportunity beyond the 3-year plan, not a commitment within it.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5 people (2 founders + 3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20 verified students</w:t>
            </w:r>
            <w:r>
              <w:t xml:space="preserve"> </w:t>
            </w:r>
            <w:r>
              <w:t xml:space="preserve">onboarded, 10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5 people (2 founders + 3 full-time hires)</w:t>
      </w:r>
      <w:r>
        <w:t xml:space="preserve"> </w:t>
      </w:r>
      <w:r>
        <w:t xml:space="preserve">— see Appendix G for role-by-role detail (Sales Lead, Support Agent, Student Ambassador). Each of the 3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M1 (18 August 2026)</w:t>
            </w:r>
            <w:r>
              <w:t xml:space="preserve"> </w:t>
            </w:r>
            <w:r>
              <w:t xml:space="preserve">— ✅ Complete</w:t>
            </w:r>
          </w:p>
        </w:tc>
        <w:tc>
          <w:tcPr/>
          <w:p>
            <w:pPr>
              <w:pStyle w:val="Compact"/>
            </w:pPr>
            <w:r>
              <w:t xml:space="preserve">DEQUAD Ltd (Company No. 17405964) registered at Companies House.</w:t>
            </w:r>
          </w:p>
        </w:tc>
      </w:tr>
      <w:tr>
        <w:tc>
          <w:tcPr/>
          <w:p>
            <w:pPr>
              <w:pStyle w:val="Compact"/>
            </w:pPr>
            <w:r>
              <w:t xml:space="preserve">Platform feature buildout</w:t>
            </w:r>
          </w:p>
        </w:tc>
        <w:tc>
          <w:tcPr/>
          <w:p>
            <w:pPr>
              <w:pStyle w:val="Compact"/>
            </w:pPr>
            <w:r>
              <w:rPr>
                <w:b/>
                <w:bCs/>
              </w:rPr>
              <w:t xml:space="preserve">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M8–M9</w:t>
            </w:r>
          </w:p>
        </w:tc>
        <w:tc>
          <w:tcPr/>
          <w:p>
            <w:pPr>
              <w:pStyle w:val="Compact"/>
            </w:pPr>
            <w:r>
              <w:t xml:space="preserve">Target paid SaaS agreement covering the following academic year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three-hire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(18 August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6+ paying universities converting after the pilot stage — the resulting institutional revenue funds this plan’s job-creation target:</w:t>
      </w:r>
      <w:r>
        <w:t xml:space="preserve"> </w:t>
      </w:r>
      <w:r>
        <w:rPr>
          <w:b/>
          <w:bCs/>
        </w:rPr>
        <w:t xml:space="preserve">3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 (Company No. 17405964, 18 August 2026).</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5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£150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£150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20-person beta cohort and modest organic growth; 5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(£1,250)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1,470</w:t>
            </w:r>
          </w:p>
        </w:tc>
        <w:tc>
          <w:tcPr/>
          <w:p>
            <w:pPr>
              <w:pStyle w:val="Compact"/>
              <w:jc w:val="right"/>
            </w:pPr>
            <w:r>
              <w:t xml:space="preserve">7,770</w:t>
            </w:r>
          </w:p>
        </w:tc>
      </w:tr>
      <w:tr>
        <w:tc>
          <w:tcPr/>
          <w:p>
            <w:pPr>
              <w:pStyle w:val="Compact"/>
            </w:pPr>
            <w:r>
              <w:t xml:space="preserve">Cash from sales</w:t>
            </w:r>
          </w:p>
        </w:tc>
        <w:tc>
          <w:tcPr/>
          <w:p>
            <w:pPr>
              <w:pStyle w:val="Compact"/>
              <w:jc w:val="right"/>
            </w:pPr>
            <w:r>
              <w:t xml:space="preserve">150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150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(4,530)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1,470</w:t>
            </w:r>
          </w:p>
        </w:tc>
        <w:tc>
          <w:tcPr/>
          <w:p>
            <w:pPr>
              <w:pStyle w:val="Compact"/>
              <w:jc w:val="right"/>
            </w:pPr>
            <w:r>
              <w:rPr>
                <w:b/>
                <w:bCs/>
              </w:rPr>
              <w:t xml:space="preserve">7,770</w:t>
            </w:r>
          </w:p>
        </w:tc>
        <w:tc>
          <w:tcPr/>
          <w:p>
            <w:pPr>
              <w:pStyle w:val="Compact"/>
              <w:jc w:val="right"/>
            </w:pPr>
            <w:r>
              <w:rPr>
                <w:b/>
                <w:bCs/>
              </w:rPr>
              <w:t xml:space="preserve">15,970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c.£15,970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w:t>
      </w:r>
      <w:r>
        <w:t xml:space="preserve"> </w:t>
      </w:r>
      <w:r>
        <w:t xml:space="preserve">modest premium-subscription revenue begins from the existing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£1,470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150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(1,250)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(3,930)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(4,080)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(4,080)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1,470</w:t>
            </w:r>
          </w:p>
        </w:tc>
        <w:tc>
          <w:tcPr/>
          <w:p>
            <w:pPr>
              <w:pStyle w:val="Compact"/>
              <w:jc w:val="right"/>
            </w:pPr>
            <w:r>
              <w:t xml:space="preserve">7,770</w:t>
            </w:r>
          </w:p>
        </w:tc>
        <w:tc>
          <w:tcPr/>
          <w:p>
            <w:pPr>
              <w:pStyle w:val="Compact"/>
              <w:jc w:val="right"/>
            </w:pPr>
            <w:r>
              <w:t xml:space="preserve">15,970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1,920</w:t>
            </w:r>
          </w:p>
        </w:tc>
        <w:tc>
          <w:tcPr/>
          <w:p>
            <w:pPr>
              <w:pStyle w:val="Compact"/>
              <w:jc w:val="right"/>
            </w:pPr>
            <w:r>
              <w:rPr>
                <w:b/>
                <w:bCs/>
              </w:rPr>
              <w:t xml:space="preserve">8,920</w:t>
            </w:r>
          </w:p>
        </w:tc>
        <w:tc>
          <w:tcPr/>
          <w:p>
            <w:pPr>
              <w:pStyle w:val="Compact"/>
              <w:jc w:val="right"/>
            </w:pPr>
            <w:r>
              <w:rPr>
                <w:b/>
                <w:bCs/>
              </w:rPr>
              <w:t xml:space="preserve">18,620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1,920</w:t>
            </w:r>
          </w:p>
        </w:tc>
        <w:tc>
          <w:tcPr/>
          <w:p>
            <w:pPr>
              <w:pStyle w:val="Compact"/>
              <w:jc w:val="right"/>
            </w:pPr>
            <w:r>
              <w:rPr>
                <w:b/>
                <w:bCs/>
              </w:rPr>
              <w:t xml:space="preserve">7,920</w:t>
            </w:r>
          </w:p>
        </w:tc>
        <w:tc>
          <w:tcPr/>
          <w:p>
            <w:pPr>
              <w:pStyle w:val="Compact"/>
              <w:jc w:val="right"/>
            </w:pPr>
            <w:r>
              <w:rPr>
                <w:b/>
                <w:bCs/>
              </w:rPr>
              <w:t xml:space="preserve">15,920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(4,080)</w:t>
            </w:r>
          </w:p>
        </w:tc>
        <w:tc>
          <w:tcPr/>
          <w:p>
            <w:pPr>
              <w:pStyle w:val="Compact"/>
              <w:jc w:val="right"/>
            </w:pPr>
            <w:r>
              <w:t xml:space="preserve">1,920</w:t>
            </w:r>
          </w:p>
        </w:tc>
        <w:tc>
          <w:tcPr/>
          <w:p>
            <w:pPr>
              <w:pStyle w:val="Compact"/>
              <w:jc w:val="right"/>
            </w:pPr>
            <w:r>
              <w:t xml:space="preserve">9,920</w:t>
            </w:r>
          </w:p>
        </w:tc>
      </w:tr>
      <w:tr>
        <w:tc>
          <w:tcPr/>
          <w:p>
            <w:pPr>
              <w:pStyle w:val="Compact"/>
            </w:pPr>
            <w:r>
              <w:rPr>
                <w:b/>
                <w:bCs/>
              </w:rPr>
              <w:t xml:space="preserve">Shareholders’ funds</w:t>
            </w:r>
          </w:p>
        </w:tc>
        <w:tc>
          <w:tcPr/>
          <w:p>
            <w:pPr>
              <w:pStyle w:val="Compact"/>
              <w:jc w:val="right"/>
            </w:pPr>
            <w:r>
              <w:rPr>
                <w:b/>
                <w:bCs/>
              </w:rPr>
              <w:t xml:space="preserve">1,920</w:t>
            </w:r>
          </w:p>
        </w:tc>
        <w:tc>
          <w:tcPr/>
          <w:p>
            <w:pPr>
              <w:pStyle w:val="Compact"/>
              <w:jc w:val="right"/>
            </w:pPr>
            <w:r>
              <w:rPr>
                <w:b/>
                <w:bCs/>
              </w:rPr>
              <w:t xml:space="preserve">7,920</w:t>
            </w:r>
          </w:p>
        </w:tc>
        <w:tc>
          <w:tcPr/>
          <w:p>
            <w:pPr>
              <w:pStyle w:val="Compact"/>
              <w:jc w:val="right"/>
            </w:pPr>
            <w:r>
              <w:rPr>
                <w:b/>
                <w:bCs/>
              </w:rPr>
              <w:t xml:space="preserve">15,920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c.£15,920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 from the £48,000 conservative Y3 revenue.</w:t>
      </w:r>
    </w:p>
    <w:p>
      <w:pPr>
        <w:pStyle w:val="BodyText"/>
      </w:pPr>
      <w:r>
        <w:rPr>
          <w:b/>
          <w:bCs/>
        </w:rPr>
        <w:t xml:space="preserve">Job-creation target (upside case, §10.4):</w:t>
      </w:r>
      <w:r>
        <w:t xml:space="preserve"> </w:t>
      </w:r>
      <w:r>
        <w:t xml:space="preserve">if institutional revenue scales beyond this base case once pilot universities convert (6+ paying universities), the plan’s job-creation target is</w:t>
      </w:r>
      <w:r>
        <w:t xml:space="preserve"> </w:t>
      </w:r>
      <w:r>
        <w:rPr>
          <w:b/>
          <w:bCs/>
        </w:rPr>
        <w:t xml:space="preserve">5 people (2 founders + 3 full-time hires)</w:t>
      </w:r>
      <w:r>
        <w:t xml:space="preserve">, each of the 3 hires sustained at least 12 months at an average salary of £25,000/year — funded entirely from revenue generated after piloting, meeting the Innovator Founder settlement job-creation criterion. This upside is not reconciled in the conservative model below.</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t xml:space="preserve">See Appendix F below</w:t>
            </w:r>
          </w:p>
        </w:tc>
      </w:tr>
      <w:tr>
        <w:tc>
          <w:tcPr/>
          <w:p>
            <w:pPr>
              <w:pStyle w:val="Compact"/>
            </w:pPr>
            <w:r>
              <w:t xml:space="preserve">G</w:t>
            </w:r>
          </w:p>
        </w:tc>
        <w:tc>
          <w:tcPr/>
          <w:p>
            <w:pPr>
              <w:pStyle w:val="Compact"/>
            </w:pPr>
            <w:r>
              <w:t xml:space="preserve">Job description for the base-case hire, plus the plan’s three-hire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bookmarkEnd w:id="67"/>
    <w:bookmarkEnd w:id="68"/>
    <w:bookmarkStart w:id="77"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69"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£150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£150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20-person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69"/>
    <w:bookmarkStart w:id="70"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(£1,250)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70"/>
    <w:bookmarkStart w:id="71"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(£4,080)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71"/>
    <w:bookmarkStart w:id="72"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£1,470</w:t>
            </w:r>
          </w:p>
        </w:tc>
        <w:tc>
          <w:tcPr/>
          <w:p>
            <w:pPr>
              <w:pStyle w:val="Compact"/>
              <w:jc w:val="right"/>
            </w:pPr>
            <w:r>
              <w:t xml:space="preserve">£7,770</w:t>
            </w:r>
          </w:p>
        </w:tc>
      </w:tr>
      <w:tr>
        <w:tc>
          <w:tcPr/>
          <w:p>
            <w:pPr>
              <w:pStyle w:val="Compact"/>
            </w:pPr>
            <w:r>
              <w:t xml:space="preserve">Cash from sales</w:t>
            </w:r>
          </w:p>
        </w:tc>
        <w:tc>
          <w:tcPr/>
          <w:p>
            <w:pPr>
              <w:pStyle w:val="Compact"/>
              <w:jc w:val="right"/>
            </w:pPr>
            <w:r>
              <w:t xml:space="preserve">£150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£150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(£4,530)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£1,470</w:t>
            </w:r>
          </w:p>
        </w:tc>
        <w:tc>
          <w:tcPr/>
          <w:p>
            <w:pPr>
              <w:pStyle w:val="Compact"/>
              <w:jc w:val="right"/>
            </w:pPr>
            <w:r>
              <w:rPr>
                <w:b/>
                <w:bCs/>
              </w:rPr>
              <w:t xml:space="preserve">£7,770</w:t>
            </w:r>
          </w:p>
        </w:tc>
        <w:tc>
          <w:tcPr/>
          <w:p>
            <w:pPr>
              <w:pStyle w:val="Compact"/>
              <w:jc w:val="right"/>
            </w:pPr>
            <w:r>
              <w:rPr>
                <w:b/>
                <w:bCs/>
              </w:rPr>
              <w:t xml:space="preserve">£15,970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72"/>
    <w:bookmarkStart w:id="73"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73"/>
    <w:bookmarkStart w:id="74"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5 (2 founders + 3 full-time hires)</w:t>
      </w:r>
      <w:r>
        <w:t xml:space="preserve">, each of the 3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74"/>
    <w:bookmarkStart w:id="75"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75"/>
    <w:bookmarkStart w:id="76" w:name="f.8-key-assumptions"/>
    <w:p>
      <w:pPr>
        <w:pStyle w:val="Heading2"/>
      </w:pPr>
      <w:r>
        <w:t xml:space="preserve">F.8 Key Assumptions</w:t>
      </w:r>
    </w:p>
    <w:p>
      <w:pPr>
        <w:pStyle w:val="Compact"/>
        <w:numPr>
          <w:ilvl w:val="0"/>
          <w:numId w:val="1011"/>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11"/>
        </w:numPr>
      </w:pPr>
      <w:r>
        <w:rPr>
          <w:b/>
          <w:bCs/>
        </w:rPr>
        <w:t xml:space="preserve">Premium pricing:</w:t>
      </w:r>
      <w:r>
        <w:t xml:space="preserve"> </w:t>
      </w:r>
      <w:r>
        <w:t xml:space="preserve">£4.99/month (£59.88/year), drawn from the existing 20-person Bedfordshire beta cohort and modest organic growth — independent of whether any institutional pilot converts.</w:t>
      </w:r>
    </w:p>
    <w:p>
      <w:pPr>
        <w:pStyle w:val="Compact"/>
        <w:numPr>
          <w:ilvl w:val="0"/>
          <w:numId w:val="1011"/>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11"/>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11"/>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11"/>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(v5.0, self-funded 3-year revision).</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2026-08-22T15:03:26Z</dcterms:created>
  <dcterms:modified xsi:type="dcterms:W3CDTF">2026-08-22T15:03:26Z</dcterms:modified>
</cp:coreProperties>
</file>

<file path=docProps/custom.xml><?xml version="1.0" encoding="utf-8"?>
<Properties xmlns="http://schemas.openxmlformats.org/officeDocument/2006/custom-properties" xmlns:vt="http://schemas.openxmlformats.org/officeDocument/2006/docPropsVTypes"/>
</file>