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above.</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Q1 Year 2 (ahead of the Q2 Year 2 penetration test)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with Adedapo Ajuwon (Senior Software Engineer, equity-only wider-team member) providing additional engineering capacity; further paid engineering hires are a longer-term ambition beyond this 3-year plan, not a commitment (Appendix G).</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Total OPEX</w:t>
            </w:r>
          </w:p>
        </w:tc>
        <w:tc>
          <w:tcPr/>
          <w:p>
            <w:pPr>
              <w:pStyle w:val="Compact"/>
              <w:jc w:val="right"/>
            </w:pPr>
            <w:r>
              <w:rPr>
                <w:b/>
                <w:bCs/>
              </w:rPr>
              <w:t xml:space="preserve">£2,830</w:t>
            </w:r>
          </w:p>
        </w:tc>
        <w:tc>
          <w:tcPr/>
          <w:p>
            <w:pPr>
              <w:pStyle w:val="Compact"/>
              <w:jc w:val="right"/>
            </w:pPr>
            <w:r>
              <w:rPr>
                <w:b/>
                <w:bCs/>
              </w:rPr>
              <w:t xml:space="preserve">£6,400</w:t>
            </w:r>
          </w:p>
        </w:tc>
        <w:tc>
          <w:tcPr/>
          <w:p>
            <w:pPr>
              <w:pStyle w:val="Compact"/>
              <w:jc w:val="right"/>
            </w:pPr>
            <w:r>
              <w:rPr>
                <w:b/>
                <w:bCs/>
              </w:rPr>
              <w:t xml:space="preserve">£32,700</w:t>
            </w:r>
          </w:p>
        </w:tc>
      </w:tr>
      <w:tr>
        <w:tc>
          <w:tcPr/>
          <w:p>
            <w:pPr>
              <w:pStyle w:val="Compact"/>
            </w:pPr>
            <w:r>
              <w:rPr>
                <w:b/>
                <w:bCs/>
              </w:rPr>
              <w:t xml:space="preserve">Operating result</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rPr>
          <w:i/>
          <w:iCs/>
        </w:rPr>
        <w:t xml:space="preserve">Fixed assets capex (£600 / £600 / £1,200) is a balance-sheet item, capitalised and depreciated over its useful life rather than expensed in full — it appears as a cash outflow in the Cash Flow Forecast (§F.4) but not in Total OPEX above, which instead includes the depreciation charge.</w:t>
      </w:r>
    </w:p>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7"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conservative base-case plan referenced in main document §7.3, the</w:t>
      </w:r>
      <w:r>
        <w:t xml:space="preserve"> </w:t>
      </w:r>
      <w:r>
        <w:rPr>
          <w:b/>
          <w:bCs/>
        </w:rPr>
        <w:t xml:space="preserve">five-hire job-creation target</w:t>
      </w:r>
      <w:r>
        <w:t xml:space="preserve"> </w:t>
      </w:r>
      <w:r>
        <w:t xml:space="preserve">for the upside case (§10.4), and the basis on which any hiring beyond Year 3 would be considered. This is a deliberate change from earlier drafts of this plan, which assumed a 42-role, 5-year hiring plan funded by pre-seed, seed and Series A rounds. No external funding is assumed for the base case (Section 10); the hiring plan has been rebuilt around what institutional and premium revenue can actually fund, with the 5-hire job-creation target funded from revenue generated after piloting.</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(base case, all roles, incl. modest founder pay):</w:t>
      </w:r>
      <w:r>
        <w:t xml:space="preserve"> </w:t>
      </w:r>
      <w:r>
        <w:rPr>
          <w:b/>
          <w:bCs/>
        </w:rPr>
        <w:t xml:space="preserve">£20,000 gross / £21,500 incl. employer NI, pension and other costs</w:t>
      </w:r>
      <w:r>
        <w:t xml:space="preserve"> </w:t>
      </w:r>
      <w:r>
        <w:t xml:space="preserve">(Section 18.3).</w:t>
      </w:r>
    </w:p>
    <w:p>
      <w:pPr>
        <w:pStyle w:val="BodyText"/>
      </w:pPr>
      <w:r>
        <w:rPr>
          <w:b/>
          <w:bCs/>
        </w:rPr>
        <w:t xml:space="preserve">Job-creation target, upside case:</w:t>
      </w:r>
      <w:r>
        <w:t xml:space="preserve"> </w:t>
      </w:r>
      <w:r>
        <w:t xml:space="preserve">if institutional revenue scales beyond the base case via pilot conversion (5+ paying universities), the target is</w:t>
      </w:r>
      <w:r>
        <w:t xml:space="preserve"> </w:t>
      </w:r>
      <w:r>
        <w:rPr>
          <w:b/>
          <w:bCs/>
        </w:rPr>
        <w:t xml:space="preserve">5 full-time hires</w:t>
      </w:r>
      <w:r>
        <w:t xml:space="preserve"> </w:t>
      </w:r>
      <w:r>
        <w:t xml:space="preserve">on top of the 2 founders (7 total), each sustained at least 12 months at an average salary of £25,000/year — a Y3 gross wage bill of £125,000 for the 5 hires, funded entirely from revenue generated after piloting, meeting the Innovator Founder settlement job-creation criterion.</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64" w:name="X9c76a81bf0acae11ac63b23ffa964a122b68771"/>
    <w:p>
      <w:pPr>
        <w:pStyle w:val="Heading2"/>
      </w:pPr>
      <w:r>
        <w:t xml:space="preserve">G.3 Job-creation target (upside case) — 5 full-time hires</w:t>
      </w:r>
    </w:p>
    <w:p>
      <w:pPr>
        <w:pStyle w:val="FirstParagraph"/>
      </w:pPr>
      <w:r>
        <w:t xml:space="preserve">If institutional revenue scales beyond the conservative Y3 base case via pilot conversion (5+ paying universities), the plan’s job-creation target is</w:t>
      </w:r>
      <w:r>
        <w:t xml:space="preserve"> </w:t>
      </w:r>
      <w:r>
        <w:rPr>
          <w:b/>
          <w:bCs/>
        </w:rPr>
        <w:t xml:space="preserve">5 full-time UK roles</w:t>
      </w:r>
      <w:r>
        <w:t xml:space="preserve">, each:</w:t>
      </w:r>
    </w:p>
    <w:p>
      <w:pPr>
        <w:pStyle w:val="Compact"/>
        <w:numPr>
          <w:ilvl w:val="0"/>
          <w:numId w:val="1037"/>
        </w:numPr>
      </w:pPr>
      <w:r>
        <w:t xml:space="preserve">Full-time, UK-based, PAYE, paying UK National Insurance contributions</w:t>
      </w:r>
    </w:p>
    <w:p>
      <w:pPr>
        <w:pStyle w:val="Compact"/>
        <w:numPr>
          <w:ilvl w:val="0"/>
          <w:numId w:val="1037"/>
        </w:numPr>
      </w:pPr>
      <w:r>
        <w:t xml:space="preserve">Sustained for at least 12 months</w:t>
      </w:r>
    </w:p>
    <w:p>
      <w:pPr>
        <w:pStyle w:val="Compact"/>
        <w:numPr>
          <w:ilvl w:val="0"/>
          <w:numId w:val="1037"/>
        </w:numPr>
      </w:pPr>
      <w:r>
        <w:t xml:space="preserve">Paid an average salary of £25,000/year</w:t>
      </w:r>
    </w:p>
    <w:p>
      <w:pPr>
        <w:pStyle w:val="FirstParagraph"/>
      </w:pPr>
      <w:r>
        <w:t xml:space="preserve">This meets the Innovator Founder settlement job-creation criterion of 5 jobs for persons settled in the UK, each existing for at least 12 months, at an average salary of at least £25,000/year. These 5 roles are funded entirely from revenue generated after piloting, not from any external funding round.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Commitment</w:t>
            </w:r>
          </w:p>
        </w:tc>
        <w:tc>
          <w:tcPr/>
          <w:p>
            <w:pPr>
              <w:pStyle w:val="Compact"/>
            </w:pPr>
            <w:r>
              <w:t xml:space="preserve">Salary band</w:t>
            </w:r>
          </w:p>
        </w:tc>
        <w:tc>
          <w:tcPr/>
          <w:p>
            <w:pPr>
              <w:pStyle w:val="Compact"/>
            </w:pPr>
            <w:r>
              <w:t xml:space="preserve">Hire timing</w:t>
            </w:r>
          </w:p>
        </w:tc>
        <w:tc>
          <w:tcPr/>
          <w:p>
            <w:pPr>
              <w:pStyle w:val="Compact"/>
            </w:pPr>
            <w:r>
              <w:t xml:space="preserve">Reporting line</w:t>
            </w:r>
          </w:p>
        </w:tc>
      </w:tr>
      <w:tr>
        <w:tc>
          <w:tcPr/>
          <w:p>
            <w:pPr>
              <w:pStyle w:val="Compact"/>
            </w:pPr>
            <w:r>
              <w:t xml:space="preserve">1</w:t>
            </w:r>
          </w:p>
        </w:tc>
        <w:tc>
          <w:tcPr/>
          <w:p>
            <w:pPr>
              <w:pStyle w:val="Compact"/>
            </w:pPr>
            <w:r>
              <w:t xml:space="preserve">Student Ambassador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2</w:t>
            </w:r>
          </w:p>
        </w:tc>
        <w:tc>
          <w:tcPr/>
          <w:p>
            <w:pPr>
              <w:pStyle w:val="Compact"/>
            </w:pPr>
            <w:r>
              <w:t xml:space="preserve">Social Media Manager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3</w:t>
            </w:r>
          </w:p>
        </w:tc>
        <w:tc>
          <w:tcPr/>
          <w:p>
            <w:pPr>
              <w:pStyle w:val="Compact"/>
            </w:pPr>
            <w:r>
              <w:t xml:space="preserve">Marketing Intern</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4</w:t>
            </w:r>
          </w:p>
        </w:tc>
        <w:tc>
          <w:tcPr/>
          <w:p>
            <w:pPr>
              <w:pStyle w:val="Compact"/>
            </w:pPr>
            <w:r>
              <w:t xml:space="preserve">Sales Lead</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r>
        <w:tc>
          <w:tcPr/>
          <w:p>
            <w:pPr>
              <w:pStyle w:val="Compact"/>
            </w:pPr>
            <w:r>
              <w:t xml:space="preserve">5</w:t>
            </w:r>
          </w:p>
        </w:tc>
        <w:tc>
          <w:tcPr/>
          <w:p>
            <w:pPr>
              <w:pStyle w:val="Compact"/>
            </w:pPr>
            <w:r>
              <w:t xml:space="preserve">Support Agent</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bl>
    <w:p>
      <w:pPr>
        <w:pStyle w:val="BodyText"/>
      </w:pPr>
      <w:r>
        <w:t xml:space="preserve">Each of the 5 roles is £25,000/yr, all full-time, hired in Year 3 once institutional revenue scales via pilot conversion (5+ paying universities) — meeting the settlement job-creation criterion’s average-salary threshold exactly. Mission and must-have detail for each role follows below.</w:t>
      </w:r>
    </w:p>
    <w:bookmarkStart w:id="159" w:name="g.3.1-student-ambassador"/>
    <w:p>
      <w:pPr>
        <w:pStyle w:val="Heading3"/>
      </w:pPr>
      <w:r>
        <w:t xml:space="preserve">G.3.1 Student Ambassador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Drive on-campus adoption at partner universities — represent DEQUAD at freshers’ fairs, SU events and society meetups; run peer referral pushes; feed student feedback back into the product roadmap</w:t>
            </w:r>
          </w:p>
        </w:tc>
      </w:tr>
      <w:tr>
        <w:tc>
          <w:tcPr/>
          <w:p>
            <w:pPr>
              <w:pStyle w:val="Compact"/>
            </w:pPr>
            <w:r>
              <w:t xml:space="preserve">Must-have</w:t>
            </w:r>
          </w:p>
        </w:tc>
        <w:tc>
          <w:tcPr/>
          <w:p>
            <w:pPr>
              <w:pStyle w:val="Compact"/>
            </w:pPr>
            <w:r>
              <w:t xml:space="preserve">Current student or recent graduate of a UK university; prior involvement in SU, society or student-rep leadership preferred; comfortable representing the brand in person on campus</w:t>
            </w:r>
          </w:p>
        </w:tc>
      </w:tr>
      <w:tr>
        <w:tc>
          <w:tcPr/>
          <w:p>
            <w:pPr>
              <w:pStyle w:val="Compact"/>
            </w:pPr>
            <w:r>
              <w:t xml:space="preserve">Recruitment channel</w:t>
            </w:r>
          </w:p>
        </w:tc>
        <w:tc>
          <w:tcPr/>
          <w:p>
            <w:pPr>
              <w:pStyle w:val="Compact"/>
            </w:pPr>
            <w:r>
              <w:t xml:space="preserve">University careers portals, partner-university SU/society networks, LinkedIn</w:t>
            </w:r>
          </w:p>
        </w:tc>
      </w:tr>
    </w:tbl>
    <w:bookmarkEnd w:id="159"/>
    <w:bookmarkStart w:id="160" w:name="g.3.2-social-media-manager"/>
    <w:p>
      <w:pPr>
        <w:pStyle w:val="Heading3"/>
      </w:pPr>
      <w:r>
        <w:t xml:space="preserve">G.3.2 Social Media Manager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DEQUAD’s organic and paid social presence (Instagram, TikTok, LinkedIn) to drive premium subscriber growth and brand awareness among UK students; plan the content calendar around each partner university’s rollout</w:t>
            </w:r>
          </w:p>
        </w:tc>
      </w:tr>
      <w:tr>
        <w:tc>
          <w:tcPr/>
          <w:p>
            <w:pPr>
              <w:pStyle w:val="Compact"/>
            </w:pPr>
            <w:r>
              <w:t xml:space="preserve">Must-have</w:t>
            </w:r>
          </w:p>
        </w:tc>
        <w:tc>
          <w:tcPr/>
          <w:p>
            <w:pPr>
              <w:pStyle w:val="Compact"/>
            </w:pPr>
            <w:r>
              <w:t xml:space="preserve">Proven social media management experience, ideally with a consumer or student-facing brand; content creation and platform-analytics skills</w:t>
            </w:r>
          </w:p>
        </w:tc>
      </w:tr>
      <w:tr>
        <w:tc>
          <w:tcPr/>
          <w:p>
            <w:pPr>
              <w:pStyle w:val="Compact"/>
            </w:pPr>
            <w:r>
              <w:t xml:space="preserve">Recruitment channel</w:t>
            </w:r>
          </w:p>
        </w:tc>
        <w:tc>
          <w:tcPr/>
          <w:p>
            <w:pPr>
              <w:pStyle w:val="Compact"/>
            </w:pPr>
            <w:r>
              <w:t xml:space="preserve">LinkedIn, Otta, NatWest Accelerator alumni network</w:t>
            </w:r>
          </w:p>
        </w:tc>
      </w:tr>
    </w:tbl>
    <w:bookmarkEnd w:id="160"/>
    <w:bookmarkStart w:id="161" w:name="g.3.3-marketing-intern"/>
    <w:p>
      <w:pPr>
        <w:pStyle w:val="Heading3"/>
      </w:pPr>
      <w:r>
        <w:t xml:space="preserve">G.3.3 Marketing Intern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Support the Social Media Manager and CMO with content production, campus marketing collateral and campaign execution across partner universities</w:t>
            </w:r>
          </w:p>
        </w:tc>
      </w:tr>
      <w:tr>
        <w:tc>
          <w:tcPr/>
          <w:p>
            <w:pPr>
              <w:pStyle w:val="Compact"/>
            </w:pPr>
            <w:r>
              <w:t xml:space="preserve">Must-have</w:t>
            </w:r>
          </w:p>
        </w:tc>
        <w:tc>
          <w:tcPr/>
          <w:p>
            <w:pPr>
              <w:pStyle w:val="Compact"/>
            </w:pPr>
            <w:r>
              <w:t xml:space="preserve">Marketing, digital media or related degree/coursework; strong writing and basic design skills; based in or able to work from London</w:t>
            </w:r>
          </w:p>
        </w:tc>
      </w:tr>
      <w:tr>
        <w:tc>
          <w:tcPr/>
          <w:p>
            <w:pPr>
              <w:pStyle w:val="Compact"/>
            </w:pPr>
            <w:r>
              <w:t xml:space="preserve">Recruitment channel</w:t>
            </w:r>
          </w:p>
        </w:tc>
        <w:tc>
          <w:tcPr/>
          <w:p>
            <w:pPr>
              <w:pStyle w:val="Compact"/>
            </w:pPr>
            <w:r>
              <w:t xml:space="preserve">University careers portals (placements), Bright Network, LinkedIn</w:t>
            </w:r>
          </w:p>
        </w:tc>
      </w:tr>
    </w:tbl>
    <w:bookmarkEnd w:id="161"/>
    <w:bookmarkStart w:id="162" w:name="g.3.4-sales-lead"/>
    <w:p>
      <w:pPr>
        <w:pStyle w:val="Heading3"/>
      </w:pPr>
      <w:r>
        <w:t xml:space="preserve">G.3.4 Sales Lead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the institutional sales pipeline end-to-end — lead generation, outreach, and closing paid university and NHS ICB contracts; manage each account from pilot conversion through renewal</w:t>
            </w:r>
          </w:p>
        </w:tc>
      </w:tr>
      <w:tr>
        <w:tc>
          <w:tcPr/>
          <w:p>
            <w:pPr>
              <w:pStyle w:val="Compact"/>
            </w:pPr>
            <w:r>
              <w:t xml:space="preserve">Must-have</w:t>
            </w:r>
          </w:p>
        </w:tc>
        <w:tc>
          <w:tcPr/>
          <w:p>
            <w:pPr>
              <w:pStyle w:val="Compact"/>
            </w:pPr>
            <w:r>
              <w:t xml:space="preserve">B2B/enterprise sales experience, ideally in EdTech, higher education or public-sector software; able to run a full sales cycle independently</w:t>
            </w:r>
          </w:p>
        </w:tc>
      </w:tr>
      <w:tr>
        <w:tc>
          <w:tcPr/>
          <w:p>
            <w:pPr>
              <w:pStyle w:val="Compact"/>
            </w:pPr>
            <w:r>
              <w:t xml:space="preserve">Recruitment channel</w:t>
            </w:r>
          </w:p>
        </w:tc>
        <w:tc>
          <w:tcPr/>
          <w:p>
            <w:pPr>
              <w:pStyle w:val="Compact"/>
            </w:pPr>
            <w:r>
              <w:t xml:space="preserve">Otta, LinkedIn, NatWest Accelerator alumni network</w:t>
            </w:r>
          </w:p>
        </w:tc>
      </w:tr>
    </w:tbl>
    <w:bookmarkEnd w:id="162"/>
    <w:bookmarkStart w:id="163" w:name="g.3.5-support-agent"/>
    <w:p>
      <w:pPr>
        <w:pStyle w:val="Heading3"/>
      </w:pPr>
      <w:r>
        <w:t xml:space="preserve">G.3.5 Support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Front-line support for students and university admins via in-app chat and email; triage non-safeguarding queries directly and escalate safeguarding-relevant issues to the Safeguarding &amp; Trust Lead per the existing escalation pathway</w:t>
            </w:r>
          </w:p>
        </w:tc>
      </w:tr>
      <w:tr>
        <w:tc>
          <w:tcPr/>
          <w:p>
            <w:pPr>
              <w:pStyle w:val="Compact"/>
            </w:pPr>
            <w:r>
              <w:t xml:space="preserve">Must-have</w:t>
            </w:r>
          </w:p>
        </w:tc>
        <w:tc>
          <w:tcPr/>
          <w:p>
            <w:pPr>
              <w:pStyle w:val="Compact"/>
            </w:pPr>
            <w:r>
              <w:t xml:space="preserve">Prior customer support experience; empathetic, clear written communication; completes DEQUAD’s safeguarding awareness training within the first month</w:t>
            </w:r>
          </w:p>
        </w:tc>
      </w:tr>
      <w:tr>
        <w:tc>
          <w:tcPr/>
          <w:p>
            <w:pPr>
              <w:pStyle w:val="Compact"/>
            </w:pPr>
            <w:r>
              <w:t xml:space="preserve">Recruitment channel</w:t>
            </w:r>
          </w:p>
        </w:tc>
        <w:tc>
          <w:tcPr/>
          <w:p>
            <w:pPr>
              <w:pStyle w:val="Compact"/>
            </w:pPr>
            <w:r>
              <w:t xml:space="preserve">LinkedIn, Otta</w:t>
            </w:r>
          </w:p>
        </w:tc>
      </w:tr>
    </w:tbl>
    <w:p>
      <w:pPr>
        <w:pStyle w:val="BodyText"/>
      </w:pPr>
      <w:r>
        <w:rPr>
          <w:i/>
          <w:iCs/>
        </w:rPr>
        <w:t xml:space="preserve">These five job descriptions are a first draft for review — mission and must-have detail is not yet finalised or presented as committed.</w:t>
      </w:r>
    </w:p>
    <w:bookmarkEnd w:id="163"/>
    <w:bookmarkEnd w:id="164"/>
    <w:bookmarkStart w:id="165" w:name="Xbf22a909b866b64e3d8718750e6e43ccc3b4759"/>
    <w:p>
      <w:pPr>
        <w:pStyle w:val="Heading2"/>
      </w:pPr>
      <w:r>
        <w:t xml:space="preserve">G.4 Further roles beyond the job-creation target — not part of this plan</w:t>
      </w:r>
    </w:p>
    <w:p>
      <w:pPr>
        <w:pStyle w:val="FirstParagraph"/>
      </w:pPr>
      <w:r>
        <w:t xml:space="preserve">Any hiring beyond the 5-hire job-creation target above is a longer-term ambition, not a commitment. It would only happen if institutional revenue significantly exceeds even the upside case, or if a future funding round is raised — neither of which is assumed here.</w:t>
      </w:r>
    </w:p>
    <w:p>
      <w:r>
        <w:pict>
          <v:rect style="width:0;height:1.5pt" o:hralign="center" o:hrstd="t" o:hr="t"/>
        </w:pict>
      </w:r>
    </w:p>
    <w:bookmarkEnd w:id="165"/>
    <w:bookmarkStart w:id="166" w:name="X96ac1b9f44ee6ffd30e9cad1867b7bdce0e1d46"/>
    <w:p>
      <w:pPr>
        <w:pStyle w:val="Heading2"/>
      </w:pPr>
      <w:r>
        <w:t xml:space="preserve">G.5 Diversity, equality, and inclusion commitments</w:t>
      </w:r>
    </w:p>
    <w:p>
      <w:pPr>
        <w:pStyle w:val="FirstParagraph"/>
      </w:pPr>
      <w:r>
        <w:t xml:space="preserve">Even at this small scale, DEQUAD commits to:</w:t>
      </w:r>
    </w:p>
    <w:p>
      <w:pPr>
        <w:pStyle w:val="Compact"/>
        <w:numPr>
          <w:ilvl w:val="0"/>
          <w:numId w:val="1038"/>
        </w:numPr>
      </w:pPr>
      <w:r>
        <w:rPr>
          <w:b/>
          <w:bCs/>
        </w:rPr>
        <w:t xml:space="preserve">Open advertising</w:t>
      </w:r>
      <w:r>
        <w:t xml:space="preserve"> </w:t>
      </w:r>
      <w:r>
        <w:t xml:space="preserve">for each Y3 hire on at least two channels for at least 14 days before any offer.</w:t>
      </w:r>
    </w:p>
    <w:p>
      <w:pPr>
        <w:pStyle w:val="Compact"/>
        <w:numPr>
          <w:ilvl w:val="0"/>
          <w:numId w:val="1038"/>
        </w:numPr>
      </w:pPr>
      <w:r>
        <w:rPr>
          <w:b/>
          <w:bCs/>
        </w:rPr>
        <w:t xml:space="preserve">Blind shortlisting</w:t>
      </w:r>
      <w:r>
        <w:t xml:space="preserve"> </w:t>
      </w:r>
      <w:r>
        <w:t xml:space="preserve">at CV-screening stage (name, university, address removed).</w:t>
      </w:r>
    </w:p>
    <w:p>
      <w:pPr>
        <w:pStyle w:val="Compact"/>
        <w:numPr>
          <w:ilvl w:val="0"/>
          <w:numId w:val="1038"/>
        </w:numPr>
      </w:pPr>
      <w:r>
        <w:rPr>
          <w:b/>
          <w:bCs/>
        </w:rPr>
        <w:t xml:space="preserve">Structured interview rubric.</w:t>
      </w:r>
    </w:p>
    <w:p>
      <w:pPr>
        <w:pStyle w:val="Compact"/>
        <w:numPr>
          <w:ilvl w:val="0"/>
          <w:numId w:val="1038"/>
        </w:numPr>
      </w:pPr>
      <w:r>
        <w:rPr>
          <w:b/>
          <w:bCs/>
        </w:rPr>
        <w:t xml:space="preserve">Pay-band transparency</w:t>
      </w:r>
      <w:r>
        <w:t xml:space="preserve"> </w:t>
      </w:r>
      <w:r>
        <w:t xml:space="preserve">— salary published in the job advert.</w:t>
      </w:r>
    </w:p>
    <w:p>
      <w:pPr>
        <w:pStyle w:val="Compact"/>
        <w:numPr>
          <w:ilvl w:val="0"/>
          <w:numId w:val="1038"/>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6"/>
    <w:bookmarkEnd w:id="167"/>
    <w:bookmarkStart w:id="177"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8"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8"/>
    <w:bookmarkStart w:id="169"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9"/>
    <w:bookmarkStart w:id="170"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9"/>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9"/>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9"/>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70"/>
    <w:bookmarkStart w:id="171"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71"/>
    <w:bookmarkStart w:id="172"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£2.00 per enrolled student per annum</w:t>
      </w:r>
      <w:r>
        <w:t xml:space="preserve"> </w:t>
      </w:r>
      <w:r>
        <w:t xml:space="preserve">discussed with the DEQUAD team is within the indicative range we have allocated for digital-wellbeing tooling in the 2026/27 budget cycle.</w:t>
      </w:r>
    </w:p>
    <w:bookmarkEnd w:id="172"/>
    <w:bookmarkStart w:id="173"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73"/>
    <w:bookmarkStart w:id="174"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74"/>
    <w:bookmarkStart w:id="175"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75"/>
    <w:bookmarkStart w:id="176"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40"/>
        </w:numPr>
      </w:pPr>
      <w:r>
        <w:t xml:space="preserve">Verbal-interest confirmations via the named contact’s professional email signature</w:t>
      </w:r>
    </w:p>
    <w:p>
      <w:pPr>
        <w:pStyle w:val="Compact"/>
        <w:numPr>
          <w:ilvl w:val="0"/>
          <w:numId w:val="1040"/>
        </w:numPr>
      </w:pPr>
      <w:r>
        <w:t xml:space="preserve">Meeting notes from any in-person or video discussions</w:t>
      </w:r>
    </w:p>
    <w:p>
      <w:pPr>
        <w:pStyle w:val="Compact"/>
        <w:numPr>
          <w:ilvl w:val="0"/>
          <w:numId w:val="1040"/>
        </w:numPr>
      </w:pPr>
      <w:r>
        <w:t xml:space="preserve">Anonymised LinkedIn message chains where data-protection rules permit</w:t>
      </w:r>
    </w:p>
    <w:p>
      <w:pPr>
        <w:pStyle w:val="Compact"/>
        <w:numPr>
          <w:ilvl w:val="0"/>
          <w:numId w:val="1040"/>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6"/>
    <w:bookmarkEnd w:id="177"/>
    <w:bookmarkStart w:id="187"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8"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8"/>
    <w:bookmarkStart w:id="179"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9"/>
    <w:bookmarkStart w:id="180"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80"/>
    <w:bookmarkStart w:id="181"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81"/>
    <w:bookmarkStart w:id="182"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1"/>
        </w:numPr>
      </w:pPr>
      <w:r>
        <w:t xml:space="preserve">A small number of UK undergraduate students begin their first year aged 17 (typically birthday-rule edge cases).</w:t>
      </w:r>
    </w:p>
    <w:p>
      <w:pPr>
        <w:pStyle w:val="Compact"/>
        <w:numPr>
          <w:ilvl w:val="0"/>
          <w:numId w:val="1041"/>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82"/>
    <w:bookmarkStart w:id="183"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83"/>
    <w:bookmarkStart w:id="184"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84"/>
    <w:bookmarkStart w:id="185"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2"/>
        </w:numPr>
      </w:pPr>
      <w:r>
        <w:t xml:space="preserve">Confirmation of DEQUAD’s categorisation under the OSA;</w:t>
      </w:r>
    </w:p>
    <w:p>
      <w:pPr>
        <w:pStyle w:val="Compact"/>
        <w:numPr>
          <w:ilvl w:val="0"/>
          <w:numId w:val="1042"/>
        </w:numPr>
      </w:pPr>
      <w:r>
        <w:t xml:space="preserve">Sufficiency of the Illegal Content and Children’s Risk Assessments;</w:t>
      </w:r>
    </w:p>
    <w:p>
      <w:pPr>
        <w:pStyle w:val="Compact"/>
        <w:numPr>
          <w:ilvl w:val="0"/>
          <w:numId w:val="1042"/>
        </w:numPr>
      </w:pPr>
      <w:r>
        <w:t xml:space="preserve">Sufficiency of the content-reporting and complaints procedures;</w:t>
      </w:r>
    </w:p>
    <w:p>
      <w:pPr>
        <w:pStyle w:val="Compact"/>
        <w:numPr>
          <w:ilvl w:val="0"/>
          <w:numId w:val="1042"/>
        </w:numPr>
      </w:pPr>
      <w:r>
        <w:t xml:space="preserve">Adequacy of record-keeping;</w:t>
      </w:r>
    </w:p>
    <w:p>
      <w:pPr>
        <w:pStyle w:val="Compact"/>
        <w:numPr>
          <w:ilvl w:val="0"/>
          <w:numId w:val="1042"/>
        </w:numPr>
      </w:pPr>
      <w:r>
        <w:t xml:space="preserve">Risk register for foreseeable Ofcom enforcement;</w:t>
      </w:r>
    </w:p>
    <w:p>
      <w:pPr>
        <w:pStyle w:val="Compact"/>
        <w:numPr>
          <w:ilvl w:val="0"/>
          <w:numId w:val="1042"/>
        </w:numPr>
      </w:pPr>
      <w:r>
        <w:t xml:space="preserve">Boilerplate Terms of Service and Acceptable Use Policy review;</w:t>
      </w:r>
    </w:p>
    <w:p>
      <w:pPr>
        <w:pStyle w:val="Compact"/>
        <w:numPr>
          <w:ilvl w:val="0"/>
          <w:numId w:val="1042"/>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This exceeds the £4,500 NatWest in-kind legal allocation (Business Plan §10.3) and is not separately budgeted in the Y1 cash P&amp;L (Appendix F, where Y1 legal &amp; accountancy is £300, out-of-programme only). The founders will either scope a narrower opinion within the NatWest in-kind panel’s capacity, or fund the shortfall from founder cash reserves or defer to Y2 once revenue supports it — this is not yet a fully funded commitment.</w:t>
      </w:r>
    </w:p>
    <w:p>
      <w:r>
        <w:pict>
          <v:rect style="width:0;height:1.5pt" o:hralign="center" o:hrstd="t" o:hr="t"/>
        </w:pict>
      </w:r>
    </w:p>
    <w:bookmarkEnd w:id="185"/>
    <w:bookmarkStart w:id="186"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6"/>
    <w:bookmarkEnd w:id="187"/>
    <w:bookmarkStart w:id="195"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8"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8"/>
    <w:bookmarkStart w:id="189"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9"/>
    <w:bookmarkStart w:id="190"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90"/>
    <w:bookmarkStart w:id="191"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(from Q2 Year 2) by CREST-approved firm</w:t>
            </w:r>
          </w:p>
        </w:tc>
        <w:tc>
          <w:tcPr/>
          <w:p>
            <w:pPr>
              <w:pStyle w:val="Compact"/>
            </w:pPr>
            <w:r>
              <w:t xml:space="preserve">Cyber Essentials Plus requirement</w:t>
            </w:r>
          </w:p>
        </w:tc>
      </w:tr>
    </w:tbl>
    <w:bookmarkEnd w:id="191"/>
    <w:bookmarkStart w:id="192"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92"/>
    <w:bookmarkStart w:id="193"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93"/>
    <w:bookmarkStart w:id="194"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94"/>
    <w:bookmarkEnd w:id="195"/>
    <w:bookmarkStart w:id="200"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6"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6"/>
    <w:bookmarkStart w:id="197"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7"/>
    <w:bookmarkStart w:id="198"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8"/>
    <w:bookmarkStart w:id="199"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9"/>
    <w:bookmarkEnd w:id="200"/>
    <w:bookmarkStart w:id="207" w:name="dequad-risk-register"/>
    <w:p>
      <w:pPr>
        <w:pStyle w:val="Heading1"/>
      </w:pPr>
      <w:r>
        <w:t xml:space="preserve">DEQUAD — Risk Register</w:t>
      </w:r>
    </w:p>
    <w:bookmarkStart w:id="201"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201"/>
    <w:bookmarkStart w:id="202"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3"/>
        </w:numPr>
      </w:pPr>
      <w:r>
        <w:rPr>
          <w:b/>
          <w:bCs/>
        </w:rPr>
        <w:t xml:space="preserve">🔴 16–25</w:t>
      </w:r>
      <w:r>
        <w:t xml:space="preserve"> </w:t>
      </w:r>
      <w:r>
        <w:t xml:space="preserve">— actively managed each week; board-visible.</w:t>
      </w:r>
    </w:p>
    <w:p>
      <w:pPr>
        <w:pStyle w:val="Compact"/>
        <w:numPr>
          <w:ilvl w:val="0"/>
          <w:numId w:val="1043"/>
        </w:numPr>
      </w:pPr>
      <w:r>
        <w:rPr>
          <w:b/>
          <w:bCs/>
        </w:rPr>
        <w:t xml:space="preserve">🟠 9–15</w:t>
      </w:r>
      <w:r>
        <w:t xml:space="preserve"> </w:t>
      </w:r>
      <w:r>
        <w:t xml:space="preserve">— actively managed each month.</w:t>
      </w:r>
    </w:p>
    <w:p>
      <w:pPr>
        <w:pStyle w:val="Compact"/>
        <w:numPr>
          <w:ilvl w:val="0"/>
          <w:numId w:val="1043"/>
        </w:numPr>
      </w:pPr>
      <w:r>
        <w:rPr>
          <w:b/>
          <w:bCs/>
        </w:rPr>
        <w:t xml:space="preserve">🟡 4–8</w:t>
      </w:r>
      <w:r>
        <w:t xml:space="preserve"> </w:t>
      </w:r>
      <w:r>
        <w:t xml:space="preserve">— managed quarterly.</w:t>
      </w:r>
    </w:p>
    <w:p>
      <w:pPr>
        <w:pStyle w:val="Compact"/>
        <w:numPr>
          <w:ilvl w:val="0"/>
          <w:numId w:val="1043"/>
        </w:numPr>
      </w:pPr>
      <w:r>
        <w:rPr>
          <w:b/>
          <w:bCs/>
        </w:rPr>
        <w:t xml:space="preserve">🟢 1–3</w:t>
      </w:r>
      <w:r>
        <w:t xml:space="preserve"> </w:t>
      </w:r>
      <w:r>
        <w:t xml:space="preserve">— accepted; reviewed annually.</w:t>
      </w:r>
    </w:p>
    <w:p>
      <w:r>
        <w:pict>
          <v:rect style="width:0;height:1.5pt" o:hralign="center" o:hrstd="t" o:hr="t"/>
        </w:pict>
      </w:r>
    </w:p>
    <w:bookmarkEnd w:id="202"/>
    <w:bookmarkStart w:id="203"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all hires within this plan (up to 5, per the job-creation target — Appendix G) are UK-only, settled workers; a sponsor licence would only become relevant if headcount grows beyond this plan’s scope, which is not assumed here.</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203"/>
    <w:bookmarkStart w:id="204"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204"/>
    <w:bookmarkStart w:id="205"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4"/>
        </w:numPr>
      </w:pPr>
      <w:r>
        <w:rPr>
          <w:b/>
          <w:bCs/>
        </w:rPr>
        <w:t xml:space="preserve">R-A1</w:t>
      </w:r>
      <w:r>
        <w:t xml:space="preserve"> </w:t>
      </w:r>
      <w:r>
        <w:t xml:space="preserve">Foreign-exchange exposure on USD-denominated cloud bills — accepted: &lt; 10% of COGS.</w:t>
      </w:r>
    </w:p>
    <w:p>
      <w:pPr>
        <w:pStyle w:val="Compact"/>
        <w:numPr>
          <w:ilvl w:val="0"/>
          <w:numId w:val="1044"/>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4"/>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205"/>
    <w:bookmarkStart w:id="206" w:name="governance"/>
    <w:p>
      <w:pPr>
        <w:pStyle w:val="Heading2"/>
      </w:pPr>
      <w:r>
        <w:t xml:space="preserve">Governance</w:t>
      </w:r>
    </w:p>
    <w:p>
      <w:pPr>
        <w:pStyle w:val="Compact"/>
        <w:numPr>
          <w:ilvl w:val="0"/>
          <w:numId w:val="1045"/>
        </w:numPr>
      </w:pPr>
      <w:r>
        <w:rPr>
          <w:b/>
          <w:bCs/>
        </w:rPr>
        <w:t xml:space="preserve">Monthly:</w:t>
      </w:r>
      <w:r>
        <w:t xml:space="preserve"> </w:t>
      </w:r>
      <w:r>
        <w:t xml:space="preserve">Founders review the full register; update RAG scores; surface new risks; close mitigated risks.</w:t>
      </w:r>
    </w:p>
    <w:p>
      <w:pPr>
        <w:pStyle w:val="Compact"/>
        <w:numPr>
          <w:ilvl w:val="0"/>
          <w:numId w:val="1045"/>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5"/>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6"/>
    <w:bookmarkEnd w:id="207"/>
    <w:bookmarkStart w:id="246" w:name="dequad-decision-maker-brief"/>
    <w:p>
      <w:pPr>
        <w:pStyle w:val="Heading1"/>
      </w:pPr>
      <w:r>
        <w:t xml:space="preserve">DEQUAD — Decision-Maker Brief</w:t>
      </w:r>
    </w:p>
    <w:bookmarkStart w:id="208"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8"/>
    <w:bookmarkStart w:id="209"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Base case: 2 (unpaid founders) → 2 (unpaid founders) → 3 people / c.2.5 FTE, entirely self-funded.</w:t>
            </w:r>
            <w:r>
              <w:t xml:space="preserve"> </w:t>
            </w:r>
            <w:r>
              <w:rPr>
                <w:b/>
                <w:bCs/>
              </w:rPr>
              <w:t xml:space="preserve">Job-creation target:</w:t>
            </w:r>
            <w:r>
              <w:t xml:space="preserve"> </w:t>
            </w:r>
            <w:r>
              <w:t xml:space="preserve">7 people (5 full-time hires, avg. £25,000/yr, each 12+ months) once revenue scales after pilot conversion — meets the Innovator Founder settlement job-creation criterion</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9"/>
    <w:bookmarkStart w:id="210"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6"/>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6"/>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6"/>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7"/>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7"/>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7"/>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7"/>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10"/>
    <w:bookmarkStart w:id="214" w:name="X037fec80d67edb3c7919c0217ff6ab920ad9f12"/>
    <w:p>
      <w:pPr>
        <w:pStyle w:val="Heading2"/>
      </w:pPr>
      <w:r>
        <w:t xml:space="preserve">Page 2 — How we meet the three Home Office criteria</w:t>
      </w:r>
    </w:p>
    <w:bookmarkStart w:id="211"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8"/>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8"/>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8"/>
        </w:numPr>
      </w:pPr>
      <w:r>
        <w:t xml:space="preserve">continuous mood telemetry tied to engagement,</w:t>
      </w:r>
    </w:p>
    <w:p>
      <w:pPr>
        <w:pStyle w:val="Compact"/>
        <w:numPr>
          <w:ilvl w:val="0"/>
          <w:numId w:val="1048"/>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11"/>
    <w:bookmarkStart w:id="212" w:name="viability-1"/>
    <w:p>
      <w:pPr>
        <w:pStyle w:val="Heading3"/>
      </w:pPr>
      <w:r>
        <w:t xml:space="preserve">Viability ✅</w:t>
      </w:r>
    </w:p>
    <w:p>
      <w:pPr>
        <w:pStyle w:val="Compact"/>
        <w:numPr>
          <w:ilvl w:val="0"/>
          <w:numId w:val="1049"/>
        </w:numPr>
      </w:pPr>
      <w:r>
        <w:t xml:space="preserve">Production MVP is live, in beta with real students.</w:t>
      </w:r>
    </w:p>
    <w:p>
      <w:pPr>
        <w:pStyle w:val="Compact"/>
        <w:numPr>
          <w:ilvl w:val="0"/>
          <w:numId w:val="1049"/>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9"/>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9"/>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9"/>
        </w:numPr>
      </w:pPr>
      <w:r>
        <w:t xml:space="preserve">B2B SaaS revenue model is proven in the adjacent market — Togetherall serves 60+ UK universities at ~£40k/year.</w:t>
      </w:r>
    </w:p>
    <w:bookmarkEnd w:id="212"/>
    <w:bookmarkStart w:id="213" w:name="scalability-1"/>
    <w:p>
      <w:pPr>
        <w:pStyle w:val="Heading3"/>
      </w:pPr>
      <w:r>
        <w:t xml:space="preserve">Scalability ✅</w:t>
      </w:r>
    </w:p>
    <w:p>
      <w:pPr>
        <w:pStyle w:val="Compact"/>
        <w:numPr>
          <w:ilvl w:val="0"/>
          <w:numId w:val="1050"/>
        </w:numPr>
      </w:pPr>
      <w:r>
        <w:t xml:space="preserve">Software-only marginal cost → 87% gross margin by Y3.</w:t>
      </w:r>
    </w:p>
    <w:p>
      <w:pPr>
        <w:pStyle w:val="Compact"/>
        <w:numPr>
          <w:ilvl w:val="0"/>
          <w:numId w:val="1050"/>
        </w:numPr>
      </w:pPr>
      <w:r>
        <w:t xml:space="preserve">Within-institution network effects accelerate intra-uni adoption.</w:t>
      </w:r>
    </w:p>
    <w:p>
      <w:pPr>
        <w:pStyle w:val="Compact"/>
        <w:numPr>
          <w:ilvl w:val="0"/>
          <w:numId w:val="1050"/>
        </w:numPr>
      </w:pPr>
      <w:r>
        <w:t xml:space="preserve">6-week implementation per new university enables scale to 20+ institutions by end Y3 (out of 285 total UK).</w:t>
      </w:r>
    </w:p>
    <w:p>
      <w:pPr>
        <w:pStyle w:val="Compact"/>
        <w:numPr>
          <w:ilvl w:val="0"/>
          <w:numId w:val="1050"/>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13"/>
    <w:bookmarkEnd w:id="214"/>
    <w:bookmarkStart w:id="217" w:name="page-3-product"/>
    <w:p>
      <w:pPr>
        <w:pStyle w:val="Heading2"/>
      </w:pPr>
      <w:r>
        <w:t xml:space="preserve">Page 3 — Product</w:t>
      </w:r>
    </w:p>
    <w:bookmarkStart w:id="215"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15"/>
    <w:bookmarkStart w:id="216" w:name="tech-stack-already-running"/>
    <w:p>
      <w:pPr>
        <w:pStyle w:val="Heading3"/>
      </w:pPr>
      <w:r>
        <w:t xml:space="preserve">Tech stack (already running)</w:t>
      </w:r>
    </w:p>
    <w:p>
      <w:pPr>
        <w:pStyle w:val="Compact"/>
        <w:numPr>
          <w:ilvl w:val="0"/>
          <w:numId w:val="1051"/>
        </w:numPr>
      </w:pPr>
      <w:r>
        <w:rPr>
          <w:b/>
          <w:bCs/>
        </w:rPr>
        <w:t xml:space="preserve">Frontend:</w:t>
      </w:r>
      <w:r>
        <w:t xml:space="preserve"> </w:t>
      </w:r>
      <w:r>
        <w:t xml:space="preserve">Expo / React Native (iOS, Android, web at dequad.co.uk) — universal codebase.</w:t>
      </w:r>
    </w:p>
    <w:p>
      <w:pPr>
        <w:pStyle w:val="Compact"/>
        <w:numPr>
          <w:ilvl w:val="0"/>
          <w:numId w:val="1051"/>
        </w:numPr>
      </w:pPr>
      <w:r>
        <w:rPr>
          <w:b/>
          <w:bCs/>
        </w:rPr>
        <w:t xml:space="preserve">Backend:</w:t>
      </w:r>
      <w:r>
        <w:t xml:space="preserve"> </w:t>
      </w:r>
      <w:r>
        <w:t xml:space="preserve">FastAPI (Python), MongoDB (Motor), real-time WebSockets.</w:t>
      </w:r>
    </w:p>
    <w:p>
      <w:pPr>
        <w:pStyle w:val="Compact"/>
        <w:numPr>
          <w:ilvl w:val="0"/>
          <w:numId w:val="1051"/>
        </w:numPr>
      </w:pPr>
      <w:r>
        <w:rPr>
          <w:b/>
          <w:bCs/>
        </w:rPr>
        <w:t xml:space="preserve">AI:</w:t>
      </w:r>
      <w:r>
        <w:t xml:space="preserve"> </w:t>
      </w:r>
      <w:r>
        <w:t xml:space="preserve">OpenAI / Anthropic LLMs via Emergent integrations (text classification, safeguarding triage).</w:t>
      </w:r>
    </w:p>
    <w:p>
      <w:pPr>
        <w:pStyle w:val="Compact"/>
        <w:numPr>
          <w:ilvl w:val="0"/>
          <w:numId w:val="1051"/>
        </w:numPr>
      </w:pPr>
      <w:r>
        <w:rPr>
          <w:b/>
          <w:bCs/>
        </w:rPr>
        <w:t xml:space="preserve">Payments:</w:t>
      </w:r>
      <w:r>
        <w:t xml:space="preserve"> </w:t>
      </w:r>
      <w:r>
        <w:t xml:space="preserve">Stripe (B2C subs + B2B invoicing).</w:t>
      </w:r>
    </w:p>
    <w:p>
      <w:pPr>
        <w:pStyle w:val="Compact"/>
        <w:numPr>
          <w:ilvl w:val="0"/>
          <w:numId w:val="1051"/>
        </w:numPr>
      </w:pPr>
      <w:r>
        <w:rPr>
          <w:b/>
          <w:bCs/>
        </w:rPr>
        <w:t xml:space="preserve">Infra:</w:t>
      </w:r>
      <w:r>
        <w:t xml:space="preserve"> </w:t>
      </w:r>
      <w:r>
        <w:t xml:space="preserve">Cloudflare CDN + Render Pro; Online Safety Act-compliant reporting flows.</w:t>
      </w:r>
    </w:p>
    <w:p>
      <w:pPr>
        <w:pStyle w:val="Compact"/>
        <w:numPr>
          <w:ilvl w:val="0"/>
          <w:numId w:val="1051"/>
        </w:numPr>
      </w:pPr>
      <w:r>
        <w:rPr>
          <w:b/>
          <w:bCs/>
        </w:rPr>
        <w:t xml:space="preserve">Auth:</w:t>
      </w:r>
      <w:r>
        <w:t xml:space="preserve"> </w:t>
      </w:r>
      <w:r>
        <w:t xml:space="preserve">Custom email/password + Google OAuth + admin portal (dual auth).</w:t>
      </w:r>
    </w:p>
    <w:p>
      <w:r>
        <w:pict>
          <v:rect style="width:0;height:1.5pt" o:hralign="center" o:hrstd="t" o:hr="t"/>
        </w:pict>
      </w:r>
    </w:p>
    <w:bookmarkEnd w:id="216"/>
    <w:bookmarkEnd w:id="217"/>
    <w:bookmarkStart w:id="218"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8"/>
    <w:bookmarkStart w:id="221" w:name="page-5-market"/>
    <w:p>
      <w:pPr>
        <w:pStyle w:val="Heading2"/>
      </w:pPr>
      <w:r>
        <w:t xml:space="preserve">Page 5 — Market</w:t>
      </w:r>
    </w:p>
    <w:bookmarkStart w:id="219"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9"/>
    <w:bookmarkStart w:id="220" w:name="demand-signals"/>
    <w:p>
      <w:pPr>
        <w:pStyle w:val="Heading3"/>
      </w:pPr>
      <w:r>
        <w:t xml:space="preserve">Demand signals</w:t>
      </w:r>
    </w:p>
    <w:p>
      <w:pPr>
        <w:pStyle w:val="Compact"/>
        <w:numPr>
          <w:ilvl w:val="0"/>
          <w:numId w:val="1052"/>
        </w:numPr>
      </w:pPr>
      <w:r>
        <w:rPr>
          <w:b/>
          <w:bCs/>
        </w:rPr>
        <w:t xml:space="preserve">2.86m UK higher-ed students</w:t>
      </w:r>
      <w:r>
        <w:t xml:space="preserve"> </w:t>
      </w:r>
      <w:r>
        <w:t xml:space="preserve">(HESA 2023/24) — addressable consumer base.</w:t>
      </w:r>
    </w:p>
    <w:p>
      <w:pPr>
        <w:pStyle w:val="Compact"/>
        <w:numPr>
          <w:ilvl w:val="0"/>
          <w:numId w:val="1052"/>
        </w:numPr>
      </w:pPr>
      <w:r>
        <w:rPr>
          <w:b/>
          <w:bCs/>
        </w:rPr>
        <w:t xml:space="preserve">285 UK higher-ed institutions</w:t>
      </w:r>
      <w:r>
        <w:t xml:space="preserve"> </w:t>
      </w:r>
      <w:r>
        <w:t xml:space="preserve">— addressable B2B base.</w:t>
      </w:r>
    </w:p>
    <w:p>
      <w:pPr>
        <w:pStyle w:val="Compact"/>
        <w:numPr>
          <w:ilvl w:val="0"/>
          <w:numId w:val="1052"/>
        </w:numPr>
      </w:pPr>
      <w:r>
        <w:rPr>
          <w:b/>
          <w:bCs/>
        </w:rPr>
        <w:t xml:space="preserve">54% of UK undergrads</w:t>
      </w:r>
      <w:r>
        <w:t xml:space="preserve"> </w:t>
      </w:r>
      <w:r>
        <w:t xml:space="preserve">report frequent loneliness (ONS 2023).</w:t>
      </w:r>
    </w:p>
    <w:p>
      <w:pPr>
        <w:pStyle w:val="Compact"/>
        <w:numPr>
          <w:ilvl w:val="0"/>
          <w:numId w:val="1052"/>
        </w:numPr>
      </w:pPr>
      <w:r>
        <w:rPr>
          <w:b/>
          <w:bCs/>
        </w:rPr>
        <w:t xml:space="preserve">34% of UK undergrads</w:t>
      </w:r>
      <w:r>
        <w:t xml:space="preserve"> </w:t>
      </w:r>
      <w:r>
        <w:t xml:space="preserve">experience a clinically-significant MH issue (Student Minds 2024).</w:t>
      </w:r>
    </w:p>
    <w:p>
      <w:pPr>
        <w:pStyle w:val="Compact"/>
        <w:numPr>
          <w:ilvl w:val="0"/>
          <w:numId w:val="1052"/>
        </w:numPr>
      </w:pPr>
      <w:r>
        <w:rPr>
          <w:b/>
          <w:bCs/>
        </w:rPr>
        <w:t xml:space="preserve">6.1 weeks</w:t>
      </w:r>
      <w:r>
        <w:t xml:space="preserve"> </w:t>
      </w:r>
      <w:r>
        <w:t xml:space="preserve">average wait for a university counsellor — appetite for prevention.</w:t>
      </w:r>
    </w:p>
    <w:p>
      <w:pPr>
        <w:pStyle w:val="Compact"/>
        <w:numPr>
          <w:ilvl w:val="0"/>
          <w:numId w:val="1052"/>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20"/>
    <w:bookmarkEnd w:id="221"/>
    <w:bookmarkStart w:id="225" w:name="page-6-go-to-market"/>
    <w:p>
      <w:pPr>
        <w:pStyle w:val="Heading2"/>
      </w:pPr>
      <w:r>
        <w:t xml:space="preserve">Page 6 — Go-to-market</w:t>
      </w:r>
    </w:p>
    <w:bookmarkStart w:id="222"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22"/>
    <w:bookmarkStart w:id="223" w:name="X1901e0f50e2152fe8a92858ad7726ca13bcd567"/>
    <w:p>
      <w:pPr>
        <w:pStyle w:val="Heading3"/>
      </w:pPr>
      <w:r>
        <w:t xml:space="preserve">B2B pilot conversations (early-stage, nothing signed)</w:t>
      </w:r>
    </w:p>
    <w:p>
      <w:pPr>
        <w:pStyle w:val="Compact"/>
        <w:numPr>
          <w:ilvl w:val="0"/>
          <w:numId w:val="1053"/>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3"/>
        </w:numPr>
      </w:pPr>
      <w:r>
        <w:rPr>
          <w:b/>
          <w:bCs/>
        </w:rPr>
        <w:t xml:space="preserve">Two further peer institutions</w:t>
      </w:r>
      <w:r>
        <w:t xml:space="preserve"> </w:t>
      </w:r>
      <w:r>
        <w:t xml:space="preserve">— early-stage pilot scoping (anonymised for now); equally unconfirmed.</w:t>
      </w:r>
    </w:p>
    <w:p>
      <w:pPr>
        <w:pStyle w:val="Compact"/>
        <w:numPr>
          <w:ilvl w:val="0"/>
          <w:numId w:val="1053"/>
        </w:numPr>
      </w:pPr>
      <w:r>
        <w:rPr>
          <w:b/>
          <w:bCs/>
        </w:rPr>
        <w:t xml:space="preserve">Beta cohort active</w:t>
      </w:r>
      <w:r>
        <w:t xml:space="preserve"> </w:t>
      </w:r>
      <w:r>
        <w:t xml:space="preserve">— the existing 80-person University of Bedfordshire beta cohort uses DEQUAD, independent of any formal pilot or contract.</w:t>
      </w:r>
    </w:p>
    <w:bookmarkEnd w:id="223"/>
    <w:bookmarkStart w:id="224"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24"/>
    <w:bookmarkEnd w:id="225"/>
    <w:bookmarkStart w:id="230" w:name="page-7-founders"/>
    <w:p>
      <w:pPr>
        <w:pStyle w:val="Heading2"/>
      </w:pPr>
      <w:r>
        <w:t xml:space="preserve">Page 7 — Founders</w:t>
      </w:r>
    </w:p>
    <w:bookmarkStart w:id="226" w:name="X13b57b5dce5999842938ec26fe799383bdda8d8"/>
    <w:p>
      <w:pPr>
        <w:pStyle w:val="Heading3"/>
      </w:pPr>
      <w:r>
        <w:t xml:space="preserve">Yusuf Quadri — CEO / Product &amp; Safeguarding Lead</w:t>
      </w:r>
    </w:p>
    <w:p>
      <w:pPr>
        <w:pStyle w:val="Compact"/>
        <w:numPr>
          <w:ilvl w:val="0"/>
          <w:numId w:val="1054"/>
        </w:numPr>
      </w:pPr>
      <w:r>
        <w:t xml:space="preserve">UK-resident, full-time on DEQUAD.</w:t>
      </w:r>
    </w:p>
    <w:p>
      <w:pPr>
        <w:pStyle w:val="Compact"/>
        <w:numPr>
          <w:ilvl w:val="0"/>
          <w:numId w:val="1054"/>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4"/>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4"/>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4"/>
        </w:numPr>
      </w:pPr>
      <w:r>
        <w:t xml:space="preserve">Built and shipped the entire MVP at dequad.co.uk.</w:t>
      </w:r>
    </w:p>
    <w:p>
      <w:pPr>
        <w:pStyle w:val="Compact"/>
        <w:numPr>
          <w:ilvl w:val="0"/>
          <w:numId w:val="1054"/>
        </w:numPr>
      </w:pPr>
      <w:r>
        <w:t xml:space="preserve">Owns the safeguarding policy (Appendix E — DPIA, Appendix I — OSA-2023 compliance).</w:t>
      </w:r>
    </w:p>
    <w:p>
      <w:pPr>
        <w:pStyle w:val="Compact"/>
        <w:numPr>
          <w:ilvl w:val="0"/>
          <w:numId w:val="1054"/>
        </w:numPr>
      </w:pPr>
      <w:r>
        <w:t xml:space="preserve">Owns university partnerships and the NatWest Accelerator relationship.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bookmarkEnd w:id="226"/>
    <w:bookmarkStart w:id="227" w:name="X92805c7f5acbb7d3e614a242904e8db407630c7"/>
    <w:p>
      <w:pPr>
        <w:pStyle w:val="Heading3"/>
      </w:pPr>
      <w:r>
        <w:t xml:space="preserve">Yusuff Adeagbo — Co-Founder / CTO / Engineering &amp; IT Lead</w:t>
      </w:r>
    </w:p>
    <w:p>
      <w:pPr>
        <w:pStyle w:val="Compact"/>
        <w:numPr>
          <w:ilvl w:val="0"/>
          <w:numId w:val="1055"/>
        </w:numPr>
      </w:pPr>
      <w:r>
        <w:t xml:space="preserve">UK-resident, full-time on DEQUAD.</w:t>
      </w:r>
    </w:p>
    <w:p>
      <w:pPr>
        <w:pStyle w:val="Compact"/>
        <w:numPr>
          <w:ilvl w:val="0"/>
          <w:numId w:val="1055"/>
        </w:numPr>
      </w:pPr>
      <w:r>
        <w:rPr>
          <w:b/>
          <w:bCs/>
        </w:rPr>
        <w:t xml:space="preserve">MSc Information Technology with Project Management — University of the West of Scotland</w:t>
      </w:r>
      <w:r>
        <w:t xml:space="preserve">.</w:t>
      </w:r>
    </w:p>
    <w:p>
      <w:pPr>
        <w:pStyle w:val="Compact"/>
        <w:numPr>
          <w:ilvl w:val="0"/>
          <w:numId w:val="1055"/>
        </w:numPr>
      </w:pPr>
      <w:r>
        <w:rPr>
          <w:b/>
          <w:bCs/>
        </w:rPr>
        <w:t xml:space="preserve">Higher National Diploma in Computer Science</w:t>
      </w:r>
      <w:r>
        <w:t xml:space="preserve"> </w:t>
      </w:r>
      <w:r>
        <w:t xml:space="preserve">(prior).</w:t>
      </w:r>
    </w:p>
    <w:p>
      <w:pPr>
        <w:pStyle w:val="Compact"/>
        <w:numPr>
          <w:ilvl w:val="0"/>
          <w:numId w:val="1055"/>
        </w:numPr>
      </w:pPr>
      <w:r>
        <w:t xml:space="preserve">Multi-disciplinary skill set: full-stack engineering, IT support, UI/UX design, graphic design, digital marketing (e-commerce), IT business analysis.</w:t>
      </w:r>
    </w:p>
    <w:p>
      <w:pPr>
        <w:pStyle w:val="Compact"/>
        <w:numPr>
          <w:ilvl w:val="0"/>
          <w:numId w:val="1055"/>
        </w:numPr>
      </w:pPr>
      <w:r>
        <w:t xml:space="preserve">Will own the engineering hiring pipeline, infrastructure security, and the R&amp;D claim leadership.</w:t>
      </w:r>
    </w:p>
    <w:p>
      <w:pPr>
        <w:pStyle w:val="Compact"/>
        <w:numPr>
          <w:ilvl w:val="0"/>
          <w:numId w:val="1055"/>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5"/>
        </w:numPr>
      </w:pPr>
      <w:r>
        <w:t xml:space="preserve">Full CV at Appendix B-2 (</w:t>
      </w:r>
      <w:r>
        <w:rPr>
          <w:rStyle w:val="VerbatimChar"/>
        </w:rPr>
        <w:t xml:space="preserve">B_cofounder_cv.pdf</w:t>
      </w:r>
      <w:r>
        <w:t xml:space="preserve">).</w:t>
      </w:r>
    </w:p>
    <w:bookmarkEnd w:id="227"/>
    <w:bookmarkStart w:id="228" w:name="Xf62fb5c5d49ef0ced518868c8879558af755f79"/>
    <w:p>
      <w:pPr>
        <w:pStyle w:val="Heading3"/>
      </w:pPr>
      <w:r>
        <w:t xml:space="preserve">Wider founding team — joining at incorporation (EMI options, unpaid)</w:t>
      </w:r>
    </w:p>
    <w:p>
      <w:pPr>
        <w:pStyle w:val="Compact"/>
        <w:numPr>
          <w:ilvl w:val="0"/>
          <w:numId w:val="1056"/>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6"/>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6"/>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8"/>
    <w:bookmarkStart w:id="229" w:name="founder-compensation-under-this-plan"/>
    <w:p>
      <w:pPr>
        <w:pStyle w:val="Heading3"/>
      </w:pPr>
      <w:r>
        <w:t xml:space="preserve">Founder compensation under this plan</w:t>
      </w:r>
    </w:p>
    <w:p>
      <w:pPr>
        <w:pStyle w:val="Compact"/>
        <w:numPr>
          <w:ilvl w:val="0"/>
          <w:numId w:val="1057"/>
        </w:numPr>
      </w:pPr>
      <w:r>
        <w:t xml:space="preserve">£0 in Y1 and Y2 — both founders fund living costs from existing employment/freelance income.</w:t>
      </w:r>
    </w:p>
    <w:p>
      <w:pPr>
        <w:pStyle w:val="Compact"/>
        <w:numPr>
          <w:ilvl w:val="0"/>
          <w:numId w:val="1057"/>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7"/>
        </w:numPr>
      </w:pPr>
      <w:r>
        <w:t xml:space="preserve">Materially below market throughout — signals genuine founder commitment.</w:t>
      </w:r>
    </w:p>
    <w:p>
      <w:r>
        <w:pict>
          <v:rect style="width:0;height:1.5pt" o:hralign="center" o:hrstd="t" o:hr="t"/>
        </w:pict>
      </w:r>
    </w:p>
    <w:bookmarkEnd w:id="229"/>
    <w:bookmarkEnd w:id="230"/>
    <w:bookmarkStart w:id="231"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31"/>
    <w:bookmarkStart w:id="233" w:name="X0b1494f07e6ab934c51c63a3e928f5f39d8fe6b"/>
    <w:p>
      <w:pPr>
        <w:pStyle w:val="Heading2"/>
      </w:pPr>
      <w:r>
        <w:t xml:space="preserve">Page 9 — Year-1 cash flow (the critical view)</w:t>
      </w:r>
    </w:p>
    <w:bookmarkStart w:id="232"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(£1,035)</w:t>
            </w:r>
          </w:p>
        </w:tc>
        <w:tc>
          <w:tcPr/>
          <w:p>
            <w:pPr>
              <w:pStyle w:val="Compact"/>
              <w:jc w:val="right"/>
            </w:pPr>
            <w:r>
              <w:rPr>
                <w:b/>
                <w:bCs/>
              </w:rPr>
              <w:t xml:space="preserve">£4,965</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(£135)</w:t>
            </w:r>
          </w:p>
        </w:tc>
        <w:tc>
          <w:tcPr/>
          <w:p>
            <w:pPr>
              <w:pStyle w:val="Compact"/>
              <w:jc w:val="right"/>
            </w:pPr>
            <w:r>
              <w:rPr>
                <w:b/>
                <w:bCs/>
              </w:rPr>
              <w:t xml:space="preserve">£4,830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(£243)</w:t>
            </w:r>
          </w:p>
        </w:tc>
        <w:tc>
          <w:tcPr/>
          <w:p>
            <w:pPr>
              <w:pStyle w:val="Compact"/>
              <w:jc w:val="right"/>
            </w:pPr>
            <w:r>
              <w:rPr>
                <w:b/>
                <w:bCs/>
              </w:rPr>
              <w:t xml:space="preserve">£4,587</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(£283)</w:t>
            </w:r>
          </w:p>
        </w:tc>
        <w:tc>
          <w:tcPr/>
          <w:p>
            <w:pPr>
              <w:pStyle w:val="Compact"/>
              <w:jc w:val="right"/>
            </w:pPr>
            <w:r>
              <w:rPr>
                <w:b/>
                <w:bCs/>
              </w:rPr>
              <w:t xml:space="preserve">£4,304</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(£293)</w:t>
            </w:r>
          </w:p>
        </w:tc>
        <w:tc>
          <w:tcPr/>
          <w:p>
            <w:pPr>
              <w:pStyle w:val="Compact"/>
              <w:jc w:val="right"/>
            </w:pPr>
            <w:r>
              <w:rPr>
                <w:b/>
                <w:bCs/>
              </w:rPr>
              <w:t xml:space="preserve">£4,011</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(£303)</w:t>
            </w:r>
          </w:p>
        </w:tc>
        <w:tc>
          <w:tcPr/>
          <w:p>
            <w:pPr>
              <w:pStyle w:val="Compact"/>
              <w:jc w:val="right"/>
            </w:pPr>
            <w:r>
              <w:rPr>
                <w:b/>
                <w:bCs/>
              </w:rPr>
              <w:t xml:space="preserve">£3,708</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(£323)</w:t>
            </w:r>
          </w:p>
        </w:tc>
        <w:tc>
          <w:tcPr/>
          <w:p>
            <w:pPr>
              <w:pStyle w:val="Compact"/>
              <w:jc w:val="right"/>
            </w:pPr>
            <w:r>
              <w:rPr>
                <w:b/>
                <w:bCs/>
              </w:rPr>
              <w:t xml:space="preserve">£3,435</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(£333)</w:t>
            </w:r>
          </w:p>
        </w:tc>
        <w:tc>
          <w:tcPr/>
          <w:p>
            <w:pPr>
              <w:pStyle w:val="Compact"/>
              <w:jc w:val="right"/>
            </w:pPr>
            <w:r>
              <w:rPr>
                <w:b/>
                <w:bCs/>
              </w:rPr>
              <w:t xml:space="preserve">£3,172</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(£343)</w:t>
            </w:r>
          </w:p>
        </w:tc>
        <w:tc>
          <w:tcPr/>
          <w:p>
            <w:pPr>
              <w:pStyle w:val="Compact"/>
              <w:jc w:val="right"/>
            </w:pPr>
            <w:r>
              <w:rPr>
                <w:b/>
                <w:bCs/>
              </w:rPr>
              <w:t xml:space="preserve">£2,919</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(£353)</w:t>
            </w:r>
          </w:p>
        </w:tc>
        <w:tc>
          <w:tcPr/>
          <w:p>
            <w:pPr>
              <w:pStyle w:val="Compact"/>
              <w:jc w:val="right"/>
            </w:pPr>
            <w:r>
              <w:rPr>
                <w:b/>
                <w:bCs/>
              </w:rPr>
              <w:t xml:space="preserve">£2,676</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(£363)</w:t>
            </w:r>
          </w:p>
        </w:tc>
        <w:tc>
          <w:tcPr/>
          <w:p>
            <w:pPr>
              <w:pStyle w:val="Compact"/>
              <w:jc w:val="right"/>
            </w:pPr>
            <w:r>
              <w:rPr>
                <w:b/>
                <w:bCs/>
              </w:rPr>
              <w:t xml:space="preserve">£2,443</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(£673)</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w:t>
      </w:r>
    </w:p>
    <w:p>
      <w:r>
        <w:pict>
          <v:rect style="width:0;height:1.5pt" o:hralign="center" o:hrstd="t" o:hr="t"/>
        </w:pict>
      </w:r>
    </w:p>
    <w:bookmarkEnd w:id="232"/>
    <w:bookmarkEnd w:id="233"/>
    <w:bookmarkStart w:id="234"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34"/>
    <w:bookmarkStart w:id="237" w:name="page-11-job-creation-and-economic-impact"/>
    <w:p>
      <w:pPr>
        <w:pStyle w:val="Heading2"/>
      </w:pPr>
      <w:r>
        <w:t xml:space="preserve">Page 11 — Job creation and economic impact</w:t>
      </w:r>
    </w:p>
    <w:bookmarkStart w:id="23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Conservative base case — all self-funded from revenue, no external funding round assumed.</w:t>
      </w:r>
    </w:p>
    <w:p>
      <w:pPr>
        <w:pStyle w:val="BodyText"/>
      </w:pPr>
      <w:r>
        <w:rPr>
          <w:b/>
          <w:bCs/>
        </w:rPr>
        <w:t xml:space="preserve">Job-creation target (upside case):</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w:t>
      </w:r>
      <w:r>
        <w:t xml:space="preserve">— each of the 5 hires sustained for at least 12 months at an average salary of £25,000/year, funded entirely from revenue generated after piloting, meeting the Innovator Founder settlement job-creation criterion.</w:t>
      </w:r>
    </w:p>
    <w:bookmarkEnd w:id="235"/>
    <w:bookmarkStart w:id="236" w:name="beyond-direct-jobs"/>
    <w:p>
      <w:pPr>
        <w:pStyle w:val="Heading3"/>
      </w:pPr>
      <w:r>
        <w:t xml:space="preserve">Beyond direct jobs</w:t>
      </w:r>
    </w:p>
    <w:p>
      <w:pPr>
        <w:pStyle w:val="Compact"/>
        <w:numPr>
          <w:ilvl w:val="0"/>
          <w:numId w:val="1058"/>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8"/>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6"/>
    <w:bookmarkEnd w:id="237"/>
    <w:bookmarkStart w:id="238"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9"/>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9"/>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9"/>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8"/>
    <w:bookmarkStart w:id="24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9"/>
    <w:bookmarkEnd w:id="240"/>
    <w:bookmarkStart w:id="24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base-case Y3 hire and modest founder pay are delayed, not that the business fails. The upside-case 5-hire job-creation target simply does not trigger (see R17).</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41"/>
    <w:bookmarkStart w:id="245"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42" w:name="X14e92bc1be00b15e67e50efb5245efe3fd85b19"/>
    <w:p>
      <w:pPr>
        <w:pStyle w:val="Heading3"/>
      </w:pPr>
      <w:r>
        <w:t xml:space="preserve">Three things this submission demonstrates</w:t>
      </w:r>
    </w:p>
    <w:p>
      <w:pPr>
        <w:pStyle w:val="Compact"/>
        <w:numPr>
          <w:ilvl w:val="0"/>
          <w:numId w:val="1060"/>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60"/>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60"/>
        </w:numPr>
      </w:pPr>
      <w:r>
        <w:rPr>
          <w:b/>
          <w:bCs/>
        </w:rPr>
        <w:t xml:space="preserve">Credible, honestly-scoped UK growth</w:t>
      </w:r>
      <w:r>
        <w:t xml:space="preserve"> </w:t>
      </w:r>
      <w:r>
        <w:t xml:space="preserve">— 2 unpaid founders (Y1–Y2) growing to 3 people / c.2.5 FTE by Y3 in the conservative base case, all self-funded from revenue; 0 to c.1.5 average paying universities by Y3, modelled as a target, not a guarantee.</w:t>
      </w:r>
      <w:r>
        <w:t xml:space="preserve"> </w:t>
      </w:r>
      <w:r>
        <w:rPr>
          <w:b/>
          <w:bCs/>
        </w:rPr>
        <w:t xml:space="preserve">Job-creation target:</w:t>
      </w:r>
      <w:r>
        <w:t xml:space="preserve"> </w:t>
      </w:r>
      <w:r>
        <w:t xml:space="preserve">7 people (5 full-time hires, avg. £25,000/yr, each 12+ months) once revenue scales after pilot conversion, meeting the Innovator Founder settlement job-creation criterion. This is deliberately smaller than a funding-dependent plan would show — and deliberately more credible for it.</w:t>
      </w:r>
    </w:p>
    <w:bookmarkEnd w:id="242"/>
    <w:bookmarkStart w:id="243" w:name="what-endorsement-enables"/>
    <w:p>
      <w:pPr>
        <w:pStyle w:val="Heading3"/>
      </w:pPr>
      <w:r>
        <w:t xml:space="preserve">What endorsement enables</w:t>
      </w:r>
    </w:p>
    <w:p>
      <w:pPr>
        <w:pStyle w:val="Compact"/>
        <w:numPr>
          <w:ilvl w:val="0"/>
          <w:numId w:val="1061"/>
        </w:numPr>
      </w:pPr>
      <w:r>
        <w:t xml:space="preserve">The lead applicant retains UK residency to continue building DEQUAD full-time.</w:t>
      </w:r>
    </w:p>
    <w:p>
      <w:pPr>
        <w:pStyle w:val="Compact"/>
        <w:numPr>
          <w:ilvl w:val="0"/>
          <w:numId w:val="1061"/>
        </w:numPr>
      </w:pPr>
      <w:r>
        <w:t xml:space="preserve">The co-founder (UK-resident already) joins formally as CTO at incorporation.</w:t>
      </w:r>
    </w:p>
    <w:p>
      <w:pPr>
        <w:pStyle w:val="Compact"/>
        <w:numPr>
          <w:ilvl w:val="0"/>
          <w:numId w:val="1061"/>
        </w:numPr>
      </w:pPr>
      <w:r>
        <w:t xml:space="preserve">The company operates and grows on its own means from day one — no external capital is required to make the 3-year plan happen.</w:t>
      </w:r>
    </w:p>
    <w:p>
      <w:pPr>
        <w:pStyle w:val="Compact"/>
        <w:numPr>
          <w:ilvl w:val="0"/>
          <w:numId w:val="1061"/>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43"/>
    <w:bookmarkStart w:id="244"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44"/>
    <w:bookmarkEnd w:id="245"/>
    <w:bookmarkEnd w:id="246"/>
    <w:bookmarkStart w:id="259" w:name="appendix-n-wider-founding-team-cvs"/>
    <w:p>
      <w:pPr>
        <w:pStyle w:val="Heading1"/>
      </w:pPr>
      <w:r>
        <w:t xml:space="preserve">Appendix N — Wider Founding Team CVs</w:t>
      </w:r>
    </w:p>
    <w:bookmarkStart w:id="247"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7"/>
    <w:bookmarkStart w:id="251"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8"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8"/>
    <w:bookmarkStart w:id="249" w:name="why-this-matters-for-dequad"/>
    <w:p>
      <w:pPr>
        <w:pStyle w:val="Heading3"/>
      </w:pPr>
      <w:r>
        <w:t xml:space="preserve">Why this matters for DEQUAD</w:t>
      </w:r>
    </w:p>
    <w:p>
      <w:pPr>
        <w:pStyle w:val="Compact"/>
        <w:numPr>
          <w:ilvl w:val="0"/>
          <w:numId w:val="1062"/>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2"/>
        </w:numPr>
      </w:pPr>
      <w:r>
        <w:t xml:space="preserve">Universities now require evidenced wellbeing strategies (UUK Mental Health Charter); Gerald’s academic background lends additional credibility in the sales conversation.</w:t>
      </w:r>
    </w:p>
    <w:p>
      <w:pPr>
        <w:pStyle w:val="Compact"/>
        <w:numPr>
          <w:ilvl w:val="0"/>
          <w:numId w:val="1062"/>
        </w:numPr>
      </w:pPr>
      <w:r>
        <w:t xml:space="preserve">He owns the Y1 marketing-spend allocation across the channels in Section 16 of the business plan.</w:t>
      </w:r>
    </w:p>
    <w:bookmarkEnd w:id="249"/>
    <w:bookmarkStart w:id="250" w:name="responsibilities"/>
    <w:p>
      <w:pPr>
        <w:pStyle w:val="Heading3"/>
      </w:pPr>
      <w:r>
        <w:t xml:space="preserve">Responsibilities</w:t>
      </w:r>
    </w:p>
    <w:p>
      <w:pPr>
        <w:pStyle w:val="Compact"/>
        <w:numPr>
          <w:ilvl w:val="0"/>
          <w:numId w:val="1063"/>
        </w:numPr>
      </w:pPr>
      <w:r>
        <w:t xml:space="preserve">Brand strategy, positioning and messaging architecture</w:t>
      </w:r>
    </w:p>
    <w:p>
      <w:pPr>
        <w:pStyle w:val="Compact"/>
        <w:numPr>
          <w:ilvl w:val="0"/>
          <w:numId w:val="1063"/>
        </w:numPr>
      </w:pPr>
      <w:r>
        <w:t xml:space="preserve">UK university partnership marketing (PR, events, UUK channel)</w:t>
      </w:r>
    </w:p>
    <w:p>
      <w:pPr>
        <w:pStyle w:val="Compact"/>
        <w:numPr>
          <w:ilvl w:val="0"/>
          <w:numId w:val="1063"/>
        </w:numPr>
      </w:pPr>
      <w:r>
        <w:t xml:space="preserve">Performance marketing strategy across Instagram, TikTok, Google Search, LinkedIn</w:t>
      </w:r>
    </w:p>
    <w:p>
      <w:pPr>
        <w:pStyle w:val="Compact"/>
        <w:numPr>
          <w:ilvl w:val="0"/>
          <w:numId w:val="1063"/>
        </w:numPr>
      </w:pPr>
      <w:r>
        <w:t xml:space="preserve">Marketing measurement and dashboarding; CAC discipline</w:t>
      </w:r>
    </w:p>
    <w:p>
      <w:pPr>
        <w:pStyle w:val="Compact"/>
        <w:numPr>
          <w:ilvl w:val="0"/>
          <w:numId w:val="1063"/>
        </w:numPr>
      </w:pPr>
      <w:r>
        <w:t xml:space="preserve">Mentoring the first marketing hire (Q3 Y2)</w:t>
      </w:r>
    </w:p>
    <w:p>
      <w:r>
        <w:pict>
          <v:rect style="width:0;height:1.5pt" o:hralign="center" o:hrstd="t" o:hr="t"/>
        </w:pict>
      </w:r>
    </w:p>
    <w:bookmarkEnd w:id="250"/>
    <w:bookmarkEnd w:id="251"/>
    <w:bookmarkStart w:id="254"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52"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52"/>
    <w:bookmarkStart w:id="253" w:name="responsibilities-1"/>
    <w:p>
      <w:pPr>
        <w:pStyle w:val="Heading3"/>
      </w:pPr>
      <w:r>
        <w:t xml:space="preserve">Responsibilities</w:t>
      </w:r>
    </w:p>
    <w:p>
      <w:pPr>
        <w:pStyle w:val="Compact"/>
        <w:numPr>
          <w:ilvl w:val="0"/>
          <w:numId w:val="1064"/>
        </w:numPr>
      </w:pPr>
      <w:r>
        <w:t xml:space="preserve">Production reliability and performance of the DEQUAD platform</w:t>
      </w:r>
    </w:p>
    <w:p>
      <w:pPr>
        <w:pStyle w:val="Compact"/>
        <w:numPr>
          <w:ilvl w:val="0"/>
          <w:numId w:val="1064"/>
        </w:numPr>
      </w:pPr>
      <w:r>
        <w:t xml:space="preserve">Feature delivery in collaboration with the CTO — peer matching, mood tracker, safeguarding webhook, admin tooling</w:t>
      </w:r>
    </w:p>
    <w:p>
      <w:pPr>
        <w:pStyle w:val="Compact"/>
        <w:numPr>
          <w:ilvl w:val="0"/>
          <w:numId w:val="1064"/>
        </w:numPr>
      </w:pPr>
      <w:r>
        <w:t xml:space="preserve">Code review and engineering standards across the team</w:t>
      </w:r>
    </w:p>
    <w:p>
      <w:pPr>
        <w:pStyle w:val="Compact"/>
        <w:numPr>
          <w:ilvl w:val="0"/>
          <w:numId w:val="1064"/>
        </w:numPr>
      </w:pPr>
      <w:r>
        <w:t xml:space="preserve">Mentoring the Y3 part-time hire (Section 18.3) once revenue supports it</w:t>
      </w:r>
    </w:p>
    <w:p>
      <w:r>
        <w:pict>
          <v:rect style="width:0;height:1.5pt" o:hralign="center" o:hrstd="t" o:hr="t"/>
        </w:pict>
      </w:r>
    </w:p>
    <w:bookmarkEnd w:id="253"/>
    <w:bookmarkEnd w:id="254"/>
    <w:bookmarkStart w:id="257"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55"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55"/>
    <w:bookmarkStart w:id="256" w:name="responsibilities-to-dequad"/>
    <w:p>
      <w:pPr>
        <w:pStyle w:val="Heading3"/>
      </w:pPr>
      <w:r>
        <w:t xml:space="preserve">Responsibilities to DEQUAD</w:t>
      </w:r>
    </w:p>
    <w:p>
      <w:pPr>
        <w:pStyle w:val="Compact"/>
        <w:numPr>
          <w:ilvl w:val="0"/>
          <w:numId w:val="1065"/>
        </w:numPr>
      </w:pPr>
      <w:r>
        <w:t xml:space="preserve">Programme governance for university pilot rollouts</w:t>
      </w:r>
    </w:p>
    <w:p>
      <w:pPr>
        <w:pStyle w:val="Compact"/>
        <w:numPr>
          <w:ilvl w:val="0"/>
          <w:numId w:val="1065"/>
        </w:numPr>
      </w:pPr>
      <w:r>
        <w:t xml:space="preserve">Quarterly risk-register review challenge (see Risk Register, Governance section)</w:t>
      </w:r>
    </w:p>
    <w:p>
      <w:pPr>
        <w:pStyle w:val="Compact"/>
        <w:numPr>
          <w:ilvl w:val="0"/>
          <w:numId w:val="1065"/>
        </w:numPr>
      </w:pPr>
      <w:r>
        <w:t xml:space="preserve">LLM safety and evaluation input to the safeguarding triage model</w:t>
      </w:r>
    </w:p>
    <w:p>
      <w:pPr>
        <w:pStyle w:val="Compact"/>
        <w:numPr>
          <w:ilvl w:val="0"/>
          <w:numId w:val="1065"/>
        </w:numPr>
      </w:pPr>
      <w:r>
        <w:t xml:space="preserve">Introduction to MIGSO-PCUBED’s enterprise network for B2B pilot acceleration</w:t>
      </w:r>
    </w:p>
    <w:p>
      <w:r>
        <w:pict>
          <v:rect style="width:0;height:1.5pt" o:hralign="center" o:hrstd="t" o:hr="t"/>
        </w:pict>
      </w:r>
    </w:p>
    <w:bookmarkEnd w:id="256"/>
    <w:bookmarkEnd w:id="257"/>
    <w:bookmarkStart w:id="258"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8"/>
    <w:bookmarkEnd w:id="259"/>
    <w:bookmarkStart w:id="265" w:name="appendix-o-yusuf-quadri"/>
    <w:p>
      <w:pPr>
        <w:pStyle w:val="Heading1"/>
      </w:pPr>
      <w:r>
        <w:t xml:space="preserve">Appendix O — Yusuf Quadri</w:t>
      </w:r>
    </w:p>
    <w:bookmarkStart w:id="260"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60"/>
    <w:bookmarkStart w:id="261"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6"/>
        </w:numPr>
      </w:pPr>
      <w:r>
        <w:t xml:space="preserve">identity data (</w:t>
      </w:r>
      <w:r>
        <w:rPr>
          <w:rStyle w:val="VerbatimChar"/>
        </w:rPr>
        <w:t xml:space="preserve">.ac.uk</w:t>
      </w:r>
      <w:r>
        <w:t xml:space="preserve"> </w:t>
      </w:r>
      <w:r>
        <w:t xml:space="preserve">email verification),</w:t>
      </w:r>
    </w:p>
    <w:p>
      <w:pPr>
        <w:pStyle w:val="Compact"/>
        <w:numPr>
          <w:ilvl w:val="0"/>
          <w:numId w:val="1066"/>
        </w:numPr>
      </w:pPr>
      <w:r>
        <w:t xml:space="preserve">mood telemetry (sensitive personal data under the UK GDPR / Data Protection Act 2018),</w:t>
      </w:r>
    </w:p>
    <w:p>
      <w:pPr>
        <w:pStyle w:val="Compact"/>
        <w:numPr>
          <w:ilvl w:val="0"/>
          <w:numId w:val="1066"/>
        </w:numPr>
      </w:pPr>
      <w:r>
        <w:t xml:space="preserve">chat metadata (Online Safety Act 2023 in-scope),</w:t>
      </w:r>
    </w:p>
    <w:p>
      <w:pPr>
        <w:pStyle w:val="Compact"/>
        <w:numPr>
          <w:ilvl w:val="0"/>
          <w:numId w:val="1066"/>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61"/>
    <w:bookmarkStart w:id="262"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62"/>
    <w:bookmarkStart w:id="263"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63"/>
    <w:bookmarkStart w:id="264"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7"/>
        </w:numPr>
      </w:pPr>
      <w:r>
        <w:t xml:space="preserve">Refreshing the Suicide Prevention certification annually (next refresh: 2027).</w:t>
      </w:r>
    </w:p>
    <w:p>
      <w:pPr>
        <w:pStyle w:val="Compact"/>
        <w:numPr>
          <w:ilvl w:val="0"/>
          <w:numId w:val="1067"/>
        </w:numPr>
      </w:pPr>
      <w:r>
        <w:t xml:space="preserve">Refreshing the Adult Safeguarding certification every two years.</w:t>
      </w:r>
    </w:p>
    <w:p>
      <w:pPr>
        <w:pStyle w:val="Compact"/>
        <w:numPr>
          <w:ilvl w:val="0"/>
          <w:numId w:val="1067"/>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7"/>
        </w:numPr>
      </w:pPr>
      <w:r>
        <w:t xml:space="preserve">Participating in the Universities UK Mental Health Charter community of practice from Y1 Q3.</w:t>
      </w:r>
    </w:p>
    <w:p>
      <w:pPr>
        <w:pStyle w:val="Compact"/>
        <w:numPr>
          <w:ilvl w:val="0"/>
          <w:numId w:val="1067"/>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2026-08-19T18:49:01Z</dcterms:created>
  <dcterms:modified xsi:type="dcterms:W3CDTF">2026-08-19T18:49:01Z</dcterms:modified>
</cp:coreProperties>
</file>

<file path=docProps/custom.xml><?xml version="1.0" encoding="utf-8"?>
<Properties xmlns="http://schemas.openxmlformats.org/officeDocument/2006/custom-properties" xmlns:vt="http://schemas.openxmlformats.org/officeDocument/2006/docPropsVTypes"/>
</file>