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appendix-j-technology-architecture"/>
    <w:p>
      <w:pPr>
        <w:pStyle w:val="Heading1"/>
      </w:pPr>
      <w:r>
        <w:t xml:space="preserve">Appendix J — Technology Architecture</w:t>
      </w:r>
    </w:p>
    <w:p>
      <w:pPr>
        <w:pStyle w:val="FirstParagraph"/>
      </w:pPr>
      <w:r>
        <w:rPr>
          <w:i/>
          <w:iCs/>
        </w:rPr>
        <w:t xml:space="preserve">Prepared by the founders — Yusuf Quadri (CEO) and Yusuff Adeagbo (CTO), who designed and built the architecture described below.</w:t>
      </w:r>
    </w:p>
    <w:p>
      <w:pPr>
        <w:pStyle w:val="BodyText"/>
      </w:pPr>
      <w:r>
        <w:t xml:space="preserve">DEQUAD’s stack is intentionally simple, cloud-native, and based on widely-adopted open-source components — minimising key-person risk and supporting the scalability commitments in §7.</w:t>
      </w:r>
    </w:p>
    <w:p>
      <w:r>
        <w:pict>
          <v:rect style="width:0;height:1.5pt" o:hralign="center" o:hrstd="t" o:hr="t"/>
        </w:pict>
      </w:r>
    </w:p>
    <w:bookmarkStart w:id="9" w:name="j.1-high-level-architecture-diagram"/>
    <w:p>
      <w:pPr>
        <w:pStyle w:val="Heading2"/>
      </w:pPr>
      <w:r>
        <w:t xml:space="preserve">J.1 High-level architecture diagram</w:t>
      </w:r>
    </w:p>
    <w:p>
      <w:pPr>
        <w:pStyle w:val="SourceCode"/>
      </w:pPr>
      <w:r>
        <w:rPr>
          <w:rStyle w:val="VerbatimChar"/>
        </w:rPr>
        <w:t xml:space="preserve">                                  ┌──────────────────────────┐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              │   Cloudflare (DNS, WAF)  │</w:t>
      </w:r>
      <w:r>
        <w:br/>
      </w:r>
      <w:r>
        <w:rPr>
          <w:rStyle w:val="VerbatimChar"/>
        </w:rPr>
        <w:t xml:space="preserve">                                  └────────────┬─────────────┘</w:t>
      </w:r>
      <w:r>
        <w:br/>
      </w:r>
      <w:r>
        <w:rPr>
          <w:rStyle w:val="VerbatimChar"/>
        </w:rPr>
        <w:t xml:space="preserve">                                               │ TLS 1.3</w:t>
      </w:r>
      <w:r>
        <w:br/>
      </w:r>
      <w:r>
        <w:rPr>
          <w:rStyle w:val="VerbatimChar"/>
        </w:rPr>
        <w:t xml:space="preserve">                ┌──────────────────────────────┴──────────────────────────┐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│                                                         │</w:t>
      </w:r>
      <w:r>
        <w:br/>
      </w:r>
      <w:r>
        <w:rPr>
          <w:rStyle w:val="VerbatimChar"/>
        </w:rPr>
        <w:t xml:space="preserve">        ┌───────▼────────┐                                       ┌────────▼────────┐</w:t>
      </w:r>
      <w:r>
        <w:br/>
      </w:r>
      <w:r>
        <w:rPr>
          <w:rStyle w:val="VerbatimChar"/>
        </w:rPr>
        <w:t xml:space="preserve">        │  Web client    │                                       │  Native clients │</w:t>
      </w:r>
      <w:r>
        <w:br/>
      </w:r>
      <w:r>
        <w:rPr>
          <w:rStyle w:val="VerbatimChar"/>
        </w:rPr>
        <w:t xml:space="preserve">        │  (React +      │                                       │  (iOS / Android │</w:t>
      </w:r>
      <w:r>
        <w:br/>
      </w:r>
      <w:r>
        <w:rPr>
          <w:rStyle w:val="VerbatimChar"/>
        </w:rPr>
        <w:t xml:space="preserve">        │   Expo Router) │                                       │   via Expo /    │</w:t>
      </w:r>
      <w:r>
        <w:br/>
      </w:r>
      <w:r>
        <w:rPr>
          <w:rStyle w:val="VerbatimChar"/>
        </w:rPr>
        <w:t xml:space="preserve">        │                │                                       │   EAS Build)    │</w:t>
      </w:r>
      <w:r>
        <w:br/>
      </w:r>
      <w:r>
        <w:rPr>
          <w:rStyle w:val="VerbatimChar"/>
        </w:rPr>
        <w:t xml:space="preserve">        └───────┬────────┘                                       └────────┬────────┘</w:t>
      </w:r>
      <w:r>
        <w:br/>
      </w:r>
      <w:r>
        <w:rPr>
          <w:rStyle w:val="VerbatimChar"/>
        </w:rPr>
        <w:t xml:space="preserve">                │                                                         │</w:t>
      </w:r>
      <w:r>
        <w:br/>
      </w:r>
      <w:r>
        <w:rPr>
          <w:rStyle w:val="VerbatimChar"/>
        </w:rPr>
        <w:t xml:space="preserve">                │             HTTPS (Bearer-token auth, JSON)             │</w:t>
      </w:r>
      <w:r>
        <w:br/>
      </w:r>
      <w:r>
        <w:rPr>
          <w:rStyle w:val="VerbatimChar"/>
        </w:rPr>
        <w:t xml:space="preserve">                └──────────────────────┬──────────────────────────────────┘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│</w:t>
      </w:r>
      <w:r>
        <w:br/>
      </w:r>
      <w:r>
        <w:rPr>
          <w:rStyle w:val="VerbatimChar"/>
        </w:rPr>
        <w:t xml:space="preserve">                              ┌────────▼────────┐</w:t>
      </w:r>
      <w:r>
        <w:br/>
      </w:r>
      <w:r>
        <w:rPr>
          <w:rStyle w:val="VerbatimChar"/>
        </w:rPr>
        <w:t xml:space="preserve">                              │   Ingress       │</w:t>
      </w:r>
      <w:r>
        <w:br/>
      </w:r>
      <w:r>
        <w:rPr>
          <w:rStyle w:val="VerbatimChar"/>
        </w:rPr>
        <w:t xml:space="preserve">                              │  (Nginx, K8s)   │</w:t>
      </w:r>
      <w:r>
        <w:br/>
      </w:r>
      <w:r>
        <w:rPr>
          <w:rStyle w:val="VerbatimChar"/>
        </w:rPr>
        <w:t xml:space="preserve">                              └────────┬────────┘</w:t>
      </w:r>
      <w:r>
        <w:br/>
      </w:r>
      <w:r>
        <w:rPr>
          <w:rStyle w:val="VerbatimChar"/>
        </w:rPr>
        <w:t xml:space="preserve">                                       │</w:t>
      </w:r>
      <w:r>
        <w:br/>
      </w:r>
      <w:r>
        <w:rPr>
          <w:rStyle w:val="VerbatimChar"/>
        </w:rPr>
        <w:t xml:space="preserve">                              ┌────────▼────────┐</w:t>
      </w:r>
      <w:r>
        <w:br/>
      </w:r>
      <w:r>
        <w:rPr>
          <w:rStyle w:val="VerbatimChar"/>
        </w:rPr>
        <w:t xml:space="preserve">                              │  FastAPI API    │</w:t>
      </w:r>
      <w:r>
        <w:br/>
      </w:r>
      <w:r>
        <w:rPr>
          <w:rStyle w:val="VerbatimChar"/>
        </w:rPr>
        <w:t xml:space="preserve">                              │  (Python 3.11)  │</w:t>
      </w:r>
      <w:r>
        <w:br/>
      </w:r>
      <w:r>
        <w:rPr>
          <w:rStyle w:val="VerbatimChar"/>
        </w:rPr>
        <w:t xml:space="preserve">                              │  - Auth         │</w:t>
      </w:r>
      <w:r>
        <w:br/>
      </w:r>
      <w:r>
        <w:rPr>
          <w:rStyle w:val="VerbatimChar"/>
        </w:rPr>
        <w:t xml:space="preserve">                              │  - Matching     │</w:t>
      </w:r>
      <w:r>
        <w:br/>
      </w:r>
      <w:r>
        <w:rPr>
          <w:rStyle w:val="VerbatimChar"/>
        </w:rPr>
        <w:t xml:space="preserve">                              │  - Mood         │</w:t>
      </w:r>
      <w:r>
        <w:br/>
      </w:r>
      <w:r>
        <w:rPr>
          <w:rStyle w:val="VerbatimChar"/>
        </w:rPr>
        <w:t xml:space="preserve">                              │  - Safeguarding │</w:t>
      </w:r>
      <w:r>
        <w:br/>
      </w:r>
      <w:r>
        <w:rPr>
          <w:rStyle w:val="VerbatimChar"/>
        </w:rPr>
        <w:t xml:space="preserve">                              │  - Support      │</w:t>
      </w:r>
      <w:r>
        <w:br/>
      </w:r>
      <w:r>
        <w:rPr>
          <w:rStyle w:val="VerbatimChar"/>
        </w:rPr>
        <w:t xml:space="preserve">                              │  - Admin        │</w:t>
      </w:r>
      <w:r>
        <w:br/>
      </w:r>
      <w:r>
        <w:rPr>
          <w:rStyle w:val="VerbatimChar"/>
        </w:rPr>
        <w:t xml:space="preserve">                              └─┬─────┬─────┬───┘</w:t>
      </w:r>
      <w:r>
        <w:br/>
      </w:r>
      <w:r>
        <w:rPr>
          <w:rStyle w:val="VerbatimChar"/>
        </w:rPr>
        <w:t xml:space="preserve">                                │     │     │</w:t>
      </w:r>
      <w:r>
        <w:br/>
      </w:r>
      <w:r>
        <w:rPr>
          <w:rStyle w:val="VerbatimChar"/>
        </w:rPr>
        <w:t xml:space="preserve">              ┌─────────────────┘     │     └───────────────────────┐</w:t>
      </w:r>
      <w:r>
        <w:br/>
      </w:r>
      <w:r>
        <w:rPr>
          <w:rStyle w:val="VerbatimChar"/>
        </w:rPr>
        <w:t xml:space="preserve">              │                       │                             │</w:t>
      </w:r>
      <w:r>
        <w:br/>
      </w:r>
      <w:r>
        <w:rPr>
          <w:rStyle w:val="VerbatimChar"/>
        </w:rPr>
        <w:t xml:space="preserve">      ┌───────▼────────┐    ┌─────────▼─────────┐         ┌─────────▼─────────┐</w:t>
      </w:r>
      <w:r>
        <w:br/>
      </w:r>
      <w:r>
        <w:rPr>
          <w:rStyle w:val="VerbatimChar"/>
        </w:rPr>
        <w:t xml:space="preserve">      │  MongoDB Atlas │    │  Stripe Connect   │         │  Outbound services│</w:t>
      </w:r>
      <w:r>
        <w:br/>
      </w:r>
      <w:r>
        <w:rPr>
          <w:rStyle w:val="VerbatimChar"/>
        </w:rPr>
        <w:t xml:space="preserve">      │  (UK region,   │    │  (UK FCA-         │         │  - SMTP (Gmail/   │</w:t>
      </w:r>
      <w:r>
        <w:br/>
      </w:r>
      <w:r>
        <w:rPr>
          <w:rStyle w:val="VerbatimChar"/>
        </w:rPr>
        <w:t xml:space="preserve">      │   replicated)  │    │   regulated)      │         │    AWS SES)       │</w:t>
      </w:r>
      <w:r>
        <w:br/>
      </w:r>
      <w:r>
        <w:rPr>
          <w:rStyle w:val="VerbatimChar"/>
        </w:rPr>
        <w:t xml:space="preserve">      │                │    │                   │         │  - Expo Push      │</w:t>
      </w:r>
      <w:r>
        <w:br/>
      </w:r>
      <w:r>
        <w:rPr>
          <w:rStyle w:val="VerbatimChar"/>
        </w:rPr>
        <w:t xml:space="preserve">      │  Collections:  │    │  Subscriptions    │         │  - Sentry         │</w:t>
      </w:r>
      <w:r>
        <w:br/>
      </w:r>
      <w:r>
        <w:rPr>
          <w:rStyle w:val="VerbatimChar"/>
        </w:rPr>
        <w:t xml:space="preserve">      │  - users       │    │  - University     │         │                   │</w:t>
      </w:r>
      <w:r>
        <w:br/>
      </w:r>
      <w:r>
        <w:rPr>
          <w:rStyle w:val="VerbatimChar"/>
        </w:rPr>
        <w:t xml:space="preserve">      │  - matches     │    │  - Premium        │         │                   │</w:t>
      </w:r>
      <w:r>
        <w:br/>
      </w:r>
      <w:r>
        <w:rPr>
          <w:rStyle w:val="VerbatimChar"/>
        </w:rPr>
        <w:t xml:space="preserve">      │  - chat_msgs   │    │                   │         │                   │</w:t>
      </w:r>
      <w:r>
        <w:br/>
      </w:r>
      <w:r>
        <w:rPr>
          <w:rStyle w:val="VerbatimChar"/>
        </w:rPr>
        <w:t xml:space="preserve">      │  - mood        │    └───────────────────┘         └───────────────────┘</w:t>
      </w:r>
      <w:r>
        <w:br/>
      </w:r>
      <w:r>
        <w:rPr>
          <w:rStyle w:val="VerbatimChar"/>
        </w:rPr>
        <w:t xml:space="preserve">      │  - support     │</w:t>
      </w:r>
      <w:r>
        <w:br/>
      </w:r>
      <w:r>
        <w:rPr>
          <w:rStyle w:val="VerbatimChar"/>
        </w:rPr>
        <w:t xml:space="preserve">      │  - sg_alerts   │              ┌───────────────────┐</w:t>
      </w:r>
      <w:r>
        <w:br/>
      </w:r>
      <w:r>
        <w:rPr>
          <w:rStyle w:val="VerbatimChar"/>
        </w:rPr>
        <w:t xml:space="preserve">      │  - reports     │              │  LLM provider     │</w:t>
      </w:r>
      <w:r>
        <w:br/>
      </w:r>
      <w:r>
        <w:rPr>
          <w:rStyle w:val="VerbatimChar"/>
        </w:rPr>
        <w:t xml:space="preserve">      │  - waitlist    │◄─────────────┤  (OpenAI gpt-4o-  │</w:t>
      </w:r>
      <w:r>
        <w:br/>
      </w:r>
      <w:r>
        <w:rPr>
          <w:rStyle w:val="VerbatimChar"/>
        </w:rPr>
        <w:t xml:space="preserve">      └────────────────┘              │   mini for AI     │</w:t>
      </w:r>
      <w:r>
        <w:br/>
      </w:r>
      <w:r>
        <w:rPr>
          <w:rStyle w:val="VerbatimChar"/>
        </w:rPr>
        <w:t xml:space="preserve">                                      │   first-line      │</w:t>
      </w:r>
      <w:r>
        <w:br/>
      </w:r>
      <w:r>
        <w:rPr>
          <w:rStyle w:val="VerbatimChar"/>
        </w:rPr>
        <w:t xml:space="preserve">                                      │   support replies)│</w:t>
      </w:r>
      <w:r>
        <w:br/>
      </w:r>
      <w:r>
        <w:rPr>
          <w:rStyle w:val="VerbatimChar"/>
        </w:rPr>
        <w:t xml:space="preserve">                                      └───────────────────┘</w:t>
      </w:r>
    </w:p>
    <w:bookmarkEnd w:id="9"/>
    <w:bookmarkStart w:id="10" w:name="j.2-component-table"/>
    <w:p>
      <w:pPr>
        <w:pStyle w:val="Heading2"/>
      </w:pPr>
      <w:r>
        <w:t xml:space="preserve">J.2 Component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Why this choice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DNS / WAF / DDoS</w:t>
            </w:r>
          </w:p>
        </w:tc>
        <w:tc>
          <w:tcPr/>
          <w:p>
            <w:pPr>
              <w:pStyle w:val="Compact"/>
            </w:pPr>
            <w:r>
              <w:t xml:space="preserve">Cloudflare</w:t>
            </w:r>
          </w:p>
        </w:tc>
        <w:tc>
          <w:tcPr/>
          <w:p>
            <w:pPr>
              <w:pStyle w:val="Compact"/>
            </w:pPr>
            <w:r>
              <w:t xml:space="preserve">Global</w:t>
            </w:r>
          </w:p>
        </w:tc>
        <w:tc>
          <w:tcPr/>
          <w:p>
            <w:pPr>
              <w:pStyle w:val="Compact"/>
            </w:pPr>
            <w:r>
              <w:t xml:space="preserve">Industry-standard, UK regulatory comfort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CDN</w:t>
            </w:r>
          </w:p>
        </w:tc>
        <w:tc>
          <w:tcPr/>
          <w:p>
            <w:pPr>
              <w:pStyle w:val="Compact"/>
            </w:pPr>
            <w:r>
              <w:t xml:space="preserve">Cloudflare</w:t>
            </w:r>
          </w:p>
        </w:tc>
        <w:tc>
          <w:tcPr/>
          <w:p>
            <w:pPr>
              <w:pStyle w:val="Compact"/>
            </w:pPr>
            <w:r>
              <w:t xml:space="preserve">Global edge</w:t>
            </w:r>
          </w:p>
        </w:tc>
        <w:tc>
          <w:tcPr/>
          <w:p>
            <w:pPr>
              <w:pStyle w:val="Compact"/>
            </w:pPr>
            <w:r>
              <w:t xml:space="preserve">Reduces latency for image / static assets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Ingress</w:t>
            </w:r>
          </w:p>
        </w:tc>
        <w:tc>
          <w:tcPr/>
          <w:p>
            <w:pPr>
              <w:pStyle w:val="Compact"/>
            </w:pPr>
            <w:r>
              <w:t xml:space="preserve">Nginx (managed)</w:t>
            </w:r>
          </w:p>
        </w:tc>
        <w:tc>
          <w:tcPr/>
          <w:p>
            <w:pPr>
              <w:pStyle w:val="Compact"/>
            </w:pPr>
            <w:r>
              <w:t xml:space="preserve">Kubernetes (UK)</w:t>
            </w:r>
          </w:p>
        </w:tc>
        <w:tc>
          <w:tcPr/>
          <w:p>
            <w:pPr>
              <w:pStyle w:val="Compact"/>
            </w:pPr>
            <w:r>
              <w:t xml:space="preserve">Battle-tested, no exotic dependencies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FastAPI on Python 3.11</w:t>
            </w:r>
          </w:p>
        </w:tc>
        <w:tc>
          <w:tcPr/>
          <w:p>
            <w:pPr>
              <w:pStyle w:val="Compact"/>
            </w:pPr>
            <w:r>
              <w:t xml:space="preserve">Kubernetes (UK)</w:t>
            </w:r>
          </w:p>
        </w:tc>
        <w:tc>
          <w:tcPr/>
          <w:p>
            <w:pPr>
              <w:pStyle w:val="Compact"/>
            </w:pPr>
            <w:r>
              <w:t xml:space="preserve">Strong typing, async I/O, high developer velocity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MongoDB Atlas,</w:t>
            </w:r>
            <w:r>
              <w:t xml:space="preserve"> </w:t>
            </w:r>
            <w:r>
              <w:rPr>
                <w:b/>
                <w:bCs/>
              </w:rPr>
              <w:t xml:space="preserve">UK region</w:t>
            </w:r>
          </w:p>
        </w:tc>
        <w:tc>
          <w:tcPr/>
          <w:p>
            <w:pPr>
              <w:pStyle w:val="Compact"/>
            </w:pPr>
            <w:r>
              <w:t xml:space="preserve">Managed</w:t>
            </w:r>
          </w:p>
        </w:tc>
        <w:tc>
          <w:tcPr/>
          <w:p>
            <w:pPr>
              <w:pStyle w:val="Compact"/>
            </w:pPr>
            <w:r>
              <w:t xml:space="preserve">Flexible schema for evolving wellbeing data; UK data residency by default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Search / aggregation</w:t>
            </w:r>
          </w:p>
        </w:tc>
        <w:tc>
          <w:tcPr/>
          <w:p>
            <w:pPr>
              <w:pStyle w:val="Compact"/>
            </w:pPr>
            <w:r>
              <w:t xml:space="preserve">MongoDB aggregation pipeline</w:t>
            </w:r>
          </w:p>
        </w:tc>
        <w:tc>
          <w:tcPr/>
          <w:p>
            <w:pPr>
              <w:pStyle w:val="Compact"/>
            </w:pPr>
            <w:r>
              <w:t xml:space="preserve">Managed</w:t>
            </w:r>
          </w:p>
        </w:tc>
        <w:tc>
          <w:tcPr/>
          <w:p>
            <w:pPr>
              <w:pStyle w:val="Compact"/>
            </w:pPr>
            <w:r>
              <w:t xml:space="preserve">Avoids extra dependency; sufficient at projected scale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OAuth 2.0 (university SSO partnerships, Y2+) and Bearer tokens for native</w:t>
            </w:r>
          </w:p>
        </w:tc>
        <w:tc>
          <w:tcPr/>
          <w:p>
            <w:pPr>
              <w:pStyle w:val="Compact"/>
            </w:pPr>
            <w:r>
              <w:t xml:space="preserve">Managed</w:t>
            </w:r>
          </w:p>
        </w:tc>
        <w:tc>
          <w:tcPr/>
          <w:p>
            <w:pPr>
              <w:pStyle w:val="Compact"/>
            </w:pPr>
            <w:r>
              <w:t xml:space="preserve">No password reuse; FA-protected admin route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Payments</w:t>
            </w:r>
          </w:p>
        </w:tc>
        <w:tc>
          <w:tcPr/>
          <w:p>
            <w:pPr>
              <w:pStyle w:val="Compact"/>
            </w:pPr>
            <w:r>
              <w:t xml:space="preserve">Stripe (UK entity)</w:t>
            </w:r>
          </w:p>
        </w:tc>
        <w:tc>
          <w:tcPr/>
          <w:p>
            <w:pPr>
              <w:pStyle w:val="Compact"/>
            </w:pPr>
            <w:r>
              <w:t xml:space="preserve">Managed</w:t>
            </w:r>
          </w:p>
        </w:tc>
        <w:tc>
          <w:tcPr/>
          <w:p>
            <w:pPr>
              <w:pStyle w:val="Compact"/>
            </w:pPr>
            <w:r>
              <w:t xml:space="preserve">FCA-regulated; PCI-DSS handled by Stripe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 storage</w:t>
            </w:r>
          </w:p>
        </w:tc>
        <w:tc>
          <w:tcPr/>
          <w:p>
            <w:pPr>
              <w:pStyle w:val="Compact"/>
            </w:pPr>
            <w:r>
              <w:t xml:space="preserve">Cloudflare R2 (S3-compatible, UK)</w:t>
            </w:r>
          </w:p>
        </w:tc>
        <w:tc>
          <w:tcPr/>
          <w:p>
            <w:pPr>
              <w:pStyle w:val="Compact"/>
            </w:pPr>
            <w:r>
              <w:t xml:space="preserve">Managed</w:t>
            </w:r>
          </w:p>
        </w:tc>
        <w:tc>
          <w:tcPr/>
          <w:p>
            <w:pPr>
              <w:pStyle w:val="Compact"/>
            </w:pPr>
            <w:r>
              <w:t xml:space="preserve">Cost-effective; user-uploaded photos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Gmail SMTP relay (pre-pilot) → AWS SES, eu-west-2 (production)</w:t>
            </w:r>
          </w:p>
        </w:tc>
        <w:tc>
          <w:tcPr/>
          <w:p>
            <w:pPr>
              <w:pStyle w:val="Compact"/>
            </w:pPr>
            <w:r>
              <w:t xml:space="preserve">Managed</w:t>
            </w:r>
          </w:p>
        </w:tc>
        <w:tc>
          <w:tcPr/>
          <w:p>
            <w:pPr>
              <w:pStyle w:val="Compact"/>
            </w:pPr>
            <w:r>
              <w:t xml:space="preserve">Auditable delivery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Push notifications</w:t>
            </w:r>
          </w:p>
        </w:tc>
        <w:tc>
          <w:tcPr/>
          <w:p>
            <w:pPr>
              <w:pStyle w:val="Compact"/>
            </w:pPr>
            <w:r>
              <w:t xml:space="preserve">Expo Push Service</w:t>
            </w:r>
          </w:p>
        </w:tc>
        <w:tc>
          <w:tcPr/>
          <w:p>
            <w:pPr>
              <w:pStyle w:val="Compact"/>
            </w:pPr>
            <w:r>
              <w:t xml:space="preserve">Managed</w:t>
            </w:r>
          </w:p>
        </w:tc>
        <w:tc>
          <w:tcPr/>
          <w:p>
            <w:pPr>
              <w:pStyle w:val="Compact"/>
            </w:pPr>
            <w:r>
              <w:t xml:space="preserve">Single API for iOS + Android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Observability</w:t>
            </w:r>
          </w:p>
        </w:tc>
        <w:tc>
          <w:tcPr/>
          <w:p>
            <w:pPr>
              <w:pStyle w:val="Compact"/>
            </w:pPr>
            <w:r>
              <w:t xml:space="preserve">Sentry (UK data residency option) + structured logs to CloudWatch (eu-west-2)</w:t>
            </w:r>
          </w:p>
        </w:tc>
        <w:tc>
          <w:tcPr/>
          <w:p>
            <w:pPr>
              <w:pStyle w:val="Compact"/>
            </w:pPr>
            <w:r>
              <w:t xml:space="preserve">Managed</w:t>
            </w:r>
          </w:p>
        </w:tc>
        <w:tc>
          <w:tcPr/>
          <w:p>
            <w:pPr>
              <w:pStyle w:val="Compact"/>
            </w:pPr>
            <w:r>
              <w:t xml:space="preserve">Proactive issue detection; SLO dashboards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provider</w:t>
            </w:r>
          </w:p>
        </w:tc>
        <w:tc>
          <w:tcPr/>
          <w:p>
            <w:pPr>
              <w:pStyle w:val="Compact"/>
            </w:pPr>
            <w:r>
              <w:t xml:space="preserve">OpenAI gpt-4o-mini via Emergent LLM Key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Used only for AI auto-reply to support messages; no user-identifiable PII in prompts</w:t>
            </w:r>
          </w:p>
        </w:tc>
      </w:tr>
    </w:tbl>
    <w:bookmarkEnd w:id="10"/>
    <w:bookmarkStart w:id="11" w:name="j.3-data-residency"/>
    <w:p>
      <w:pPr>
        <w:pStyle w:val="Heading2"/>
      </w:pPr>
      <w:r>
        <w:t xml:space="preserve">J.3 Data residency</w:t>
      </w:r>
    </w:p>
    <w:p>
      <w:pPr>
        <w:pStyle w:val="FirstParagraph"/>
      </w:pPr>
      <w:r>
        <w:t xml:space="preserve">All Personally Identifiable Information (PII) and Special Category Data (mental-health, mood entries) is stored in MongoDB Atlas’s</w:t>
      </w:r>
      <w:r>
        <w:t xml:space="preserve"> </w:t>
      </w:r>
      <w:r>
        <w:rPr>
          <w:b/>
          <w:bCs/>
        </w:rPr>
        <w:t xml:space="preserve">UK region</w:t>
      </w:r>
      <w:r>
        <w:t xml:space="preserve"> </w:t>
      </w:r>
      <w:r>
        <w:t xml:space="preserve">(London). No PII leaves the UK except:</w:t>
      </w:r>
      <w:r>
        <w:t xml:space="preserve"> </w:t>
      </w:r>
      <w:r>
        <w:t xml:space="preserve">- Stripe (UK entity; Stripe stores card tokens, not card numbers, in compliance with PCI-DSS Service Provider Level 1).</w:t>
      </w:r>
      <w:r>
        <w:t xml:space="preserve"> </w:t>
      </w:r>
      <w:r>
        <w:t xml:space="preserve">- OpenAI inference calls (only contain redacted, non-PII excerpts of support messages — see DPIA Appendix E §4.3).</w:t>
      </w:r>
    </w:p>
    <w:bookmarkEnd w:id="11"/>
    <w:bookmarkStart w:id="12" w:name="j.4-security-controls-implemented"/>
    <w:p>
      <w:pPr>
        <w:pStyle w:val="Heading2"/>
      </w:pPr>
      <w:r>
        <w:t xml:space="preserve">J.4 Security controls implemented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Standard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 in transit</w:t>
            </w:r>
          </w:p>
        </w:tc>
        <w:tc>
          <w:tcPr/>
          <w:p>
            <w:pPr>
              <w:pStyle w:val="Compact"/>
            </w:pPr>
            <w:r>
              <w:t xml:space="preserve">All endpoints TLS 1.3, HSTS preload</w:t>
            </w:r>
          </w:p>
        </w:tc>
        <w:tc>
          <w:tcPr/>
          <w:p>
            <w:pPr>
              <w:pStyle w:val="Compact"/>
            </w:pPr>
            <w:r>
              <w:t xml:space="preserve">NCSC guidance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Encryption at rest</w:t>
            </w:r>
          </w:p>
        </w:tc>
        <w:tc>
          <w:tcPr/>
          <w:p>
            <w:pPr>
              <w:pStyle w:val="Compact"/>
            </w:pPr>
            <w:r>
              <w:t xml:space="preserve">MongoDB Atlas AES-256</w:t>
            </w:r>
          </w:p>
        </w:tc>
        <w:tc>
          <w:tcPr/>
          <w:p>
            <w:pPr>
              <w:pStyle w:val="Compact"/>
            </w:pPr>
            <w:r>
              <w:t xml:space="preserve">NCSC guidance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 management</w:t>
            </w:r>
          </w:p>
        </w:tc>
        <w:tc>
          <w:tcPr/>
          <w:p>
            <w:pPr>
              <w:pStyle w:val="Compact"/>
            </w:pPr>
            <w:r>
              <w:t xml:space="preserve">Environment variables sealed via Emergent vault; never in source</w:t>
            </w:r>
          </w:p>
        </w:tc>
        <w:tc>
          <w:tcPr/>
          <w:p>
            <w:pPr>
              <w:pStyle w:val="Compact"/>
            </w:pPr>
            <w:r>
              <w:t xml:space="preserve">OWASP ASVS L2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Bearer tokens, 7-day expiry, refresh on use</w:t>
            </w:r>
          </w:p>
        </w:tc>
        <w:tc>
          <w:tcPr/>
          <w:p>
            <w:pPr>
              <w:pStyle w:val="Compact"/>
            </w:pPr>
            <w:r>
              <w:t xml:space="preserve">OWASP ASVS L2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 limiting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RateLimitMiddleware</w:t>
            </w:r>
            <w:r>
              <w:t xml:space="preserve"> </w:t>
            </w:r>
            <w:r>
              <w:t xml:space="preserve">on the API gateway (per-IP + per-user)</w:t>
            </w:r>
          </w:p>
        </w:tc>
        <w:tc>
          <w:tcPr/>
          <w:p>
            <w:pPr>
              <w:pStyle w:val="Compact"/>
            </w:pPr>
            <w:r>
              <w:t xml:space="preserve">OWASP ASVS L2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logging</w:t>
            </w:r>
          </w:p>
        </w:tc>
        <w:tc>
          <w:tcPr/>
          <w:p>
            <w:pPr>
              <w:pStyle w:val="Compact"/>
            </w:pPr>
            <w:r>
              <w:t xml:space="preserve">Structured logs to centralised store; safeguarding events retained 7 years</w:t>
            </w:r>
          </w:p>
        </w:tc>
        <w:tc>
          <w:tcPr/>
          <w:p>
            <w:pPr>
              <w:pStyle w:val="Compact"/>
            </w:pPr>
            <w:r>
              <w:t xml:space="preserve">UK DPA 2018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Backups</w:t>
            </w:r>
          </w:p>
        </w:tc>
        <w:tc>
          <w:tcPr/>
          <w:p>
            <w:pPr>
              <w:pStyle w:val="Compact"/>
            </w:pPr>
            <w:r>
              <w:t xml:space="preserve">Daily MongoDB Atlas snapshots, 30-day retention; quarterly restore drills</w:t>
            </w:r>
          </w:p>
        </w:tc>
        <w:tc>
          <w:tcPr/>
          <w:p>
            <w:pPr>
              <w:pStyle w:val="Compact"/>
            </w:pPr>
            <w:r>
              <w:t xml:space="preserve">NCSC Cloud Security Principles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Vulnerability scanning</w:t>
            </w:r>
          </w:p>
        </w:tc>
        <w:tc>
          <w:tcPr/>
          <w:p>
            <w:pPr>
              <w:pStyle w:val="Compact"/>
            </w:pPr>
            <w:r>
              <w:t xml:space="preserve">Dependabot + weekly OWASP ZAP scan</w:t>
            </w:r>
          </w:p>
        </w:tc>
        <w:tc>
          <w:tcPr/>
          <w:p>
            <w:pPr>
              <w:pStyle w:val="Compact"/>
            </w:pPr>
            <w:r>
              <w:t xml:space="preserve">NCSC Cloud Security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Penetration testing</w:t>
            </w:r>
          </w:p>
        </w:tc>
        <w:tc>
          <w:tcPr/>
          <w:p>
            <w:pPr>
              <w:pStyle w:val="Compact"/>
            </w:pPr>
            <w:r>
              <w:t xml:space="preserve">Annual external pen-test (from Q2 Year 2) by CREST-approved firm</w:t>
            </w:r>
          </w:p>
        </w:tc>
        <w:tc>
          <w:tcPr/>
          <w:p>
            <w:pPr>
              <w:pStyle w:val="Compact"/>
            </w:pPr>
            <w:r>
              <w:t xml:space="preserve">Cyber Essentials Plus requirement</w:t>
            </w:r>
          </w:p>
        </w:tc>
      </w:tr>
    </w:tbl>
    <w:bookmarkEnd w:id="12"/>
    <w:bookmarkStart w:id="13" w:name="j.5-scalability-headroom"/>
    <w:p>
      <w:pPr>
        <w:pStyle w:val="Heading2"/>
      </w:pPr>
      <w:r>
        <w:t xml:space="preserve">J.5 Scalability headroom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Current capacity</w:t>
            </w:r>
          </w:p>
        </w:tc>
        <w:tc>
          <w:tcPr/>
          <w:p>
            <w:pPr>
              <w:pStyle w:val="Compact"/>
            </w:pPr>
            <w:r>
              <w:t xml:space="preserve">Capacity at 1M users</w:t>
            </w:r>
          </w:p>
        </w:tc>
        <w:tc>
          <w:tcPr/>
          <w:p>
            <w:pPr>
              <w:pStyle w:val="Compact"/>
            </w:pPr>
            <w:r>
              <w:t xml:space="preserve">Mitigation if exceeded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FastAPI pods</w:t>
            </w:r>
          </w:p>
        </w:tc>
        <w:tc>
          <w:tcPr/>
          <w:p>
            <w:pPr>
              <w:pStyle w:val="Compact"/>
            </w:pPr>
            <w:r>
              <w:t xml:space="preserve">2 pods × 0.5 CPU</w:t>
            </w:r>
          </w:p>
        </w:tc>
        <w:tc>
          <w:tcPr/>
          <w:p>
            <w:pPr>
              <w:pStyle w:val="Compact"/>
            </w:pPr>
            <w:r>
              <w:t xml:space="preserve">Auto-scale to 40 pods</w:t>
            </w:r>
          </w:p>
        </w:tc>
        <w:tc>
          <w:tcPr/>
          <w:p>
            <w:pPr>
              <w:pStyle w:val="Compact"/>
            </w:pPr>
            <w:r>
              <w:t xml:space="preserve">Kubernetes HPA already configured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MongoDB Atlas</w:t>
            </w:r>
          </w:p>
        </w:tc>
        <w:tc>
          <w:tcPr/>
          <w:p>
            <w:pPr>
              <w:pStyle w:val="Compact"/>
            </w:pPr>
            <w:r>
              <w:t xml:space="preserve">M10 cluster (~5GB)</w:t>
            </w:r>
          </w:p>
        </w:tc>
        <w:tc>
          <w:tcPr/>
          <w:p>
            <w:pPr>
              <w:pStyle w:val="Compact"/>
            </w:pPr>
            <w:r>
              <w:t xml:space="preserve">M50 cluster (~600GB)</w:t>
            </w:r>
          </w:p>
        </w:tc>
        <w:tc>
          <w:tcPr/>
          <w:p>
            <w:pPr>
              <w:pStyle w:val="Compact"/>
            </w:pPr>
            <w:r>
              <w:t xml:space="preserve">Atlas vertical scaling, no downtime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Push (Expo)</w:t>
            </w:r>
          </w:p>
        </w:tc>
        <w:tc>
          <w:tcPr/>
          <w:p>
            <w:pPr>
              <w:pStyle w:val="Compact"/>
            </w:pPr>
            <w:r>
              <w:t xml:space="preserve">200k/day</w:t>
            </w:r>
          </w:p>
        </w:tc>
        <w:tc>
          <w:tcPr/>
          <w:p>
            <w:pPr>
              <w:pStyle w:val="Compact"/>
            </w:pPr>
            <w:r>
              <w:t xml:space="preserve">Unlimited (Expo Pricing)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10k/day (Gmail)</w:t>
            </w:r>
          </w:p>
        </w:tc>
        <w:tc>
          <w:tcPr/>
          <w:p>
            <w:pPr>
              <w:pStyle w:val="Compact"/>
            </w:pPr>
            <w:r>
              <w:t xml:space="preserve">Migrate to AWS SES at 50k/day</w:t>
            </w:r>
          </w:p>
        </w:tc>
        <w:tc>
          <w:tcPr/>
          <w:p>
            <w:pPr>
              <w:pStyle w:val="Compact"/>
            </w:pPr>
            <w:r>
              <w:t xml:space="preserve">Already designed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calls</w:t>
            </w:r>
          </w:p>
        </w:tc>
        <w:tc>
          <w:tcPr/>
          <w:p>
            <w:pPr>
              <w:pStyle w:val="Compact"/>
            </w:pPr>
            <w:r>
              <w:t xml:space="preserve">Soft cap by Emergent LLM Key budget</w:t>
            </w:r>
          </w:p>
        </w:tc>
        <w:tc>
          <w:tcPr/>
          <w:p>
            <w:pPr>
              <w:pStyle w:val="Compact"/>
            </w:pPr>
            <w:r>
              <w:t xml:space="preserve">Move to direct OpenAI org account</w:t>
            </w:r>
          </w:p>
        </w:tc>
        <w:tc>
          <w:tcPr/>
          <w:p>
            <w:pPr>
              <w:pStyle w:val="Compact"/>
            </w:pPr>
            <w:r>
              <w:t xml:space="preserve">One-line config change</w:t>
            </w:r>
          </w:p>
        </w:tc>
      </w:tr>
    </w:tbl>
    <w:bookmarkEnd w:id="13"/>
    <w:bookmarkStart w:id="14" w:name="j.6-disaster-recovery-rto-rpo"/>
    <w:p>
      <w:pPr>
        <w:pStyle w:val="Heading2"/>
      </w:pPr>
      <w:r>
        <w:t xml:space="preserve">J.6 Disaster-recovery RTO / RPO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Recovery Time Objective</w:t>
            </w:r>
          </w:p>
        </w:tc>
        <w:tc>
          <w:tcPr/>
          <w:p>
            <w:pPr>
              <w:pStyle w:val="Compact"/>
            </w:pPr>
            <w:r>
              <w:t xml:space="preserve">Recovery Point Objective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Single-pod failure</w:t>
            </w:r>
          </w:p>
        </w:tc>
        <w:tc>
          <w:tcPr/>
          <w:p>
            <w:pPr>
              <w:pStyle w:val="Compact"/>
            </w:pPr>
            <w:r>
              <w:t xml:space="preserve">&lt; 30 seconds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Region failure (London)</w:t>
            </w:r>
          </w:p>
        </w:tc>
        <w:tc>
          <w:tcPr/>
          <w:p>
            <w:pPr>
              <w:pStyle w:val="Compact"/>
            </w:pPr>
            <w:r>
              <w:t xml:space="preserve">&lt; 4 hours</w:t>
            </w:r>
          </w:p>
        </w:tc>
        <w:tc>
          <w:tcPr/>
          <w:p>
            <w:pPr>
              <w:pStyle w:val="Compact"/>
            </w:pPr>
            <w:r>
              <w:t xml:space="preserve">&lt; 24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corruption</w:t>
            </w:r>
          </w:p>
        </w:tc>
        <w:tc>
          <w:tcPr/>
          <w:p>
            <w:pPr>
              <w:pStyle w:val="Compact"/>
            </w:pPr>
            <w:r>
              <w:t xml:space="preserve">&lt; 4 hours</w:t>
            </w:r>
          </w:p>
        </w:tc>
        <w:tc>
          <w:tcPr/>
          <w:p>
            <w:pPr>
              <w:pStyle w:val="Compact"/>
            </w:pPr>
            <w:r>
              <w:t xml:space="preserve">&lt; 24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data loss</w:t>
            </w:r>
          </w:p>
        </w:tc>
        <w:tc>
          <w:tcPr/>
          <w:p>
            <w:pPr>
              <w:pStyle w:val="Compact"/>
            </w:pPr>
            <w:r>
              <w:t xml:space="preserve">&lt; 24 hours</w:t>
            </w:r>
          </w:p>
        </w:tc>
        <w:tc>
          <w:tcPr/>
          <w:p>
            <w:pPr>
              <w:pStyle w:val="Compact"/>
            </w:pPr>
            <w:r>
              <w:t xml:space="preserve">&lt; 24 hours</w:t>
            </w:r>
          </w:p>
        </w:tc>
      </w:tr>
    </w:tbl>
    <w:p>
      <w:pPr>
        <w:pStyle w:val="BodyText"/>
      </w:pPr>
      <w:r>
        <w:t xml:space="preserve">A documented runbook is maintained in</w:t>
      </w:r>
      <w:r>
        <w:t xml:space="preserve"> </w:t>
      </w:r>
      <w:r>
        <w:rPr>
          <w:rStyle w:val="VerbatimChar"/>
        </w:rPr>
        <w:t xml:space="preserve">/app/backend/scripts/RUNBOOK.md</w:t>
      </w:r>
      <w:r>
        <w:t xml:space="preserve">.</w:t>
      </w:r>
    </w:p>
    <w:bookmarkEnd w:id="14"/>
    <w:bookmarkStart w:id="15" w:name="j.7-roadmap-items-not-yet-built"/>
    <w:p>
      <w:pPr>
        <w:pStyle w:val="Heading2"/>
      </w:pPr>
      <w:r>
        <w:t xml:space="preserve">J.7 Roadmap items not yet built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Target quarter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University SSO (Shibboleth / SAML)</w:t>
            </w:r>
          </w:p>
        </w:tc>
        <w:tc>
          <w:tcPr/>
          <w:p>
            <w:pPr>
              <w:pStyle w:val="Compact"/>
            </w:pPr>
            <w:r>
              <w:t xml:space="preserve">Q2 Year 1</w:t>
            </w:r>
          </w:p>
        </w:tc>
        <w:tc>
          <w:tcPr/>
          <w:p>
            <w:pPr>
              <w:pStyle w:val="Compact"/>
            </w:pPr>
            <w:r>
              <w:t xml:space="preserve">Required for some Russell Group integrations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Anonymised analytics export to partner DSLs</w:t>
            </w:r>
          </w:p>
        </w:tc>
        <w:tc>
          <w:tcPr/>
          <w:p>
            <w:pPr>
              <w:pStyle w:val="Compact"/>
            </w:pPr>
            <w:r>
              <w:t xml:space="preserve">Q3 Year 1</w:t>
            </w:r>
          </w:p>
        </w:tc>
        <w:tc>
          <w:tcPr/>
          <w:p>
            <w:pPr>
              <w:pStyle w:val="Compact"/>
            </w:pPr>
            <w:r>
              <w:t xml:space="preserve">Aggregate, no individual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 27001 controls hardening</w:t>
            </w:r>
          </w:p>
        </w:tc>
        <w:tc>
          <w:tcPr/>
          <w:p>
            <w:pPr>
              <w:pStyle w:val="Compact"/>
            </w:pPr>
            <w:r>
              <w:t xml:space="preserve">Year 3</w:t>
            </w:r>
          </w:p>
        </w:tc>
        <w:tc>
          <w:tcPr/>
          <w:p>
            <w:pPr>
              <w:pStyle w:val="Compact"/>
            </w:pPr>
            <w:r>
              <w:t xml:space="preserve">Required for NHS DSPT alignment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End-to-end encrypted DMs (Signal protocol)</w:t>
            </w:r>
          </w:p>
        </w:tc>
        <w:tc>
          <w:tcPr/>
          <w:p>
            <w:pPr>
              <w:pStyle w:val="Compact"/>
            </w:pPr>
            <w:r>
              <w:t xml:space="preserve">Year 2</w:t>
            </w:r>
          </w:p>
        </w:tc>
        <w:tc>
          <w:tcPr/>
          <w:p>
            <w:pPr>
              <w:pStyle w:val="Compact"/>
            </w:pPr>
            <w:r>
              <w:t xml:space="preserve">Safeguarding compatibility under evaluation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appendix is a current-state and forward-looking architecture summary as at the date of submission. Material architecture changes will be communicated to UKES at the standard 6/12/24-month contact points.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2026-08-19T18:48:58Z</dcterms:created>
  <dcterms:modified xsi:type="dcterms:W3CDTF">2026-08-19T18:48:58Z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