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quad--risk-register"/>
    <w:p>
      <w:pPr>
        <w:pStyle w:val="Heading1"/>
      </w:pPr>
      <w:r>
        <w:t xml:space="preserve">DEQUAD — Risk Register</w:t>
      </w:r>
    </w:p>
    <w:bookmarkStart w:id="20" w:name="Xe377e85253d05b96fb6e95796d2c7f89dafd0d3"/>
    <w:p>
      <w:pPr>
        <w:pStyle w:val="Heading2"/>
      </w:pPr>
      <w:r>
        <w:t xml:space="preserve">Supporting Appendix — UKES Innovator Founder Visa Submission</w:t>
      </w:r>
    </w:p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UKES may request a standalone risk register alongside the</w:t>
      </w:r>
      <w:r>
        <w:t xml:space="preserve"> </w:t>
      </w:r>
      <w:r>
        <w:t xml:space="preserve">business plan. This document enumerates the 16 most material risks</w:t>
      </w:r>
      <w:r>
        <w:t xml:space="preserve"> </w:t>
      </w:r>
      <w:r>
        <w:t xml:space="preserve">identified by the founders, scores each on a 1–5 scale for both</w:t>
      </w:r>
      <w:r>
        <w:t xml:space="preserve"> </w:t>
      </w:r>
      <w:r>
        <w:t xml:space="preserve">Likelihood and Impact, gives the resulting Risk Score</w:t>
      </w:r>
      <w:r>
        <w:t xml:space="preserve"> </w:t>
      </w:r>
      <w:r>
        <w:t xml:space="preserve">(Likelihood × Impact), states the chosen mitigation, and names the risk</w:t>
      </w:r>
      <w:r>
        <w:t xml:space="preserve"> </w:t>
      </w:r>
      <w:r>
        <w:t xml:space="preserve">owner.</w:t>
      </w:r>
    </w:p>
    <w:p>
      <w:pPr>
        <w:pStyle w:val="BlockText"/>
      </w:pPr>
      <w:r>
        <w:t xml:space="preserve">Reviewed: monthly by the founders; quarterly by the (future) board once</w:t>
      </w:r>
      <w:r>
        <w:t xml:space="preserve"> </w:t>
      </w:r>
      <w:r>
        <w:t xml:space="preserve">the pre-seed round closes.</w:t>
      </w:r>
    </w:p>
    <w:p>
      <w:r>
        <w:pict>
          <v:rect style="width:0;height:1.5pt" o:hralign="center" o:hrstd="t" o:hr="t"/>
        </w:pict>
      </w:r>
    </w:p>
    <w:bookmarkEnd w:id="20"/>
    <w:bookmarkStart w:id="21" w:name="how-the-scoring-works"/>
    <w:p>
      <w:pPr>
        <w:pStyle w:val="Heading2"/>
      </w:pPr>
      <w:r>
        <w:t xml:space="preserve">How the scoring 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 (&lt; 5% within 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 (&lt; £2k or no functional impact)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Unlikely (~ 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 (£2k–£10k or short-term operational disruption)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(~ 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(£10k–£50k or 1-month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(~ 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(£50k–£200k, key hire lost, partial loss of customer trust)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certain (&gt; 75%)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(existential, regulatory action, safeguarding incident)</w:t>
            </w:r>
          </w:p>
        </w:tc>
      </w:tr>
    </w:tbl>
    <w:p>
      <w:pPr>
        <w:pStyle w:val="BodyText"/>
      </w:pPr>
      <w:r>
        <w:t xml:space="preserve">Risk score traffic-light: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🔴 16–25</w:t>
      </w:r>
      <w:r>
        <w:t xml:space="preserve"> </w:t>
      </w:r>
      <w:r>
        <w:t xml:space="preserve">— actively managed each week; board-visible.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🟠 9–15</w:t>
      </w:r>
      <w:r>
        <w:t xml:space="preserve"> </w:t>
      </w:r>
      <w:r>
        <w:t xml:space="preserve">— actively managed each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🟡 4–8</w:t>
      </w:r>
      <w:r>
        <w:t xml:space="preserve"> </w:t>
      </w:r>
      <w:r>
        <w:t xml:space="preserve">— managed quarterly.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🟢 1–3</w:t>
      </w:r>
      <w:r>
        <w:t xml:space="preserve"> </w:t>
      </w:r>
      <w:r>
        <w:t xml:space="preserve">— accepted; reviewed annually.</w:t>
      </w:r>
    </w:p>
    <w:p>
      <w:r>
        <w:pict>
          <v:rect style="width:0;height:1.5pt" o:hralign="center" o:hrstd="t" o:hr="t"/>
        </w:pict>
      </w:r>
    </w:p>
    <w:bookmarkEnd w:id="21"/>
    <w:bookmarkStart w:id="22" w:name="risk-register"/>
    <w:p>
      <w:pPr>
        <w:pStyle w:val="Heading2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in place /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of Bedfordshire pilot fails to convert before Sep Y1 — pre-seed bridge slips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founder is a</w:t>
            </w:r>
            <w:r>
              <w:t xml:space="preserve"> </w:t>
            </w:r>
            <w:r>
              <w:rPr>
                <w:bCs/>
                <w:b/>
              </w:rPr>
              <w:t xml:space="preserve">former University of Bedfordshire Student Union President (2021–2023)</w:t>
            </w:r>
            <w:r>
              <w:t xml:space="preserve"> </w:t>
            </w:r>
            <w:r>
              <w:t xml:space="preserve">with existing senior-management relationships; conversion likelihood materially de-risked vs. cold-outreach. Two further pilot conversations scoped at peer institutions as backup. Founders have committed personal-savings top-up for any 4-week slip.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Co-founder formal appointment delayed past incorporation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identified, term sheet drafted; founder agreement signed; CEO covers Y1 technical work alone if hire slips by &lt; 90 days; backup engineering contractor identified.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 fails to close in Sep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parallel investor tracks: (a) UKES angel network, (b) NatWest Accelerator demo day Q3 Y1.</w:t>
            </w:r>
            <w:r>
              <w:t xml:space="preserve"> </w:t>
            </w:r>
            <w:r>
              <w:rPr>
                <w:bCs/>
                <w:b/>
              </w:rPr>
              <w:t xml:space="preserve">£6,000 founder cash + £31k in-kind support carry the business with positive monthly closing balances every month of Year 1</w:t>
            </w:r>
            <w:r>
              <w:t xml:space="preserve">, so a 3-month investor slip is tolerable. Fall-back: Innovate UK Smart Grant submitted Q2 Y1 (~£30k).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Safeguarding incident — false negative (failure to flag a real risk signal)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Clinical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 review for all high-risk flags within 1h; clear in-app crisis-escalation path (Samaritans, 999, university DSL); £1m professional indemnity insurance; clinical advisory board recruitment underway (Q2 Y2 target).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Safeguarding incident — false positive that harms a student</w:t>
            </w:r>
            <w:r>
              <w:t xml:space="preserve"> </w:t>
            </w:r>
            <w:r>
              <w:t xml:space="preserve">(e.g. wrong escalation)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/ Clinical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Two-step DSL confirmation before any disclosure outside the platform; full audit log; student "appeal" route surfaced in-product.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Online Safety Act 2023 non-compliance or ICO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risk assessment &amp; reporting flows already shipped (Appendix I); ICO DPIA drafted (Appendix E); legal review via NatWest Mishcon panel; quarterly compliance review with external counsel.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Cybersecurity breach (PII / mood-data leak)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certification in progress; mood data stored separately from identity data; encryption-at-rest; secrets vault; bug-bounty programme post-seed; penetration test scheduled Q2 Y2.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 / TalkCampus copy the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.ac.uk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verification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First-mover positioning on universities; safeguarding webhook + insights dashboard are deeper moats than email-domain logic alone; signed exclusivity clauses with first 5 paying universities.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Large incumbent (Microsoft, Meta, Pearson) launches a competing student-only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Niche depth (safeguarding triage + ICB integration) is unattractive to a horizontal incumbent; build defensible university relationships and data network effects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buyer (Director of Student Services) treats DEQUAD as line-item rather than strategic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alongside OfS statutory MH condition and UUK Charter so the budget conversation is with the VC or Deputy VC, not just Student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Cost-of-living squeeze suppresses DEQUAD Premium uptake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revenue covers fixed cost base; premium is upside. £4.99/mo price-point already at lower bound of student tolerance.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 provider price spike (OpenAI / Anthropic) materially raises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Multi-provider abstraction (Emergent integrations) in place — can swap providers in &lt; 1 day; tier-down to smaller / open-source model for low-risk classification tasks.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Negative national PR from a misreported case or social-media pile-on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Reactive PR plan with NatWest-provided agency on retainer (post-seed); clear transparency policy; clinical advisory board to provide third-party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engineering hire leaves in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options with 4-year vest + 1-year cliff; documentation and pairing culture; contractor pool identified for emergency cover.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Tighter UK immigration regime restricts future hires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co-founders already UK-resident; first 12 hires are UK-only; secure sponsor licence once headcount &gt;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burnout (working without salary for 6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/ Personal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M8+ founder salary draw; mandated weekly off-day; mentor check-ins through NatWest Accelerator; personal-savings runway calculated and disclosed.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risk-dashboard--year-1-focus"/>
    <w:p>
      <w:pPr>
        <w:pStyle w:val="Heading2"/>
      </w:pPr>
      <w:r>
        <w:t xml:space="preserve">Risk dashboard — Year 1 focus</w:t>
      </w:r>
    </w:p>
    <w:p>
      <w:pPr>
        <w:pStyle w:val="FirstParagraph"/>
      </w:pPr>
      <w:r>
        <w:t xml:space="preserve">The seven highest-scoring risks define the Year-1 management agenda: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Bedfordshire pilot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pipeline review with CEO; pilot-to-paid forecast updated each Friday. Standing fortnightly check-in with Bedfordshire Director of Student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Co-founder 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sheet + commencement date frozen by end M2.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Pre-seed bridge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 pipeline reviewed fortnightly; data-room kept current.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— Safeguarding false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of flagged + un-flagged cases reviewed each week by CEO + clinical advisor (informal until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— Safeguarding false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review cadence as R4.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— 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review with legal counsel (via NatWest Mishcon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— Cyber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secrets-rotation; quarterly dependency audit.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isks-accepted-"/>
    <w:p>
      <w:pPr>
        <w:pStyle w:val="Heading2"/>
      </w:pPr>
      <w:r>
        <w:t xml:space="preserve">Risks accepted (🟢)</w:t>
      </w:r>
    </w:p>
    <w:p>
      <w:pPr>
        <w:pStyle w:val="FirstParagraph"/>
      </w:pPr>
      <w:r>
        <w:t xml:space="preserve">The founders have accepted (and disclosed to UKES) the following lower-priority risks without active mitigation in Year 1: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R-A1</w:t>
      </w:r>
      <w:r>
        <w:t xml:space="preserve"> </w:t>
      </w:r>
      <w:r>
        <w:t xml:space="preserve">Foreign-exchange exposure on USD-denominated cloud bills — accepted: &lt; 10% of COGS.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R-A2</w:t>
      </w:r>
      <w:r>
        <w:t xml:space="preserve"> </w:t>
      </w:r>
      <w:r>
        <w:t xml:space="preserve">Personal liability for limited director duties — accepted with standard D&amp;O insurance to be in place post-seed.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R-A3</w:t>
      </w:r>
      <w:r>
        <w:t xml:space="preserve"> </w:t>
      </w:r>
      <w:r>
        <w:t xml:space="preserve">Domain-name / trademark dispute with similar-name companies — accepted; full UKIPO and EUIPO trademark searches completed pre-incorporation; no conflicts found.</w:t>
      </w:r>
    </w:p>
    <w:p>
      <w:r>
        <w:pict>
          <v:rect style="width:0;height:1.5pt" o:hralign="center" o:hrstd="t" o:hr="t"/>
        </w:pict>
      </w:r>
    </w:p>
    <w:bookmarkEnd w:id="24"/>
    <w:bookmarkStart w:id="25" w:name="governance"/>
    <w:p>
      <w:pPr>
        <w:pStyle w:val="Heading2"/>
      </w:pPr>
      <w:r>
        <w:t xml:space="preserve">Governance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Monthly:</w:t>
      </w:r>
      <w:r>
        <w:t xml:space="preserve"> </w:t>
      </w:r>
      <w:r>
        <w:t xml:space="preserve">Founders review the full register; update RAG scores; surface new risks; close mitigated risks.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Quarterly:</w:t>
      </w:r>
      <w:r>
        <w:t xml:space="preserve"> </w:t>
      </w:r>
      <w:r>
        <w:t xml:space="preserve">External advisor (NatWest Accelerator programme manager) reviews the register and challenges any rosy scoring.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 pre-seed (Sep Y1):</w:t>
      </w:r>
      <w:r>
        <w:t xml:space="preserve"> </w:t>
      </w:r>
      <w:r>
        <w:t xml:space="preserve">Risk register becomes a standing board paper.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 seed (Q2 Y2):</w:t>
      </w:r>
      <w:r>
        <w:t xml:space="preserve"> </w:t>
      </w:r>
      <w:r>
        <w:t xml:space="preserve">Independent non-executive director appointed to chair an audit &amp; risk sub-committee.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Prepared for UKES as Appendix L to the Innovator Founder visa endorsement application — February 2026.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