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3d7e32013d8cc9fc4cc91faa84071cea3bbd17"/>
    <w:p>
      <w:pPr>
        <w:pStyle w:val="Heading1"/>
      </w:pPr>
      <w:r>
        <w:t xml:space="preserve">Appendix I — Online Safety Act 2023 Compliance Opinion</w:t>
      </w:r>
    </w:p>
    <w:p>
      <w:pPr>
        <w:pStyle w:val="FirstParagraph"/>
      </w:pPr>
      <w:r>
        <w:rPr>
          <w:bCs/>
          <w:b/>
        </w:rPr>
        <w:t xml:space="preserve">Subject of opinion:</w:t>
      </w:r>
      <w:r>
        <w:t xml:space="preserve"> </w:t>
      </w:r>
      <w:r>
        <w:t xml:space="preserve">DEQUAD (DEQUAD Ltd in formation), operated at</w:t>
      </w:r>
      <w:r>
        <w:t xml:space="preserve"> </w:t>
      </w:r>
      <w:hyperlink r:id="rId20">
        <w:r>
          <w:rPr>
            <w:rStyle w:val="Hyperlink"/>
          </w:rPr>
          <w:t xml:space="preserve">https://dequad.co.uk</w:t>
        </w:r>
      </w:hyperlink>
      <w:r>
        <w:t xml:space="preserve"> </w:t>
      </w:r>
      <w:r>
        <w:rPr>
          <w:bCs/>
          <w:b/>
        </w:rPr>
        <w:t xml:space="preserve">Author of internal assessment:</w:t>
      </w:r>
      <w:r>
        <w:t xml:space="preserve"> </w:t>
      </w:r>
      <w:r>
        <w:t xml:space="preserve">Yusuf Quadri (Founder)</w:t>
      </w:r>
      <w:r>
        <w:t xml:space="preserve"> </w:t>
      </w:r>
      <w:r>
        <w:rPr>
          <w:bCs/>
          <w:b/>
        </w:rPr>
        <w:t xml:space="preserve">External counsel of record:</w:t>
      </w:r>
      <w:r>
        <w:t xml:space="preserve"> </w:t>
      </w:r>
      <w:r>
        <w:t xml:space="preserve">[Law firm to be appointed — recommended panel: Bristows, Mishcon, Wiggin, Schillings]</w:t>
      </w:r>
      <w:r>
        <w:t xml:space="preserve"> </w:t>
      </w:r>
      <w:r>
        <w:rPr>
          <w:bCs/>
          <w:b/>
        </w:rPr>
        <w:t xml:space="preserve">Date of latest review:</w:t>
      </w:r>
      <w:r>
        <w:t xml:space="preserve"> </w:t>
      </w:r>
      <w:r>
        <w:t xml:space="preserve">___________________</w:t>
      </w:r>
    </w:p>
    <w:p>
      <w:r>
        <w:pict>
          <v:rect style="width:0;height:1.5pt" o:hralign="center" o:hrstd="t" o:hr="t"/>
        </w:pict>
      </w:r>
    </w:p>
    <w:bookmarkStart w:id="21" w:name="i1-purpose"/>
    <w:p>
      <w:pPr>
        <w:pStyle w:val="Heading2"/>
      </w:pPr>
      <w:r>
        <w:t xml:space="preserve">I.1 Purpose</w:t>
      </w:r>
    </w:p>
    <w:p>
      <w:pPr>
        <w:pStyle w:val="FirstParagraph"/>
      </w:pPr>
      <w:r>
        <w:t xml:space="preserve">This document is an internal compliance opinion summarising DEQUAD's position under the</w:t>
      </w:r>
      <w:r>
        <w:t xml:space="preserve"> </w:t>
      </w:r>
      <w:r>
        <w:rPr>
          <w:bCs/>
          <w:b/>
        </w:rPr>
        <w:t xml:space="preserve">Online Safety Act 2023</w:t>
      </w:r>
      <w:r>
        <w:t xml:space="preserve"> </w:t>
      </w:r>
      <w:r>
        <w:t xml:space="preserve">("OSA") and is intended to demonstrate to UK Endorsement Services Ltd that the applicant has identified the obligations applicable to the business and has built the product with them in mind.</w:t>
      </w:r>
    </w:p>
    <w:p>
      <w:pPr>
        <w:pStyle w:val="BodyText"/>
      </w:pPr>
      <w:r>
        <w:t xml:space="preserve">A signed external legal opinion from a UK-qualified solicitor in good standing will be commissioned during Month 2 post-endorsement and attached to this appendix at the next UKES contact point.</w:t>
      </w:r>
    </w:p>
    <w:p>
      <w:r>
        <w:pict>
          <v:rect style="width:0;height:1.5pt" o:hralign="center" o:hrstd="t" o:hr="t"/>
        </w:pict>
      </w:r>
    </w:p>
    <w:bookmarkEnd w:id="21"/>
    <w:bookmarkStart w:id="22" w:name="X8b4b453d4e733b57ec2f44df5b347e575567b56"/>
    <w:p>
      <w:pPr>
        <w:pStyle w:val="Heading2"/>
      </w:pPr>
      <w:r>
        <w:t xml:space="preserve">I.2 Categorisation of DEQUAD under the OSA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Regulated user-to-user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(verified students) share content with other users via messages and profile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DEQUAD does not provide search across third-party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 to be accessed by children (under 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(residual)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Although DEQUAD targets verified university students (predominantly 18+), some UK undergraduates start at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1 service (Ofcom designation)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(forecast)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DEQUAD's user base and functionality will not meet the Category 1 thresholds during the endorsement window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Practical implication:</w:t>
      </w:r>
      <w:r>
        <w:t xml:space="preserve"> </w:t>
      </w:r>
      <w:r>
        <w:t xml:space="preserve">DEQUAD is a</w:t>
      </w:r>
      <w:r>
        <w:t xml:space="preserve"> </w:t>
      </w:r>
      <w:r>
        <w:rPr>
          <w:bCs/>
          <w:b/>
        </w:rPr>
        <w:t xml:space="preserve">Category 2B-equivalent</w:t>
      </w:r>
      <w:r>
        <w:t xml:space="preserve"> </w:t>
      </w:r>
      <w:r>
        <w:t xml:space="preserve">user-to-user service with residual exposure to under-18 users. The applicable duties are summarised in §I.3.</w:t>
      </w:r>
    </w:p>
    <w:p>
      <w:r>
        <w:pict>
          <v:rect style="width:0;height:1.5pt" o:hralign="center" o:hrstd="t" o:hr="t"/>
        </w:pict>
      </w:r>
    </w:p>
    <w:bookmarkEnd w:id="22"/>
    <w:bookmarkStart w:id="23" w:name="i3-applicable-duties"/>
    <w:p>
      <w:pPr>
        <w:pStyle w:val="Heading2"/>
      </w:pPr>
      <w:r>
        <w:t xml:space="preserve">I.3 Applicable duties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DEQUAD design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Illegal-content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 s. 9, s.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Completed; reviewed annually. See §I.4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Illegal-content safety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 s.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keyword scanning + escalation to DSL; reporting flow built; takedown SLA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Children's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 s. 11, s.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under assumption of residual under-18 access. See §I.5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Children's safety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 s.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safety setting default-on for all users; no algorithmic recommendation of strangers to flagged-under-18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Content-reporting and complaints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 s.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"Report a profile" feature live since 2026; complaints SLA 4 hours human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empowerment (Cat 1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 s.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(Cat 2B)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Freedom of expression /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 s.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documents necessity + proportionality of every safeguarding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Record-keeping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 s.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safeguarding events logged for 7 years; risk-assessment versions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Designated content 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 s. 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DSL appointed; backup DSL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Ofcom information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 s.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in place: 7-day response SLA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b27b0178240c8c8d120cbf25a97447689856a5d"/>
    <w:p>
      <w:pPr>
        <w:pStyle w:val="Heading2"/>
      </w:pPr>
      <w:r>
        <w:t xml:space="preserve">I.4 Illegal-content risk assessment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 illegal content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on DEQUAD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Terrorism (s. 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UK university network; no anonymous posting; no public discoverability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keyword scan + reporting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sexual abuse (CSAM)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  <w:r>
              <w:t xml:space="preserve"> </w:t>
            </w:r>
            <w:r>
              <w:rPr>
                <w:rStyle w:val="VerbatimChar"/>
              </w:rPr>
              <w:t xml:space="preserve">.ac.uk</w:t>
            </w:r>
            <w:r>
              <w:t xml:space="preserve"> </w:t>
            </w:r>
            <w:r>
              <w:t xml:space="preserve">users (16+ at oldest UK universities); no photo-sharing without face-detection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upload moderation queue; CSAM detection partner to be appointed Y1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Hate offences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demographics include vulnerable groups; loneliness apps attract abuse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slur detection (already live); zero-tolerance ban policy; appeals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Harassment / stalking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Direct-message functionality enables targeted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Per-message safeguarding scan; "block + report" combined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Controlling / coercive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Closed-network apps can enable controlling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detection on per-conversation cadence; safeguarding nudges; partnership with Refuge for IDVA referrals (Y2)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Drugs / firearms / sale of stolen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Verified-student network with strict TOS; no marketplace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 prohibition + reporting + 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payment between users; no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Stripe-only billing flow; users cannot solicit 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Suicide and self-injury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platform's safeguarding role makes this content type uniquely 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Per-message scan + DSL escalation + Samaritans/Shout signposting (live); evaluated 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Encouragement of suicide (s. 184 OSA)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scanning; "encouragement" patterns distinct from "expression of distress" — DSL 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Animal cruelty / extreme pornography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mass-media upload; profile photos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Profile-photo moderation queue</w:t>
            </w:r>
          </w:p>
        </w:tc>
      </w:tr>
    </w:tbl>
    <w:p>
      <w:pPr>
        <w:pStyle w:val="BodyText"/>
      </w:pPr>
      <w:r>
        <w:t xml:space="preserve">The full Illegal Content Risk Assessment (ICRA) is kept on file and reviewed annually. Methodology aligns with Ofcom's</w:t>
      </w:r>
      <w:r>
        <w:t xml:space="preserve"> </w:t>
      </w:r>
      <w:r>
        <w:rPr>
          <w:bCs/>
          <w:b/>
        </w:rPr>
        <w:t xml:space="preserve">Online Safety: Illegal Harms Guidance</w:t>
      </w:r>
      <w:r>
        <w:t xml:space="preserve"> </w:t>
      </w:r>
      <w:r>
        <w:t xml:space="preserve">(December 2024).</w:t>
      </w:r>
    </w:p>
    <w:p>
      <w:r>
        <w:pict>
          <v:rect style="width:0;height:1.5pt" o:hralign="center" o:hrstd="t" o:hr="t"/>
        </w:pict>
      </w:r>
    </w:p>
    <w:bookmarkEnd w:id="24"/>
    <w:bookmarkStart w:id="25" w:name="i5-childrens-risk-assessment-summary"/>
    <w:p>
      <w:pPr>
        <w:pStyle w:val="Heading2"/>
      </w:pPr>
      <w:r>
        <w:t xml:space="preserve">I.5 Children's risk assessment summary</w:t>
      </w:r>
    </w:p>
    <w:p>
      <w:pPr>
        <w:pStyle w:val="FirstParagraph"/>
      </w:pPr>
      <w:r>
        <w:t xml:space="preserve">DEQUAD is designed for verified UK university students. The platform's verification gate (active</w:t>
      </w:r>
      <w:r>
        <w:t xml:space="preserve"> </w:t>
      </w:r>
      <w:r>
        <w:rPr>
          <w:rStyle w:val="VerbatimChar"/>
        </w:rPr>
        <w:t xml:space="preserve">.ac.uk</w:t>
      </w:r>
      <w:r>
        <w:t xml:space="preserve"> </w:t>
      </w:r>
      <w:r>
        <w:t xml:space="preserve">email) excludes the vast majority of under-18 users. However:</w:t>
      </w:r>
    </w:p>
    <w:p>
      <w:pPr>
        <w:numPr>
          <w:ilvl w:val="0"/>
          <w:numId w:val="1001"/>
        </w:numPr>
        <w:pStyle w:val="Compact"/>
      </w:pPr>
      <w:r>
        <w:t xml:space="preserve">A small number of UK undergraduate students begin their first year aged 17 (typically birthday-rule edge cases).</w:t>
      </w:r>
    </w:p>
    <w:p>
      <w:pPr>
        <w:numPr>
          <w:ilvl w:val="0"/>
          <w:numId w:val="1001"/>
        </w:numPr>
        <w:pStyle w:val="Compact"/>
      </w:pPr>
      <w:r>
        <w:t xml:space="preserve">Some Foundation-Year and Access course students at partner FE institutions may be 16+.</w:t>
      </w:r>
    </w:p>
    <w:p>
      <w:pPr>
        <w:pStyle w:val="FirstParagraph"/>
      </w:pPr>
      <w:r>
        <w:t xml:space="preserve">The Children's Risk Assessment therefore treats DEQUAD as a service with</w:t>
      </w:r>
      <w:r>
        <w:t xml:space="preserve"> </w:t>
      </w:r>
      <w:r>
        <w:rPr>
          <w:bCs/>
          <w:b/>
        </w:rPr>
        <w:t xml:space="preserve">residual exposure to under-18 users</w:t>
      </w:r>
      <w:r>
        <w:t xml:space="preserve"> </w:t>
      </w:r>
      <w:r>
        <w:t xml:space="preserve">and applies the corresponding precautions: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Precaution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Age-assurance at sign-up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Self-declared birth date + verified university email. Stronger age-verification under evaluation for Year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privacy-protective settings for likely under-18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discoverability via search; no exposure to adult users &gt;5 years older without dual opt-in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Children's content-design code (ICO AADC)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in from launch: data minimisation, no profiling, no dark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and reporting tools tailored for younger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Plain-English help; one-tap "I need help" route to Childline (for under-18 self-identified users)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i6-designated-roles-and-accountabilities"/>
    <w:p>
      <w:pPr>
        <w:pStyle w:val="Heading2"/>
      </w:pPr>
      <w:r>
        <w:t xml:space="preserve">I.6 Designated roles and accountabilities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OSA-mandated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/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Manager Responsible for Compliance (OSA s. 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Yusuf Quadri, CEO (with Yusuff Adeagbo, CTO, as deputy)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founder accountability documented in board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Designated Safeguarding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be appointed Month 1 post-endorsement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 in Appendix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Outsourced fractional in Y1 (e.g. The DPO Centre, IT Governance); FTE in Y2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Ofcom liaison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Yusuf Quadri, CEO (Y1); transition to in-house counsel Y3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i7-engagement-with-the-regulator-ofcom"/>
    <w:p>
      <w:pPr>
        <w:pStyle w:val="Heading2"/>
      </w:pPr>
      <w:r>
        <w:t xml:space="preserve">I.7 Engagement with the regulator (Ofcom)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for Ofcom's small-platform information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Month 1 post-endorsement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Subscribed to Ofcom guidance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Familiarity with Ofcom's Guidance for Smaller Providers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for Ofcom transparency reports (if Cat 1 designation triggered)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Documented; no current Cat 1 forecast within endorsement window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14e8d6c675186afbf0d9e01f7f78552e93f2d51"/>
    <w:p>
      <w:pPr>
        <w:pStyle w:val="Heading2"/>
      </w:pPr>
      <w:r>
        <w:t xml:space="preserve">I.8 External legal opinion — scope of work to be commissioned</w:t>
      </w:r>
    </w:p>
    <w:p>
      <w:pPr>
        <w:pStyle w:val="FirstParagraph"/>
      </w:pPr>
      <w:r>
        <w:t xml:space="preserve">The external legal opinion to be commissioned in Month 2 post-endorsement will cover:</w:t>
      </w:r>
    </w:p>
    <w:p>
      <w:pPr>
        <w:numPr>
          <w:ilvl w:val="0"/>
          <w:numId w:val="1002"/>
        </w:numPr>
        <w:pStyle w:val="Compact"/>
      </w:pPr>
      <w:r>
        <w:t xml:space="preserve">Confirmation of DEQUAD's categorisation under the OSA;</w:t>
      </w:r>
    </w:p>
    <w:p>
      <w:pPr>
        <w:numPr>
          <w:ilvl w:val="0"/>
          <w:numId w:val="1002"/>
        </w:numPr>
        <w:pStyle w:val="Compact"/>
      </w:pPr>
      <w:r>
        <w:t xml:space="preserve">Sufficiency of the Illegal Content and Children's Risk Assessments;</w:t>
      </w:r>
    </w:p>
    <w:p>
      <w:pPr>
        <w:numPr>
          <w:ilvl w:val="0"/>
          <w:numId w:val="1002"/>
        </w:numPr>
        <w:pStyle w:val="Compact"/>
      </w:pPr>
      <w:r>
        <w:t xml:space="preserve">Sufficiency of the content-reporting and complaints procedures;</w:t>
      </w:r>
    </w:p>
    <w:p>
      <w:pPr>
        <w:numPr>
          <w:ilvl w:val="0"/>
          <w:numId w:val="1002"/>
        </w:numPr>
        <w:pStyle w:val="Compact"/>
      </w:pPr>
      <w:r>
        <w:t xml:space="preserve">Adequacy of record-keeping;</w:t>
      </w:r>
    </w:p>
    <w:p>
      <w:pPr>
        <w:numPr>
          <w:ilvl w:val="0"/>
          <w:numId w:val="1002"/>
        </w:numPr>
        <w:pStyle w:val="Compact"/>
      </w:pPr>
      <w:r>
        <w:t xml:space="preserve">Risk register for foreseeable Ofcom enforcement;</w:t>
      </w:r>
    </w:p>
    <w:p>
      <w:pPr>
        <w:numPr>
          <w:ilvl w:val="0"/>
          <w:numId w:val="1002"/>
        </w:numPr>
        <w:pStyle w:val="Compact"/>
      </w:pPr>
      <w:r>
        <w:t xml:space="preserve">Boilerplate Terms of Service and Acceptable Use Policy review;</w:t>
      </w:r>
    </w:p>
    <w:p>
      <w:pPr>
        <w:numPr>
          <w:ilvl w:val="0"/>
          <w:numId w:val="1002"/>
        </w:numPr>
        <w:pStyle w:val="Compact"/>
      </w:pPr>
      <w:r>
        <w:t xml:space="preserve">Confirmation that the founder's senior-manager-responsible accountability is appropriately recorded.</w:t>
      </w:r>
    </w:p>
    <w:p>
      <w:pPr>
        <w:pStyle w:val="FirstParagraph"/>
      </w:pPr>
      <w:r>
        <w:t xml:space="preserve">Estimated cost:</w:t>
      </w:r>
      <w:r>
        <w:t xml:space="preserve"> </w:t>
      </w:r>
      <w:r>
        <w:rPr>
          <w:bCs/>
          <w:b/>
        </w:rPr>
        <w:t xml:space="preserve">£8,000–£12,000</w:t>
      </w:r>
      <w:r>
        <w:t xml:space="preserve"> </w:t>
      </w:r>
      <w:r>
        <w:t xml:space="preserve">(firm fee dependent). Budgeted in Year-1 P&amp;L (Appendix F).</w:t>
      </w:r>
    </w:p>
    <w:p>
      <w:r>
        <w:pict>
          <v:rect style="width:0;height:1.5pt" o:hralign="center" o:hrstd="t" o:hr="t"/>
        </w:pict>
      </w:r>
    </w:p>
    <w:bookmarkEnd w:id="28"/>
    <w:bookmarkStart w:id="29" w:name="i9-statement"/>
    <w:p>
      <w:pPr>
        <w:pStyle w:val="Heading2"/>
      </w:pPr>
      <w:r>
        <w:t xml:space="preserve">I.9 Statement</w:t>
      </w:r>
    </w:p>
    <w:p>
      <w:pPr>
        <w:pStyle w:val="FirstParagraph"/>
      </w:pPr>
      <w:r>
        <w:t xml:space="preserve">The applicant has read the Online Safety Act 2023 in full, has read the Ofcom illegal-content and children's-safety guidance, and has designed DEQUAD's product, processes, and policies to comply with the duties applicable to a Category 2B-equivalent user-to-user service. The applicant will obtain external legal confirmation of this position within the first six months of operation and will produce that opinion at the 6-month UKES contact point.</w:t>
      </w:r>
    </w:p>
    <w:p>
      <w:pPr>
        <w:pStyle w:val="BodyText"/>
      </w:pPr>
      <w:r>
        <w:rPr>
          <w:bCs/>
          <w:b/>
        </w:rPr>
        <w:t xml:space="preserve">Signed:</w:t>
      </w:r>
      <w:r>
        <w:t xml:space="preserve"> </w:t>
      </w:r>
      <w:r>
        <w:t xml:space="preserve">___________________________________</w:t>
      </w:r>
      <w:r>
        <w:t xml:space="preserve"> </w:t>
      </w:r>
      <w:r>
        <w:rPr>
          <w:bCs/>
          <w:b/>
        </w:rPr>
        <w:t xml:space="preserve">Yusuf Quadri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___________________________________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equad.co.u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equad.co.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2026-07-17T11:02:12Z</dcterms:created>
  <dcterms:modified xsi:type="dcterms:W3CDTF">2026-07-17T11:02:12Z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