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17-page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August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(Company No. 17405964, incorporated in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20 verified accounts at University of Bedfordshire (10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£31,100/yr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5 people (3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 This is not a founder assertion: in the primary buyer research underpinning this plan, 9 of 11 university safeguarding and student-services leads named identity-verified peer networks as their single biggest unmet need. And it is not easily copied — the founders’ own Risk Register treats a competitor copying the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layer as a live, scored risk (not a hypothetical), and names the moats that survive it: the safeguarding webhook, the graded-alert taxonomy and the insights dashboard, none of which can be replicated without also rebuilding practitioner-designed triage logic.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M4–M6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£31,100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Revenue grows ~80x (£600 → £48,000, Y1 to Y3) while the core team grows from 2 to just 3 people.</w:t>
      </w:r>
      <w:r>
        <w:t xml:space="preserve"> </w:t>
      </w:r>
      <w:r>
        <w:t xml:space="preserve">That gap between revenue growth and headcount growth is the scalability case made concrete, not asserted.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International optionality is architectural, not aspirational: the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verification engine is a configurable domain allow-list, so the same mechanism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20-person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(£1,035)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(£293)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(£333)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(£363)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£2,443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5 (2 founders + 3 full-time hires)</w:t>
      </w:r>
      <w:r>
        <w:t xml:space="preserve"> </w:t>
      </w:r>
      <w:r>
        <w:t xml:space="preserve">— each of the 3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base-case Y3 hire and modest founder pay are delayed, not that the business fails. The upside-case 3-hire job-creation target simply does not trigger (see Risk Register R17).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5 people (3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2026-08-22T14:48:39Z</dcterms:created>
  <dcterms:modified xsi:type="dcterms:W3CDTF">2026-08-22T14:48:39Z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