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65e748c72d8e513f8aa6b5a3aa292ec4def8f21"/>
    <w:p>
      <w:pPr>
        <w:pStyle w:val="Heading1"/>
      </w:pPr>
      <w:r>
        <w:t xml:space="preserve">Appendix E — Data Protection Impact Assessment (DPIA)</w:t>
      </w:r>
    </w:p>
    <w:p>
      <w:pPr>
        <w:pStyle w:val="FirstParagraph"/>
      </w:pPr>
      <w:r>
        <w:rPr>
          <w:b/>
          <w:bCs/>
        </w:rPr>
        <w:t xml:space="preserve">Controller:</w:t>
      </w:r>
      <w:r>
        <w:t xml:space="preserve"> </w:t>
      </w:r>
      <w:r>
        <w:t xml:space="preserve">DEQUAD Ltd (Company No. 17405964), United Kingdom</w:t>
      </w:r>
      <w:r>
        <w:t xml:space="preserve"> </w:t>
      </w:r>
      <w:r>
        <w:rPr>
          <w:b/>
          <w:bCs/>
        </w:rPr>
        <w:t xml:space="preserve">Processor:</w:t>
      </w:r>
      <w:r>
        <w:t xml:space="preserve"> </w:t>
      </w:r>
      <w:r>
        <w:t xml:space="preserve">DEQUAD Ltd (Company No. 17405964)</w:t>
      </w:r>
      <w:r>
        <w:t xml:space="preserve"> </w:t>
      </w:r>
      <w:r>
        <w:rPr>
          <w:b/>
          <w:bCs/>
        </w:rPr>
        <w:t xml:space="preserve">Processing activity covered:</w:t>
      </w:r>
      <w:r>
        <w:t xml:space="preserve"> </w:t>
      </w:r>
      <w:r>
        <w:t xml:space="preserve">Operation of the DEQUAD platform — verified-student peer matching, daily mood tracking, in-app messaging, safeguarding scanning, and 24/7 support chat.</w:t>
      </w:r>
      <w:r>
        <w:t xml:space="preserve"> </w:t>
      </w:r>
      <w:r>
        <w:rPr>
          <w:b/>
          <w:bCs/>
        </w:rPr>
        <w:t xml:space="preserve">DPIA version:</w:t>
      </w:r>
      <w:r>
        <w:t xml:space="preserve"> </w:t>
      </w:r>
      <w:r>
        <w:t xml:space="preserve">v0.4 (draft)</w:t>
      </w:r>
      <w:r>
        <w:t xml:space="preserve"> </w:t>
      </w:r>
      <w:r>
        <w:rPr>
          <w:b/>
          <w:bCs/>
        </w:rPr>
        <w:t xml:space="preserve">Author:</w:t>
      </w:r>
      <w:r>
        <w:t xml:space="preserve"> </w:t>
      </w:r>
      <w:r>
        <w:t xml:space="preserve">Yusuf Quadri, CEO (acting controller representative)</w:t>
      </w:r>
      <w:r>
        <w:t xml:space="preserve"> </w:t>
      </w:r>
      <w:r>
        <w:rPr>
          <w:b/>
          <w:bCs/>
        </w:rPr>
        <w:t xml:space="preserve">Reviewed by:</w:t>
      </w:r>
      <w:r>
        <w:t xml:space="preserve"> </w:t>
      </w:r>
      <w:r>
        <w:rPr>
          <w:i/>
          <w:iCs/>
        </w:rPr>
        <w:t xml:space="preserve">External fractional DPO to be appointed Month 1 post-endorsement (recommended: The DPO Centre)</w:t>
      </w:r>
      <w:r>
        <w:t xml:space="preserve"> </w:t>
      </w:r>
      <w:r>
        <w:rPr>
          <w:b/>
          <w:bCs/>
        </w:rPr>
        <w:t xml:space="preserve">Last reviewed:</w:t>
      </w:r>
      <w:r>
        <w:t xml:space="preserve"> </w:t>
      </w:r>
      <w:r>
        <w:t xml:space="preserve">___________________</w:t>
      </w:r>
      <w:r>
        <w:t xml:space="preserve"> </w:t>
      </w:r>
      <w:r>
        <w:rPr>
          <w:b/>
          <w:bCs/>
        </w:rPr>
        <w:t xml:space="preserve">Next review due:</w:t>
      </w:r>
      <w:r>
        <w:t xml:space="preserve"> </w:t>
      </w:r>
      <w:r>
        <w:t xml:space="preserve">12 months from approval</w:t>
      </w:r>
    </w:p>
    <w:p>
      <w:r>
        <w:pict>
          <v:rect style="width:0;height:1.5pt" o:hralign="center" o:hrstd="t" o:hr="t"/>
        </w:pict>
      </w:r>
    </w:p>
    <w:bookmarkStart w:id="9" w:name="e.1-why-this-dpia-is-required"/>
    <w:p>
      <w:pPr>
        <w:pStyle w:val="Heading2"/>
      </w:pPr>
      <w:r>
        <w:t xml:space="preserve">E.1 Why this DPIA is required</w:t>
      </w:r>
    </w:p>
    <w:p>
      <w:pPr>
        <w:pStyle w:val="FirstParagraph"/>
      </w:pPr>
      <w:r>
        <w:t xml:space="preserve">UK GDPR Art 35 requires a DPIA where processing is</w:t>
      </w:r>
      <w:r>
        <w:t xml:space="preserve"> </w:t>
      </w:r>
      <w:r>
        <w:rPr>
          <w:b/>
          <w:bCs/>
        </w:rPr>
        <w:t xml:space="preserve">likely to result in a high risk to the rights and freedoms of natural persons</w:t>
      </w:r>
      <w:r>
        <w:t xml:space="preserve">, including:</w:t>
      </w:r>
    </w:p>
    <w:p>
      <w:pPr>
        <w:pStyle w:val="Compact"/>
        <w:numPr>
          <w:ilvl w:val="0"/>
          <w:numId w:val="1001"/>
        </w:numPr>
      </w:pPr>
      <w:r>
        <w:t xml:space="preserve">Systematic monitoring of behaviour (Art 35(3)(c))</w:t>
      </w:r>
    </w:p>
    <w:p>
      <w:pPr>
        <w:pStyle w:val="Compact"/>
        <w:numPr>
          <w:ilvl w:val="0"/>
          <w:numId w:val="1001"/>
        </w:numPr>
      </w:pPr>
      <w:r>
        <w:t xml:space="preserve">Processing of special-category data on a large scale (Art 35(3)(b))</w:t>
      </w:r>
    </w:p>
    <w:p>
      <w:pPr>
        <w:pStyle w:val="Compact"/>
        <w:numPr>
          <w:ilvl w:val="0"/>
          <w:numId w:val="1001"/>
        </w:numPr>
      </w:pPr>
      <w:r>
        <w:t xml:space="preserve">Use of new technologies (Art 35(3))</w:t>
      </w:r>
    </w:p>
    <w:p>
      <w:pPr>
        <w:pStyle w:val="FirstParagraph"/>
      </w:pPr>
      <w:r>
        <w:t xml:space="preserve">DEQUAD’s processing meets at least two of these criteria — systematic monitoring of in-app behaviour for safeguarding purposes and processing of mental-health (special category) data. A DPIA is therefore mandatory.</w:t>
      </w:r>
    </w:p>
    <w:p>
      <w:r>
        <w:pict>
          <v:rect style="width:0;height:1.5pt" o:hralign="center" o:hrstd="t" o:hr="t"/>
        </w:pict>
      </w:r>
    </w:p>
    <w:bookmarkEnd w:id="9"/>
    <w:bookmarkStart w:id="14" w:name="e.2-description-of-the-processing"/>
    <w:p>
      <w:pPr>
        <w:pStyle w:val="Heading2"/>
      </w:pPr>
      <w:r>
        <w:t xml:space="preserve">E.2 Description of the processing</w:t>
      </w:r>
    </w:p>
    <w:bookmarkStart w:id="10" w:name="e.2.1-nature"/>
    <w:p>
      <w:pPr>
        <w:pStyle w:val="Heading3"/>
      </w:pPr>
      <w:r>
        <w:t xml:space="preserve">E.2.1 Nature</w:t>
      </w:r>
    </w:p>
    <w:p>
      <w:pPr>
        <w:pStyle w:val="FirstParagraph"/>
      </w:pPr>
      <w:r>
        <w:t xml:space="preserve">DEQUAD collects, stores, analyses, and acts upon data from verified UK university students relating to:</w:t>
      </w:r>
    </w:p>
    <w:p>
      <w:pPr>
        <w:pStyle w:val="Compact"/>
        <w:numPr>
          <w:ilvl w:val="0"/>
          <w:numId w:val="1002"/>
        </w:numPr>
      </w:pPr>
      <w:r>
        <w:t xml:space="preserve">Identity (name, photo, university email)</w:t>
      </w:r>
    </w:p>
    <w:p>
      <w:pPr>
        <w:pStyle w:val="Compact"/>
        <w:numPr>
          <w:ilvl w:val="0"/>
          <w:numId w:val="1002"/>
        </w:numPr>
      </w:pPr>
      <w:r>
        <w:t xml:space="preserve">Profile preferences (course, modules, society interests, lifestyle)</w:t>
      </w:r>
    </w:p>
    <w:p>
      <w:pPr>
        <w:pStyle w:val="Compact"/>
        <w:numPr>
          <w:ilvl w:val="0"/>
          <w:numId w:val="1002"/>
        </w:numPr>
      </w:pPr>
      <w:r>
        <w:t xml:space="preserve">In-app messages</w:t>
      </w:r>
    </w:p>
    <w:p>
      <w:pPr>
        <w:pStyle w:val="Compact"/>
        <w:numPr>
          <w:ilvl w:val="0"/>
          <w:numId w:val="1002"/>
        </w:numPr>
      </w:pPr>
      <w:r>
        <w:t xml:space="preserve">Daily mood scores and free-text notes</w:t>
      </w:r>
    </w:p>
    <w:p>
      <w:pPr>
        <w:pStyle w:val="Compact"/>
        <w:numPr>
          <w:ilvl w:val="0"/>
          <w:numId w:val="1002"/>
        </w:numPr>
      </w:pPr>
      <w:r>
        <w:t xml:space="preserve">Support-chat messages</w:t>
      </w:r>
    </w:p>
    <w:p>
      <w:pPr>
        <w:pStyle w:val="FirstParagraph"/>
      </w:pPr>
      <w:r>
        <w:t xml:space="preserve">Data is analysed by:</w:t>
      </w:r>
      <w:r>
        <w:t xml:space="preserve"> </w:t>
      </w:r>
      <w:r>
        <w:t xml:space="preserve">- A peer-matching engine (compatibility ranking)</w:t>
      </w:r>
      <w:r>
        <w:t xml:space="preserve"> </w:t>
      </w:r>
      <w:r>
        <w:t xml:space="preserve">- A safeguarding engine (real-time crisis-keyword scanning)</w:t>
      </w:r>
      <w:r>
        <w:t xml:space="preserve"> </w:t>
      </w:r>
      <w:r>
        <w:t xml:space="preserve">- A wellbeing-baseline engine (per-user trend detection)</w:t>
      </w:r>
      <w:r>
        <w:t xml:space="preserve"> </w:t>
      </w:r>
      <w:r>
        <w:t xml:space="preserve">- An LLM-assisted support reply engine (text generation)</w:t>
      </w:r>
    </w:p>
    <w:bookmarkEnd w:id="10"/>
    <w:bookmarkStart w:id="11" w:name="e.2.2-scope"/>
    <w:p>
      <w:pPr>
        <w:pStyle w:val="Heading3"/>
      </w:pPr>
      <w:r>
        <w:t xml:space="preserve">E.2.2 Scope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Scope at endorsement</w:t>
            </w:r>
          </w:p>
        </w:tc>
        <w:tc>
          <w:tcPr/>
          <w:p>
            <w:pPr>
              <w:pStyle w:val="Compact"/>
            </w:pPr>
            <w:r>
              <w:t xml:space="preserve">Scope at Year 5</w:t>
            </w:r>
          </w:p>
        </w:tc>
      </w:tr>
      <w:tr>
        <w:tc>
          <w:tcPr/>
          <w:p>
            <w:pPr>
              <w:pStyle w:val="Compact"/>
            </w:pPr>
            <w:r>
              <w:t xml:space="preserve">Geographic</w:t>
            </w:r>
          </w:p>
        </w:tc>
        <w:tc>
          <w:tcPr/>
          <w:p>
            <w:pPr>
              <w:pStyle w:val="Compact"/>
            </w:pPr>
            <w:r>
              <w:t xml:space="preserve">United Kingdom only</w:t>
            </w:r>
          </w:p>
        </w:tc>
        <w:tc>
          <w:tcPr/>
          <w:p>
            <w:pPr>
              <w:pStyle w:val="Compact"/>
            </w:pPr>
            <w:r>
              <w:t xml:space="preserve">UK + Republic of Ireland + ANZ + Canada</w:t>
            </w:r>
          </w:p>
        </w:tc>
      </w:tr>
      <w:tr>
        <w:tc>
          <w:tcPr/>
          <w:p>
            <w:pPr>
              <w:pStyle w:val="Compact"/>
            </w:pPr>
            <w:r>
              <w:t xml:space="preserve">Data subjects</w:t>
            </w:r>
          </w:p>
        </w:tc>
        <w:tc>
          <w:tcPr/>
          <w:p>
            <w:pPr>
              <w:pStyle w:val="Compact"/>
            </w:pPr>
            <w:r>
              <w:t xml:space="preserve">Verified UK HE students</w:t>
            </w:r>
          </w:p>
        </w:tc>
        <w:tc>
          <w:tcPr/>
          <w:p>
            <w:pPr>
              <w:pStyle w:val="Compact"/>
            </w:pPr>
            <w:r>
              <w:t xml:space="preserve">+ FE students + ICB-commissioned 16-25</w:t>
            </w:r>
          </w:p>
        </w:tc>
      </w:tr>
      <w:tr>
        <w:tc>
          <w:tcPr/>
          <w:p>
            <w:pPr>
              <w:pStyle w:val="Compact"/>
            </w:pPr>
            <w:r>
              <w:t xml:space="preserve">Volume</w:t>
            </w:r>
          </w:p>
        </w:tc>
        <w:tc>
          <w:tcPr/>
          <w:p>
            <w:pPr>
              <w:pStyle w:val="Compact"/>
            </w:pPr>
            <w:r>
              <w:t xml:space="preserve">0 at endorsement</w:t>
            </w:r>
          </w:p>
        </w:tc>
        <w:tc>
          <w:tcPr/>
          <w:p>
            <w:pPr>
              <w:pStyle w:val="Compact"/>
            </w:pPr>
            <w:r>
              <w:t xml:space="preserve">Up to ~1.2m active users</w:t>
            </w:r>
          </w:p>
        </w:tc>
      </w:tr>
      <w:tr>
        <w:tc>
          <w:tcPr/>
          <w:p>
            <w:pPr>
              <w:pStyle w:val="Compact"/>
            </w:pPr>
            <w:r>
              <w:t xml:space="preserve">Retention</w:t>
            </w:r>
          </w:p>
        </w:tc>
        <w:tc>
          <w:tcPr/>
          <w:p>
            <w:pPr>
              <w:pStyle w:val="Compact"/>
            </w:pPr>
            <w:r>
              <w:t xml:space="preserve">See E.5</w:t>
            </w:r>
          </w:p>
        </w:tc>
        <w:tc>
          <w:tcPr/>
          <w:p>
            <w:pPr>
              <w:pStyle w:val="Compact"/>
            </w:pPr>
            <w:r>
              <w:t xml:space="preserve">See E.5</w:t>
            </w:r>
          </w:p>
        </w:tc>
      </w:tr>
      <w:tr>
        <w:tc>
          <w:tcPr/>
          <w:p>
            <w:pPr>
              <w:pStyle w:val="Compact"/>
            </w:pPr>
            <w:r>
              <w:t xml:space="preserve">Special-category data</w:t>
            </w:r>
          </w:p>
        </w:tc>
        <w:tc>
          <w:tcPr/>
          <w:p>
            <w:pPr>
              <w:pStyle w:val="Compact"/>
            </w:pPr>
            <w:r>
              <w:t xml:space="preserve">Mental-health (mood, support, safeguarding flags)</w:t>
            </w:r>
          </w:p>
        </w:tc>
        <w:tc>
          <w:tcPr/>
          <w:p>
            <w:pPr>
              <w:pStyle w:val="Compact"/>
            </w:pPr>
            <w:r>
              <w:t xml:space="preserve">Same</w:t>
            </w:r>
          </w:p>
        </w:tc>
      </w:tr>
    </w:tbl>
    <w:bookmarkEnd w:id="11"/>
    <w:bookmarkStart w:id="12" w:name="e.2.3-context"/>
    <w:p>
      <w:pPr>
        <w:pStyle w:val="Heading3"/>
      </w:pPr>
      <w:r>
        <w:t xml:space="preserve">E.2.3 Context</w:t>
      </w:r>
    </w:p>
    <w:p>
      <w:pPr>
        <w:pStyle w:val="FirstParagraph"/>
      </w:pPr>
      <w:r>
        <w:t xml:space="preserve">DEQUAD is a closed network. Data subjects are adults (16+) who have actively chosen to sign up, have read a plain-English privacy notice, and have given explicit consent to special-category processing where required. The processing is necessary to deliver the product the user has signed up for.</w:t>
      </w:r>
    </w:p>
    <w:bookmarkEnd w:id="12"/>
    <w:bookmarkStart w:id="13" w:name="e.2.4-purposes"/>
    <w:p>
      <w:pPr>
        <w:pStyle w:val="Heading3"/>
      </w:pPr>
      <w:r>
        <w:t xml:space="preserve">E.2.4 Purposes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Purpose</w:t>
            </w:r>
          </w:p>
        </w:tc>
        <w:tc>
          <w:tcPr/>
          <w:p>
            <w:pPr>
              <w:pStyle w:val="Compact"/>
            </w:pPr>
            <w:r>
              <w:t xml:space="preserve">Lawful basis (Art 6)</w:t>
            </w:r>
          </w:p>
        </w:tc>
        <w:tc>
          <w:tcPr/>
          <w:p>
            <w:pPr>
              <w:pStyle w:val="Compact"/>
            </w:pPr>
            <w:r>
              <w:t xml:space="preserve">Special category basis (Art 9)</w:t>
            </w:r>
          </w:p>
        </w:tc>
      </w:tr>
      <w:tr>
        <w:tc>
          <w:tcPr/>
          <w:p>
            <w:pPr>
              <w:pStyle w:val="Compact"/>
            </w:pPr>
            <w:r>
              <w:t xml:space="preserve">Verifying university affiliation</w:t>
            </w:r>
          </w:p>
        </w:tc>
        <w:tc>
          <w:tcPr/>
          <w:p>
            <w:pPr>
              <w:pStyle w:val="Compact"/>
            </w:pPr>
            <w:r>
              <w:t xml:space="preserve">Performance of contract (Art 6.1.b)</w:t>
            </w:r>
          </w:p>
        </w:tc>
        <w:tc>
          <w:tcPr/>
          <w:p>
            <w:pPr>
              <w:pStyle w:val="Compact"/>
            </w:pPr>
            <w:r>
              <w:t xml:space="preserve">n/a</w:t>
            </w:r>
          </w:p>
        </w:tc>
      </w:tr>
      <w:tr>
        <w:tc>
          <w:tcPr/>
          <w:p>
            <w:pPr>
              <w:pStyle w:val="Compact"/>
            </w:pPr>
            <w:r>
              <w:t xml:space="preserve">Storing mood entries</w:t>
            </w:r>
          </w:p>
        </w:tc>
        <w:tc>
          <w:tcPr/>
          <w:p>
            <w:pPr>
              <w:pStyle w:val="Compact"/>
            </w:pPr>
            <w:r>
              <w:t xml:space="preserve">Consent (Art 6.1.a)</w:t>
            </w:r>
          </w:p>
        </w:tc>
        <w:tc>
          <w:tcPr/>
          <w:p>
            <w:pPr>
              <w:pStyle w:val="Compact"/>
            </w:pPr>
            <w:r>
              <w:t xml:space="preserve">Explicit consent (Art 9.2.a)</w:t>
            </w:r>
          </w:p>
        </w:tc>
      </w:tr>
      <w:tr>
        <w:tc>
          <w:tcPr/>
          <w:p>
            <w:pPr>
              <w:pStyle w:val="Compact"/>
            </w:pPr>
            <w:r>
              <w:t xml:space="preserve">Crisis-keyword scanning</w:t>
            </w:r>
          </w:p>
        </w:tc>
        <w:tc>
          <w:tcPr/>
          <w:p>
            <w:pPr>
              <w:pStyle w:val="Compact"/>
            </w:pPr>
            <w:r>
              <w:t xml:space="preserve">Legitimate interest (Art 6.1.f) + vital interests (Art 6.1.d) where life at risk</w:t>
            </w:r>
          </w:p>
        </w:tc>
        <w:tc>
          <w:tcPr/>
          <w:p>
            <w:pPr>
              <w:pStyle w:val="Compact"/>
            </w:pPr>
            <w:r>
              <w:t xml:space="preserve">Substantial public interest — safeguarding of children and individuals at risk (DPA 2018 Sch 1 Pt 2 para 18)</w:t>
            </w:r>
          </w:p>
        </w:tc>
      </w:tr>
      <w:tr>
        <w:tc>
          <w:tcPr/>
          <w:p>
            <w:pPr>
              <w:pStyle w:val="Compact"/>
            </w:pPr>
            <w:r>
              <w:t xml:space="preserve">Peer matching</w:t>
            </w:r>
          </w:p>
        </w:tc>
        <w:tc>
          <w:tcPr/>
          <w:p>
            <w:pPr>
              <w:pStyle w:val="Compact"/>
            </w:pPr>
            <w:r>
              <w:t xml:space="preserve">Performance of contract</w:t>
            </w:r>
          </w:p>
        </w:tc>
        <w:tc>
          <w:tcPr/>
          <w:p>
            <w:pPr>
              <w:pStyle w:val="Compact"/>
            </w:pPr>
            <w:r>
              <w:t xml:space="preserve">n/a</w:t>
            </w:r>
          </w:p>
        </w:tc>
      </w:tr>
      <w:tr>
        <w:tc>
          <w:tcPr/>
          <w:p>
            <w:pPr>
              <w:pStyle w:val="Compact"/>
            </w:pPr>
            <w:r>
              <w:t xml:space="preserve">Anonymised research licensing</w:t>
            </w:r>
          </w:p>
        </w:tc>
        <w:tc>
          <w:tcPr/>
          <w:p>
            <w:pPr>
              <w:pStyle w:val="Compact"/>
            </w:pPr>
            <w:r>
              <w:t xml:space="preserve">Legitimate interest (Art 6.1.f)</w:t>
            </w:r>
          </w:p>
        </w:tc>
        <w:tc>
          <w:tcPr/>
          <w:p>
            <w:pPr>
              <w:pStyle w:val="Compact"/>
            </w:pPr>
            <w:r>
              <w:t xml:space="preserve">Data fully anonymised before transfer; not in scope of Art 9</w:t>
            </w:r>
          </w:p>
        </w:tc>
      </w:tr>
    </w:tbl>
    <w:p>
      <w:pPr>
        <w:pStyle w:val="BodyText"/>
      </w:pPr>
      <w:r>
        <w:t xml:space="preserve">A full data-flow diagram is filed alongside this DPIA as</w:t>
      </w:r>
      <w:r>
        <w:t xml:space="preserve"> </w:t>
      </w:r>
      <w:r>
        <w:rPr>
          <w:rStyle w:val="VerbatimChar"/>
        </w:rPr>
        <w:t xml:space="preserve">E_supporting/data_flow.png</w:t>
      </w:r>
      <w:r>
        <w:t xml:space="preserve">.</w:t>
      </w:r>
    </w:p>
    <w:p>
      <w:r>
        <w:pict>
          <v:rect style="width:0;height:1.5pt" o:hralign="center" o:hrstd="t" o:hr="t"/>
        </w:pict>
      </w:r>
    </w:p>
    <w:bookmarkEnd w:id="13"/>
    <w:bookmarkEnd w:id="14"/>
    <w:bookmarkStart w:id="15" w:name="e.3-consultation"/>
    <w:p>
      <w:pPr>
        <w:pStyle w:val="Heading2"/>
      </w:pPr>
      <w:r>
        <w:t xml:space="preserve">E.3 Consultation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Party consulted</w:t>
            </w:r>
          </w:p>
        </w:tc>
        <w:tc>
          <w:tcPr/>
          <w:p>
            <w:pPr>
              <w:pStyle w:val="Compact"/>
            </w:pPr>
            <w:r>
              <w:t xml:space="preserve">Date</w:t>
            </w:r>
          </w:p>
        </w:tc>
        <w:tc>
          <w:tcPr/>
          <w:p>
            <w:pPr>
              <w:pStyle w:val="Compact"/>
            </w:pPr>
            <w:r>
              <w:t xml:space="preserve">Outcome</w:t>
            </w:r>
          </w:p>
        </w:tc>
      </w:tr>
      <w:tr>
        <w:tc>
          <w:tcPr/>
          <w:p>
            <w:pPr>
              <w:pStyle w:val="Compact"/>
            </w:pPr>
            <w:r>
              <w:t xml:space="preserve">The DPO Centre (proposed DPO)</w:t>
            </w:r>
          </w:p>
        </w:tc>
        <w:tc>
          <w:tcPr/>
          <w:p>
            <w:pPr>
              <w:pStyle w:val="Compact"/>
            </w:pPr>
            <w:r>
              <w:rPr>
                <w:i/>
                <w:iCs/>
              </w:rPr>
              <w:t xml:space="preserve">Pending</w:t>
            </w:r>
          </w:p>
        </w:tc>
        <w:tc>
          <w:tcPr/>
          <w:p>
            <w:pPr>
              <w:pStyle w:val="Compact"/>
            </w:pPr>
            <w:r>
              <w:t xml:space="preserve">Fractional DPO retainer to be signed Month 1 post-endorsement</w:t>
            </w:r>
          </w:p>
        </w:tc>
      </w:tr>
      <w:tr>
        <w:tc>
          <w:tcPr/>
          <w:p>
            <w:pPr>
              <w:pStyle w:val="Compact"/>
            </w:pPr>
            <w:r>
              <w:t xml:space="preserve">ICO Innovation Hub</w:t>
            </w:r>
          </w:p>
        </w:tc>
        <w:tc>
          <w:tcPr/>
          <w:p>
            <w:pPr>
              <w:pStyle w:val="Compact"/>
            </w:pPr>
            <w:r>
              <w:rPr>
                <w:i/>
                <w:iCs/>
              </w:rPr>
              <w:t xml:space="preserve">Pending</w:t>
            </w:r>
          </w:p>
        </w:tc>
        <w:tc>
          <w:tcPr/>
          <w:p>
            <w:pPr>
              <w:pStyle w:val="Compact"/>
            </w:pPr>
            <w:r>
              <w:t xml:space="preserve">Application to the Innovation Service for early-stage guidance during Month 2</w:t>
            </w:r>
          </w:p>
        </w:tc>
      </w:tr>
      <w:tr>
        <w:tc>
          <w:tcPr/>
          <w:p>
            <w:pPr>
              <w:pStyle w:val="Compact"/>
            </w:pPr>
            <w:r>
              <w:t xml:space="preserve">Sample data subjects</w:t>
            </w:r>
          </w:p>
        </w:tc>
        <w:tc>
          <w:tcPr/>
          <w:p>
            <w:pPr>
              <w:pStyle w:val="Compact"/>
            </w:pPr>
            <w:r>
              <w:rPr>
                <w:i/>
                <w:iCs/>
              </w:rPr>
              <w:t xml:space="preserve">Pending — pilot university</w:t>
            </w:r>
          </w:p>
        </w:tc>
        <w:tc>
          <w:tcPr/>
          <w:p>
            <w:pPr>
              <w:pStyle w:val="Compact"/>
            </w:pPr>
            <w:r>
              <w:t xml:space="preserve">User-research interviews planned during pilot onboarding</w:t>
            </w:r>
          </w:p>
        </w:tc>
      </w:tr>
      <w:tr>
        <w:tc>
          <w:tcPr/>
          <w:p>
            <w:pPr>
              <w:pStyle w:val="Compact"/>
            </w:pPr>
            <w:r>
              <w:t xml:space="preserve">Independent safeguarding consultant</w:t>
            </w:r>
          </w:p>
        </w:tc>
        <w:tc>
          <w:tcPr/>
          <w:p>
            <w:pPr>
              <w:pStyle w:val="Compact"/>
            </w:pPr>
            <w:r>
              <w:rPr>
                <w:i/>
                <w:iCs/>
              </w:rPr>
              <w:t xml:space="preserve">Pending — proposed: Survivors UK / NSPCC Learning</w:t>
            </w:r>
          </w:p>
        </w:tc>
        <w:tc>
          <w:tcPr/>
          <w:p>
            <w:pPr>
              <w:pStyle w:val="Compact"/>
            </w:pPr>
            <w:r>
              <w:t xml:space="preserve">Annual audit retainer Year 1</w:t>
            </w:r>
          </w:p>
        </w:tc>
      </w:tr>
    </w:tbl>
    <w:p>
      <w:r>
        <w:pict>
          <v:rect style="width:0;height:1.5pt" o:hralign="center" o:hrstd="t" o:hr="t"/>
        </w:pict>
      </w:r>
    </w:p>
    <w:bookmarkEnd w:id="15"/>
    <w:bookmarkStart w:id="16" w:name="e.4-necessity-and-proportionality"/>
    <w:p>
      <w:pPr>
        <w:pStyle w:val="Heading2"/>
      </w:pPr>
      <w:r>
        <w:t xml:space="preserve">E.4 Necessity and proportionality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Assessment</w:t>
            </w:r>
          </w:p>
        </w:tc>
      </w:tr>
      <w:tr>
        <w:tc>
          <w:tcPr/>
          <w:p>
            <w:pPr>
              <w:pStyle w:val="Compact"/>
            </w:pPr>
            <w:r>
              <w:t xml:space="preserve">Are the lawful bases identified appropriate?</w:t>
            </w:r>
          </w:p>
        </w:tc>
        <w:tc>
          <w:tcPr/>
          <w:p>
            <w:pPr>
              <w:pStyle w:val="Compact"/>
            </w:pPr>
            <w:r>
              <w:t xml:space="preserve">Yes — consent for mood (revocable), contract for matching, substantial public interest for safeguarding</w:t>
            </w:r>
          </w:p>
        </w:tc>
      </w:tr>
      <w:tr>
        <w:tc>
          <w:tcPr/>
          <w:p>
            <w:pPr>
              <w:pStyle w:val="Compact"/>
            </w:pPr>
            <w:r>
              <w:t xml:space="preserve">Does the processing achieve its purpose?</w:t>
            </w:r>
          </w:p>
        </w:tc>
        <w:tc>
          <w:tcPr/>
          <w:p>
            <w:pPr>
              <w:pStyle w:val="Compact"/>
            </w:pPr>
            <w:r>
              <w:t xml:space="preserve">Yes — wellbeing trends and safeguarding alerts cannot be detected without processing the underlying data</w:t>
            </w:r>
          </w:p>
        </w:tc>
      </w:tr>
      <w:tr>
        <w:tc>
          <w:tcPr/>
          <w:p>
            <w:pPr>
              <w:pStyle w:val="Compact"/>
            </w:pPr>
            <w:r>
              <w:t xml:space="preserve">Is there a less-invasive way?</w:t>
            </w:r>
          </w:p>
        </w:tc>
        <w:tc>
          <w:tcPr/>
          <w:p>
            <w:pPr>
              <w:pStyle w:val="Compact"/>
            </w:pPr>
            <w:r>
              <w:t xml:space="preserve">Considered: (a) population thresholds instead of per-user baseline (rejected — see Appendix D for evidence of higher false-positive rate); (b) self-report only with no scanning (rejected — fails OSA s. 10 safeguarding duty); (c) hashing of message content (rejected — defeats safeguarding purpose)</w:t>
            </w:r>
          </w:p>
        </w:tc>
      </w:tr>
      <w:tr>
        <w:tc>
          <w:tcPr/>
          <w:p>
            <w:pPr>
              <w:pStyle w:val="Compact"/>
            </w:pPr>
            <w:r>
              <w:t xml:space="preserve">Quality and accuracy</w:t>
            </w:r>
          </w:p>
        </w:tc>
        <w:tc>
          <w:tcPr/>
          <w:p>
            <w:pPr>
              <w:pStyle w:val="Compact"/>
            </w:pPr>
            <w:r>
              <w:t xml:space="preserve">Mood data is self-reported (Art 5.1.d compliant — subject to data subject’s own veracity); profile data is editable by the user at any time; admin records are auditable</w:t>
            </w:r>
          </w:p>
        </w:tc>
      </w:tr>
      <w:tr>
        <w:tc>
          <w:tcPr/>
          <w:p>
            <w:pPr>
              <w:pStyle w:val="Compact"/>
            </w:pPr>
            <w:r>
              <w:t xml:space="preserve">Data minimisation</w:t>
            </w:r>
          </w:p>
        </w:tc>
        <w:tc>
          <w:tcPr/>
          <w:p>
            <w:pPr>
              <w:pStyle w:val="Compact"/>
            </w:pPr>
            <w:r>
              <w:t xml:space="preserve">Profile-photo upload optional; mood-note free-text is optional; no demographic data collected beyond university name unless user explicitly adds it</w:t>
            </w:r>
          </w:p>
        </w:tc>
      </w:tr>
      <w:tr>
        <w:tc>
          <w:tcPr/>
          <w:p>
            <w:pPr>
              <w:pStyle w:val="Compact"/>
            </w:pPr>
            <w:r>
              <w:t xml:space="preserve">Retention</w:t>
            </w:r>
          </w:p>
        </w:tc>
        <w:tc>
          <w:tcPr/>
          <w:p>
            <w:pPr>
              <w:pStyle w:val="Compact"/>
            </w:pPr>
            <w:r>
              <w:t xml:space="preserve">See E.5</w:t>
            </w:r>
          </w:p>
        </w:tc>
      </w:tr>
      <w:tr>
        <w:tc>
          <w:tcPr/>
          <w:p>
            <w:pPr>
              <w:pStyle w:val="Compact"/>
            </w:pPr>
            <w:r>
              <w:t xml:space="preserve">Rights of data subjects</w:t>
            </w:r>
          </w:p>
        </w:tc>
        <w:tc>
          <w:tcPr/>
          <w:p>
            <w:pPr>
              <w:pStyle w:val="Compact"/>
            </w:pPr>
            <w:r>
              <w:t xml:space="preserve">See E.6</w:t>
            </w:r>
          </w:p>
        </w:tc>
      </w:tr>
      <w:tr>
        <w:tc>
          <w:tcPr/>
          <w:p>
            <w:pPr>
              <w:pStyle w:val="Compact"/>
            </w:pPr>
            <w:r>
              <w:t xml:space="preserve">Processors</w:t>
            </w:r>
          </w:p>
        </w:tc>
        <w:tc>
          <w:tcPr/>
          <w:p>
            <w:pPr>
              <w:pStyle w:val="Compact"/>
            </w:pPr>
            <w:r>
              <w:t xml:space="preserve">See E.7</w:t>
            </w:r>
          </w:p>
        </w:tc>
      </w:tr>
    </w:tbl>
    <w:p>
      <w:r>
        <w:pict>
          <v:rect style="width:0;height:1.5pt" o:hralign="center" o:hrstd="t" o:hr="t"/>
        </w:pict>
      </w:r>
    </w:p>
    <w:bookmarkEnd w:id="16"/>
    <w:bookmarkStart w:id="17" w:name="e.5-retention-schedule"/>
    <w:p>
      <w:pPr>
        <w:pStyle w:val="Heading2"/>
      </w:pPr>
      <w:r>
        <w:t xml:space="preserve">E.5 Retention schedule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 category</w:t>
            </w:r>
          </w:p>
        </w:tc>
        <w:tc>
          <w:tcPr/>
          <w:p>
            <w:pPr>
              <w:pStyle w:val="Compact"/>
            </w:pPr>
            <w:r>
              <w:t xml:space="preserve">Retention period</w:t>
            </w:r>
          </w:p>
        </w:tc>
        <w:tc>
          <w:tcPr/>
          <w:p>
            <w:pPr>
              <w:pStyle w:val="Compact"/>
            </w:pPr>
            <w:r>
              <w:t xml:space="preserve">Justification</w:t>
            </w:r>
          </w:p>
        </w:tc>
      </w:tr>
      <w:tr>
        <w:tc>
          <w:tcPr/>
          <w:p>
            <w:pPr>
              <w:pStyle w:val="Compact"/>
            </w:pPr>
            <w:r>
              <w:t xml:space="preserve">Active account profile</w:t>
            </w:r>
          </w:p>
        </w:tc>
        <w:tc>
          <w:tcPr/>
          <w:p>
            <w:pPr>
              <w:pStyle w:val="Compact"/>
            </w:pPr>
            <w:r>
              <w:t xml:space="preserve">Duration of account + 30 days post-deletion</w:t>
            </w:r>
          </w:p>
        </w:tc>
        <w:tc>
          <w:tcPr/>
          <w:p>
            <w:pPr>
              <w:pStyle w:val="Compact"/>
            </w:pPr>
            <w:r>
              <w:t xml:space="preserve">30-day grace for accidental deletion; compliant with Art 17</w:t>
            </w:r>
          </w:p>
        </w:tc>
      </w:tr>
      <w:tr>
        <w:tc>
          <w:tcPr/>
          <w:p>
            <w:pPr>
              <w:pStyle w:val="Compact"/>
            </w:pPr>
            <w:r>
              <w:t xml:space="preserve">Mood entries</w:t>
            </w:r>
          </w:p>
        </w:tc>
        <w:tc>
          <w:tcPr/>
          <w:p>
            <w:pPr>
              <w:pStyle w:val="Compact"/>
            </w:pPr>
            <w:r>
              <w:t xml:space="preserve">Duration of account; user-exportable; user-deletable</w:t>
            </w:r>
          </w:p>
        </w:tc>
        <w:tc>
          <w:tcPr/>
          <w:p>
            <w:pPr>
              <w:pStyle w:val="Compact"/>
            </w:pPr>
            <w:r>
              <w:t xml:space="preserve">User-controlled</w:t>
            </w:r>
          </w:p>
        </w:tc>
      </w:tr>
      <w:tr>
        <w:tc>
          <w:tcPr/>
          <w:p>
            <w:pPr>
              <w:pStyle w:val="Compact"/>
            </w:pPr>
            <w:r>
              <w:t xml:space="preserve">In-app messages</w:t>
            </w:r>
          </w:p>
        </w:tc>
        <w:tc>
          <w:tcPr/>
          <w:p>
            <w:pPr>
              <w:pStyle w:val="Compact"/>
            </w:pPr>
            <w:r>
              <w:t xml:space="preserve">Duration of account, both sides; deleted on either party’s account deletion (deletion takes precedence)</w:t>
            </w:r>
          </w:p>
        </w:tc>
        <w:tc>
          <w:tcPr/>
          <w:p>
            <w:pPr>
              <w:pStyle w:val="Compact"/>
            </w:pPr>
            <w:r>
              <w:t xml:space="preserve">UK GDPR principle of data minimisation</w:t>
            </w:r>
          </w:p>
        </w:tc>
      </w:tr>
      <w:tr>
        <w:tc>
          <w:tcPr/>
          <w:p>
            <w:pPr>
              <w:pStyle w:val="Compact"/>
            </w:pPr>
            <w:r>
              <w:t xml:space="preserve">Safeguarding-alert records</w:t>
            </w:r>
          </w:p>
        </w:tc>
        <w:tc>
          <w:tcPr/>
          <w:p>
            <w:pPr>
              <w:pStyle w:val="Compact"/>
            </w:pPr>
            <w:r>
              <w:rPr>
                <w:b/>
                <w:bCs/>
              </w:rPr>
              <w:t xml:space="preserve">7 years</w:t>
            </w:r>
            <w:r>
              <w:t xml:space="preserve"> </w:t>
            </w:r>
            <w:r>
              <w:t xml:space="preserve">from creation</w:t>
            </w:r>
          </w:p>
        </w:tc>
        <w:tc>
          <w:tcPr/>
          <w:p>
            <w:pPr>
              <w:pStyle w:val="Compact"/>
            </w:pPr>
            <w:r>
              <w:t xml:space="preserve">Required for safeguarding audit trail (Care Act 2014 best practice; statutory limitation for civil claims)</w:t>
            </w:r>
          </w:p>
        </w:tc>
      </w:tr>
      <w:tr>
        <w:tc>
          <w:tcPr/>
          <w:p>
            <w:pPr>
              <w:pStyle w:val="Compact"/>
            </w:pPr>
            <w:r>
              <w:t xml:space="preserve">Support-chat transcripts</w:t>
            </w:r>
          </w:p>
        </w:tc>
        <w:tc>
          <w:tcPr/>
          <w:p>
            <w:pPr>
              <w:pStyle w:val="Compact"/>
            </w:pPr>
            <w:r>
              <w:t xml:space="preserve">2 years</w:t>
            </w:r>
          </w:p>
        </w:tc>
        <w:tc>
          <w:tcPr/>
          <w:p>
            <w:pPr>
              <w:pStyle w:val="Compact"/>
            </w:pPr>
            <w:r>
              <w:t xml:space="preserve">Customer-service quality + dispute resolution</w:t>
            </w:r>
          </w:p>
        </w:tc>
      </w:tr>
      <w:tr>
        <w:tc>
          <w:tcPr/>
          <w:p>
            <w:pPr>
              <w:pStyle w:val="Compact"/>
            </w:pPr>
            <w:r>
              <w:t xml:space="preserve">Stripe billing records</w:t>
            </w:r>
          </w:p>
        </w:tc>
        <w:tc>
          <w:tcPr/>
          <w:p>
            <w:pPr>
              <w:pStyle w:val="Compact"/>
            </w:pPr>
            <w:r>
              <w:t xml:space="preserve">7 years</w:t>
            </w:r>
          </w:p>
        </w:tc>
        <w:tc>
          <w:tcPr/>
          <w:p>
            <w:pPr>
              <w:pStyle w:val="Compact"/>
            </w:pPr>
            <w:r>
              <w:t xml:space="preserve">Companies Act 2006 + HMRC requirement</w:t>
            </w:r>
          </w:p>
        </w:tc>
      </w:tr>
      <w:tr>
        <w:tc>
          <w:tcPr/>
          <w:p>
            <w:pPr>
              <w:pStyle w:val="Compact"/>
            </w:pPr>
            <w:r>
              <w:t xml:space="preserve">Server access logs</w:t>
            </w:r>
          </w:p>
        </w:tc>
        <w:tc>
          <w:tcPr/>
          <w:p>
            <w:pPr>
              <w:pStyle w:val="Compact"/>
            </w:pPr>
            <w:r>
              <w:t xml:space="preserve">90 days</w:t>
            </w:r>
          </w:p>
        </w:tc>
        <w:tc>
          <w:tcPr/>
          <w:p>
            <w:pPr>
              <w:pStyle w:val="Compact"/>
            </w:pPr>
            <w:r>
              <w:t xml:space="preserve">Security; sufficient for incident response</w:t>
            </w:r>
          </w:p>
        </w:tc>
      </w:tr>
      <w:tr>
        <w:tc>
          <w:tcPr/>
          <w:p>
            <w:pPr>
              <w:pStyle w:val="Compact"/>
            </w:pPr>
            <w:r>
              <w:t xml:space="preserve">Audit logs (admin actions)</w:t>
            </w:r>
          </w:p>
        </w:tc>
        <w:tc>
          <w:tcPr/>
          <w:p>
            <w:pPr>
              <w:pStyle w:val="Compact"/>
            </w:pPr>
            <w:r>
              <w:t xml:space="preserve">7 years</w:t>
            </w:r>
          </w:p>
        </w:tc>
        <w:tc>
          <w:tcPr/>
          <w:p>
            <w:pPr>
              <w:pStyle w:val="Compact"/>
            </w:pPr>
            <w:r>
              <w:t xml:space="preserve">Internal-control + OSA s. 23 record-keeping</w:t>
            </w:r>
          </w:p>
        </w:tc>
      </w:tr>
    </w:tbl>
    <w:p>
      <w:r>
        <w:pict>
          <v:rect style="width:0;height:1.5pt" o:hralign="center" o:hrstd="t" o:hr="t"/>
        </w:pict>
      </w:r>
    </w:p>
    <w:bookmarkEnd w:id="17"/>
    <w:bookmarkStart w:id="18" w:name="e.6-rights-of-data-subjects"/>
    <w:p>
      <w:pPr>
        <w:pStyle w:val="Heading2"/>
      </w:pPr>
      <w:r>
        <w:t xml:space="preserve">E.6 Rights of data subjects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Right</w:t>
            </w:r>
          </w:p>
        </w:tc>
        <w:tc>
          <w:tcPr/>
          <w:p>
            <w:pPr>
              <w:pStyle w:val="Compact"/>
            </w:pPr>
            <w:r>
              <w:t xml:space="preserve">How exercised</w:t>
            </w:r>
          </w:p>
        </w:tc>
        <w:tc>
          <w:tcPr/>
          <w:p>
            <w:pPr>
              <w:pStyle w:val="Compact"/>
            </w:pPr>
            <w:r>
              <w:t xml:space="preserve">Response SLA</w:t>
            </w:r>
          </w:p>
        </w:tc>
      </w:tr>
      <w:tr>
        <w:tc>
          <w:tcPr/>
          <w:p>
            <w:pPr>
              <w:pStyle w:val="Compact"/>
            </w:pPr>
            <w:r>
              <w:t xml:space="preserve">Access (Art 15)</w:t>
            </w:r>
          </w:p>
        </w:tc>
        <w:tc>
          <w:tcPr/>
          <w:p>
            <w:pPr>
              <w:pStyle w:val="Compact"/>
            </w:pPr>
            <w:r>
              <w:t xml:space="preserve">“Download my data”</w:t>
            </w:r>
            <w:r>
              <w:t xml:space="preserve"> </w:t>
            </w:r>
            <w:r>
              <w:t xml:space="preserve">in app + DPO email</w:t>
            </w:r>
          </w:p>
        </w:tc>
        <w:tc>
          <w:tcPr/>
          <w:p>
            <w:pPr>
              <w:pStyle w:val="Compact"/>
            </w:pPr>
            <w:r>
              <w:t xml:space="preserve">30 days</w:t>
            </w:r>
          </w:p>
        </w:tc>
      </w:tr>
      <w:tr>
        <w:tc>
          <w:tcPr/>
          <w:p>
            <w:pPr>
              <w:pStyle w:val="Compact"/>
            </w:pPr>
            <w:r>
              <w:t xml:space="preserve">Rectification (Art 16)</w:t>
            </w:r>
          </w:p>
        </w:tc>
        <w:tc>
          <w:tcPr/>
          <w:p>
            <w:pPr>
              <w:pStyle w:val="Compact"/>
            </w:pPr>
            <w:r>
              <w:t xml:space="preserve">Inline profile edits + DPO email</w:t>
            </w:r>
          </w:p>
        </w:tc>
        <w:tc>
          <w:tcPr/>
          <w:p>
            <w:pPr>
              <w:pStyle w:val="Compact"/>
            </w:pPr>
            <w:r>
              <w:t xml:space="preserve">Immediate (UI) / 30 days (DPO)</w:t>
            </w:r>
          </w:p>
        </w:tc>
      </w:tr>
      <w:tr>
        <w:tc>
          <w:tcPr/>
          <w:p>
            <w:pPr>
              <w:pStyle w:val="Compact"/>
            </w:pPr>
            <w:r>
              <w:t xml:space="preserve">Erasure (Art 17)</w:t>
            </w:r>
          </w:p>
        </w:tc>
        <w:tc>
          <w:tcPr/>
          <w:p>
            <w:pPr>
              <w:pStyle w:val="Compact"/>
            </w:pPr>
            <w:r>
              <w:t xml:space="preserve">“Delete account”</w:t>
            </w:r>
            <w:r>
              <w:t xml:space="preserve"> </w:t>
            </w:r>
            <w:r>
              <w:t xml:space="preserve">in app + DPO email</w:t>
            </w:r>
          </w:p>
        </w:tc>
        <w:tc>
          <w:tcPr/>
          <w:p>
            <w:pPr>
              <w:pStyle w:val="Compact"/>
            </w:pPr>
            <w:r>
              <w:t xml:space="preserve">30 days; safeguarding records retained per E.5 with lawful basis</w:t>
            </w:r>
          </w:p>
        </w:tc>
      </w:tr>
      <w:tr>
        <w:tc>
          <w:tcPr/>
          <w:p>
            <w:pPr>
              <w:pStyle w:val="Compact"/>
            </w:pPr>
            <w:r>
              <w:t xml:space="preserve">Restriction (Art 18)</w:t>
            </w:r>
          </w:p>
        </w:tc>
        <w:tc>
          <w:tcPr/>
          <w:p>
            <w:pPr>
              <w:pStyle w:val="Compact"/>
            </w:pPr>
            <w:r>
              <w:t xml:space="preserve">DPO email</w:t>
            </w:r>
          </w:p>
        </w:tc>
        <w:tc>
          <w:tcPr/>
          <w:p>
            <w:pPr>
              <w:pStyle w:val="Compact"/>
            </w:pPr>
            <w:r>
              <w:t xml:space="preserve">30 days</w:t>
            </w:r>
          </w:p>
        </w:tc>
      </w:tr>
      <w:tr>
        <w:tc>
          <w:tcPr/>
          <w:p>
            <w:pPr>
              <w:pStyle w:val="Compact"/>
            </w:pPr>
            <w:r>
              <w:t xml:space="preserve">Portability (Art 20)</w:t>
            </w:r>
          </w:p>
        </w:tc>
        <w:tc>
          <w:tcPr/>
          <w:p>
            <w:pPr>
              <w:pStyle w:val="Compact"/>
            </w:pPr>
            <w:r>
              <w:t xml:space="preserve">“Export my data”</w:t>
            </w:r>
            <w:r>
              <w:t xml:space="preserve"> </w:t>
            </w:r>
            <w:r>
              <w:t xml:space="preserve">in app — JSON file</w:t>
            </w:r>
          </w:p>
        </w:tc>
        <w:tc>
          <w:tcPr/>
          <w:p>
            <w:pPr>
              <w:pStyle w:val="Compact"/>
            </w:pPr>
            <w:r>
              <w:t xml:space="preserve">30 days</w:t>
            </w:r>
          </w:p>
        </w:tc>
      </w:tr>
      <w:tr>
        <w:tc>
          <w:tcPr/>
          <w:p>
            <w:pPr>
              <w:pStyle w:val="Compact"/>
            </w:pPr>
            <w:r>
              <w:t xml:space="preserve">Objection (Art 21)</w:t>
            </w:r>
          </w:p>
        </w:tc>
        <w:tc>
          <w:tcPr/>
          <w:p>
            <w:pPr>
              <w:pStyle w:val="Compact"/>
            </w:pPr>
            <w:r>
              <w:t xml:space="preserve">DPO email</w:t>
            </w:r>
          </w:p>
        </w:tc>
        <w:tc>
          <w:tcPr/>
          <w:p>
            <w:pPr>
              <w:pStyle w:val="Compact"/>
            </w:pPr>
            <w:r>
              <w:t xml:space="preserve">30 days</w:t>
            </w:r>
          </w:p>
        </w:tc>
      </w:tr>
      <w:tr>
        <w:tc>
          <w:tcPr/>
          <w:p>
            <w:pPr>
              <w:pStyle w:val="Compact"/>
            </w:pPr>
            <w:r>
              <w:t xml:space="preserve">Withdraw consent (Art 7.3)</w:t>
            </w:r>
          </w:p>
        </w:tc>
        <w:tc>
          <w:tcPr/>
          <w:p>
            <w:pPr>
              <w:pStyle w:val="Compact"/>
            </w:pPr>
            <w:r>
              <w:t xml:space="preserve">One-tap revocation in app</w:t>
            </w:r>
          </w:p>
        </w:tc>
        <w:tc>
          <w:tcPr/>
          <w:p>
            <w:pPr>
              <w:pStyle w:val="Compact"/>
            </w:pPr>
            <w:r>
              <w:t xml:space="preserve">Immediate</w:t>
            </w:r>
          </w:p>
        </w:tc>
      </w:tr>
      <w:tr>
        <w:tc>
          <w:tcPr/>
          <w:p>
            <w:pPr>
              <w:pStyle w:val="Compact"/>
            </w:pPr>
            <w:r>
              <w:t xml:space="preserve">Lodge a complaint with ICO</w:t>
            </w:r>
          </w:p>
        </w:tc>
        <w:tc>
          <w:tcPr/>
          <w:p>
            <w:pPr>
              <w:pStyle w:val="Compact"/>
            </w:pPr>
            <w:r>
              <w:t xml:space="preserve">Linked from in-app privacy notice and dequad.co.uk/privacy</w:t>
            </w:r>
          </w:p>
        </w:tc>
        <w:tc>
          <w:tcPr/>
          <w:p>
            <w:pPr>
              <w:pStyle w:val="Compact"/>
            </w:pPr>
            <w:r>
              <w:t xml:space="preserve">n/a</w:t>
            </w:r>
          </w:p>
        </w:tc>
      </w:tr>
    </w:tbl>
    <w:p>
      <w:pPr>
        <w:pStyle w:val="BodyText"/>
      </w:pPr>
      <w:r>
        <w:t xml:space="preserve">A documented Subject Rights Request procedure is maintained at</w:t>
      </w:r>
      <w:r>
        <w:t xml:space="preserve"> </w:t>
      </w:r>
      <w:r>
        <w:rPr>
          <w:rStyle w:val="VerbatimChar"/>
        </w:rPr>
        <w:t xml:space="preserve">/internal/SRR_procedure.md</w:t>
      </w:r>
      <w:r>
        <w:t xml:space="preserve"> </w:t>
      </w:r>
      <w:r>
        <w:t xml:space="preserve">(not yet public).</w:t>
      </w:r>
    </w:p>
    <w:p>
      <w:r>
        <w:pict>
          <v:rect style="width:0;height:1.5pt" o:hralign="center" o:hrstd="t" o:hr="t"/>
        </w:pict>
      </w:r>
    </w:p>
    <w:bookmarkEnd w:id="18"/>
    <w:bookmarkStart w:id="19" w:name="e.7-processors"/>
    <w:p>
      <w:pPr>
        <w:pStyle w:val="Heading2"/>
      </w:pPr>
      <w:r>
        <w:t xml:space="preserve">E.7 Processors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Processor</w:t>
            </w:r>
          </w:p>
        </w:tc>
        <w:tc>
          <w:tcPr/>
          <w:p>
            <w:pPr>
              <w:pStyle w:val="Compact"/>
            </w:pPr>
            <w:r>
              <w:t xml:space="preserve">Purpose</w:t>
            </w:r>
          </w:p>
        </w:tc>
        <w:tc>
          <w:tcPr/>
          <w:p>
            <w:pPr>
              <w:pStyle w:val="Compact"/>
            </w:pPr>
            <w:r>
              <w:t xml:space="preserve">Data shared</w:t>
            </w:r>
          </w:p>
        </w:tc>
        <w:tc>
          <w:tcPr/>
          <w:p>
            <w:pPr>
              <w:pStyle w:val="Compact"/>
            </w:pPr>
            <w:r>
              <w:t xml:space="preserve">Location</w:t>
            </w:r>
          </w:p>
        </w:tc>
        <w:tc>
          <w:tcPr/>
          <w:p>
            <w:pPr>
              <w:pStyle w:val="Compact"/>
            </w:pPr>
            <w:r>
              <w:t xml:space="preserve">Contract status</w:t>
            </w:r>
          </w:p>
        </w:tc>
      </w:tr>
      <w:tr>
        <w:tc>
          <w:tcPr/>
          <w:p>
            <w:pPr>
              <w:pStyle w:val="Compact"/>
            </w:pPr>
            <w:r>
              <w:t xml:space="preserve">MongoDB Atlas (MongoDB Inc.)</w:t>
            </w:r>
          </w:p>
        </w:tc>
        <w:tc>
          <w:tcPr/>
          <w:p>
            <w:pPr>
              <w:pStyle w:val="Compact"/>
            </w:pPr>
            <w:r>
              <w:t xml:space="preserve">Database hosting</w:t>
            </w:r>
          </w:p>
        </w:tc>
        <w:tc>
          <w:tcPr/>
          <w:p>
            <w:pPr>
              <w:pStyle w:val="Compact"/>
            </w:pPr>
            <w:r>
              <w:t xml:space="preserve">All collections</w:t>
            </w:r>
          </w:p>
        </w:tc>
        <w:tc>
          <w:tcPr/>
          <w:p>
            <w:pPr>
              <w:pStyle w:val="Compact"/>
            </w:pPr>
            <w:r>
              <w:t xml:space="preserve">UK (London region)</w:t>
            </w:r>
          </w:p>
        </w:tc>
        <w:tc>
          <w:tcPr/>
          <w:p>
            <w:pPr>
              <w:pStyle w:val="Compact"/>
            </w:pPr>
            <w:r>
              <w:t xml:space="preserve">Atlas DPA accepted; Standard Contractual Clauses adopted</w:t>
            </w:r>
          </w:p>
        </w:tc>
      </w:tr>
      <w:tr>
        <w:tc>
          <w:tcPr/>
          <w:p>
            <w:pPr>
              <w:pStyle w:val="Compact"/>
            </w:pPr>
            <w:r>
              <w:t xml:space="preserve">Stripe Payments UK Ltd</w:t>
            </w:r>
          </w:p>
        </w:tc>
        <w:tc>
          <w:tcPr/>
          <w:p>
            <w:pPr>
              <w:pStyle w:val="Compact"/>
            </w:pPr>
            <w:r>
              <w:t xml:space="preserve">Subscription billing</w:t>
            </w:r>
          </w:p>
        </w:tc>
        <w:tc>
          <w:tcPr/>
          <w:p>
            <w:pPr>
              <w:pStyle w:val="Compact"/>
            </w:pPr>
            <w:r>
              <w:t xml:space="preserve">Email + payment token</w:t>
            </w:r>
          </w:p>
        </w:tc>
        <w:tc>
          <w:tcPr/>
          <w:p>
            <w:pPr>
              <w:pStyle w:val="Compact"/>
            </w:pPr>
            <w:r>
              <w:t xml:space="preserve">UK</w:t>
            </w:r>
          </w:p>
        </w:tc>
        <w:tc>
          <w:tcPr/>
          <w:p>
            <w:pPr>
              <w:pStyle w:val="Compact"/>
            </w:pPr>
            <w:r>
              <w:t xml:space="preserve">Stripe DPA accepted</w:t>
            </w:r>
          </w:p>
        </w:tc>
      </w:tr>
      <w:tr>
        <w:tc>
          <w:tcPr/>
          <w:p>
            <w:pPr>
              <w:pStyle w:val="Compact"/>
            </w:pPr>
            <w:r>
              <w:t xml:space="preserve">Cloudflare UK Ltd</w:t>
            </w:r>
          </w:p>
        </w:tc>
        <w:tc>
          <w:tcPr/>
          <w:p>
            <w:pPr>
              <w:pStyle w:val="Compact"/>
            </w:pPr>
            <w:r>
              <w:t xml:space="preserve">DNS / WAF / CDN</w:t>
            </w:r>
          </w:p>
        </w:tc>
        <w:tc>
          <w:tcPr/>
          <w:p>
            <w:pPr>
              <w:pStyle w:val="Compact"/>
            </w:pPr>
            <w:r>
              <w:t xml:space="preserve">IP + request metadata</w:t>
            </w:r>
          </w:p>
        </w:tc>
        <w:tc>
          <w:tcPr/>
          <w:p>
            <w:pPr>
              <w:pStyle w:val="Compact"/>
            </w:pPr>
            <w:r>
              <w:t xml:space="preserve">UK / EU</w:t>
            </w:r>
          </w:p>
        </w:tc>
        <w:tc>
          <w:tcPr/>
          <w:p>
            <w:pPr>
              <w:pStyle w:val="Compact"/>
            </w:pPr>
            <w:r>
              <w:t xml:space="preserve">Cloudflare DPA accepted</w:t>
            </w:r>
          </w:p>
        </w:tc>
      </w:tr>
      <w:tr>
        <w:tc>
          <w:tcPr/>
          <w:p>
            <w:pPr>
              <w:pStyle w:val="Compact"/>
            </w:pPr>
            <w:r>
              <w:t xml:space="preserve">OpenAI (via Emergent LLM Key)</w:t>
            </w:r>
          </w:p>
        </w:tc>
        <w:tc>
          <w:tcPr/>
          <w:p>
            <w:pPr>
              <w:pStyle w:val="Compact"/>
            </w:pPr>
            <w:r>
              <w:t xml:space="preserve">LLM auto-reply on support chat</w:t>
            </w:r>
          </w:p>
        </w:tc>
        <w:tc>
          <w:tcPr/>
          <w:p>
            <w:pPr>
              <w:pStyle w:val="Compact"/>
            </w:pPr>
            <w:r>
              <w:t xml:space="preserve">Redacted excerpt of support text only</w:t>
            </w:r>
          </w:p>
        </w:tc>
        <w:tc>
          <w:tcPr/>
          <w:p>
            <w:pPr>
              <w:pStyle w:val="Compact"/>
            </w:pPr>
            <w:r>
              <w:t xml:space="preserve">US (with Standard Contractual Clauses)</w:t>
            </w:r>
          </w:p>
        </w:tc>
        <w:tc>
          <w:tcPr/>
          <w:p>
            <w:pPr>
              <w:pStyle w:val="Compact"/>
            </w:pPr>
            <w:r>
              <w:t xml:space="preserve">Emergent ToS + OpenAI DPA</w:t>
            </w:r>
          </w:p>
        </w:tc>
      </w:tr>
      <w:tr>
        <w:tc>
          <w:tcPr/>
          <w:p>
            <w:pPr>
              <w:pStyle w:val="Compact"/>
            </w:pPr>
            <w:r>
              <w:t xml:space="preserve">Expo Push Service (Expo Inc.)</w:t>
            </w:r>
          </w:p>
        </w:tc>
        <w:tc>
          <w:tcPr/>
          <w:p>
            <w:pPr>
              <w:pStyle w:val="Compact"/>
            </w:pPr>
            <w:r>
              <w:t xml:space="preserve">Push notifications</w:t>
            </w:r>
          </w:p>
        </w:tc>
        <w:tc>
          <w:tcPr/>
          <w:p>
            <w:pPr>
              <w:pStyle w:val="Compact"/>
            </w:pPr>
            <w:r>
              <w:t xml:space="preserve">Device token + alert payload</w:t>
            </w:r>
          </w:p>
        </w:tc>
        <w:tc>
          <w:tcPr/>
          <w:p>
            <w:pPr>
              <w:pStyle w:val="Compact"/>
            </w:pPr>
            <w:r>
              <w:t xml:space="preserve">US (with SCCs)</w:t>
            </w:r>
          </w:p>
        </w:tc>
        <w:tc>
          <w:tcPr/>
          <w:p>
            <w:pPr>
              <w:pStyle w:val="Compact"/>
            </w:pPr>
            <w:r>
              <w:t xml:space="preserve">Expo DPA</w:t>
            </w:r>
          </w:p>
        </w:tc>
      </w:tr>
      <w:tr>
        <w:tc>
          <w:tcPr/>
          <w:p>
            <w:pPr>
              <w:pStyle w:val="Compact"/>
            </w:pPr>
            <w:r>
              <w:t xml:space="preserve">Sentry (Functional Software Inc.)</w:t>
            </w:r>
          </w:p>
        </w:tc>
        <w:tc>
          <w:tcPr/>
          <w:p>
            <w:pPr>
              <w:pStyle w:val="Compact"/>
            </w:pPr>
            <w:r>
              <w:t xml:space="preserve">Error monitoring</w:t>
            </w:r>
          </w:p>
        </w:tc>
        <w:tc>
          <w:tcPr/>
          <w:p>
            <w:pPr>
              <w:pStyle w:val="Compact"/>
            </w:pPr>
            <w:r>
              <w:t xml:space="preserve">Stack traces (PII-scrubbed)</w:t>
            </w:r>
          </w:p>
        </w:tc>
        <w:tc>
          <w:tcPr/>
          <w:p>
            <w:pPr>
              <w:pStyle w:val="Compact"/>
            </w:pPr>
            <w:r>
              <w:t xml:space="preserve">EU region</w:t>
            </w:r>
          </w:p>
        </w:tc>
        <w:tc>
          <w:tcPr/>
          <w:p>
            <w:pPr>
              <w:pStyle w:val="Compact"/>
            </w:pPr>
            <w:r>
              <w:t xml:space="preserve">Sentry DPA</w:t>
            </w:r>
          </w:p>
        </w:tc>
      </w:tr>
      <w:tr>
        <w:tc>
          <w:tcPr/>
          <w:p>
            <w:pPr>
              <w:pStyle w:val="Compact"/>
            </w:pPr>
            <w:r>
              <w:t xml:space="preserve">AWS SES (Amazon Web Services EMEA)</w:t>
            </w:r>
          </w:p>
        </w:tc>
        <w:tc>
          <w:tcPr/>
          <w:p>
            <w:pPr>
              <w:pStyle w:val="Compact"/>
            </w:pPr>
            <w:r>
              <w:t xml:space="preserve">Transactional email</w:t>
            </w:r>
          </w:p>
        </w:tc>
        <w:tc>
          <w:tcPr/>
          <w:p>
            <w:pPr>
              <w:pStyle w:val="Compact"/>
            </w:pPr>
            <w:r>
              <w:t xml:space="preserve">Email address + body</w:t>
            </w:r>
          </w:p>
        </w:tc>
        <w:tc>
          <w:tcPr/>
          <w:p>
            <w:pPr>
              <w:pStyle w:val="Compact"/>
            </w:pPr>
            <w:r>
              <w:t xml:space="preserve">UK (eu-west-2)</w:t>
            </w:r>
          </w:p>
        </w:tc>
        <w:tc>
          <w:tcPr/>
          <w:p>
            <w:pPr>
              <w:pStyle w:val="Compact"/>
            </w:pPr>
            <w:r>
              <w:t xml:space="preserve">AWS DPA accepted</w:t>
            </w:r>
          </w:p>
        </w:tc>
      </w:tr>
      <w:tr>
        <w:tc>
          <w:tcPr/>
          <w:p>
            <w:pPr>
              <w:pStyle w:val="Compact"/>
            </w:pPr>
            <w:r>
              <w:t xml:space="preserve">Hiscox / Markel</w:t>
            </w:r>
          </w:p>
        </w:tc>
        <w:tc>
          <w:tcPr/>
          <w:p>
            <w:pPr>
              <w:pStyle w:val="Compact"/>
            </w:pPr>
            <w:r>
              <w:t xml:space="preserve">Insurance</w:t>
            </w:r>
          </w:p>
        </w:tc>
        <w:tc>
          <w:tcPr/>
          <w:p>
            <w:pPr>
              <w:pStyle w:val="Compact"/>
            </w:pPr>
            <w:r>
              <w:t xml:space="preserve">None during ordinary course</w:t>
            </w:r>
          </w:p>
        </w:tc>
        <w:tc>
          <w:tcPr/>
          <w:p>
            <w:pPr>
              <w:pStyle w:val="Compact"/>
            </w:pPr>
            <w:r>
              <w:t xml:space="preserve">UK</w:t>
            </w:r>
          </w:p>
        </w:tc>
        <w:tc>
          <w:tcPr/>
          <w:p>
            <w:pPr>
              <w:pStyle w:val="Compact"/>
            </w:pPr>
            <w:r>
              <w:t xml:space="preserve">n/a</w:t>
            </w:r>
          </w:p>
        </w:tc>
      </w:tr>
    </w:tbl>
    <w:p>
      <w:pPr>
        <w:pStyle w:val="BodyText"/>
      </w:pPr>
      <w:r>
        <w:t xml:space="preserve">International transfers documented in</w:t>
      </w:r>
      <w:r>
        <w:t xml:space="preserve"> </w:t>
      </w:r>
      <w:r>
        <w:rPr>
          <w:rStyle w:val="VerbatimChar"/>
        </w:rPr>
        <w:t xml:space="preserve">E_supporting/transfer_register.md</w:t>
      </w:r>
      <w:r>
        <w:t xml:space="preserve"> </w:t>
      </w:r>
      <w:r>
        <w:t xml:space="preserve">with Standard Contractual Clauses 2021 in place where applicable.</w:t>
      </w:r>
    </w:p>
    <w:p>
      <w:r>
        <w:pict>
          <v:rect style="width:0;height:1.5pt" o:hralign="center" o:hrstd="t" o:hr="t"/>
        </w:pict>
      </w:r>
    </w:p>
    <w:bookmarkEnd w:id="19"/>
    <w:bookmarkStart w:id="20" w:name="e.8-risk-register"/>
    <w:p>
      <w:pPr>
        <w:pStyle w:val="Heading2"/>
      </w:pPr>
      <w:r>
        <w:t xml:space="preserve">E.8 Risk register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Risk</w:t>
            </w:r>
          </w:p>
        </w:tc>
        <w:tc>
          <w:tcPr/>
          <w:p>
            <w:pPr>
              <w:pStyle w:val="Compact"/>
            </w:pPr>
            <w:r>
              <w:t xml:space="preserve">Likelihood</w:t>
            </w:r>
          </w:p>
        </w:tc>
        <w:tc>
          <w:tcPr/>
          <w:p>
            <w:pPr>
              <w:pStyle w:val="Compact"/>
            </w:pPr>
            <w:r>
              <w:t xml:space="preserve">Severity</w:t>
            </w:r>
          </w:p>
        </w:tc>
        <w:tc>
          <w:tcPr/>
          <w:p>
            <w:pPr>
              <w:pStyle w:val="Compact"/>
            </w:pPr>
            <w:r>
              <w:t xml:space="preserve">Inherent risk</w:t>
            </w:r>
          </w:p>
        </w:tc>
        <w:tc>
          <w:tcPr/>
          <w:p>
            <w:pPr>
              <w:pStyle w:val="Compact"/>
            </w:pPr>
            <w:r>
              <w:t xml:space="preserve">Mitigation</w:t>
            </w:r>
          </w:p>
        </w:tc>
        <w:tc>
          <w:tcPr/>
          <w:p>
            <w:pPr>
              <w:pStyle w:val="Compact"/>
            </w:pPr>
            <w:r>
              <w:t xml:space="preserve">Residual risk</w:t>
            </w:r>
          </w:p>
        </w:tc>
      </w:tr>
      <w:tr>
        <w:tc>
          <w:tcPr/>
          <w:p>
            <w:pPr>
              <w:pStyle w:val="Compact"/>
            </w:pPr>
            <w:r>
              <w:t xml:space="preserve">1</w:t>
            </w:r>
          </w:p>
        </w:tc>
        <w:tc>
          <w:tcPr/>
          <w:p>
            <w:pPr>
              <w:pStyle w:val="Compact"/>
            </w:pPr>
            <w:r>
              <w:t xml:space="preserve">Unauthorised access to mood/safeguarding records</w:t>
            </w:r>
          </w:p>
        </w:tc>
        <w:tc>
          <w:tcPr/>
          <w:p>
            <w:pPr>
              <w:pStyle w:val="Compact"/>
            </w:pPr>
            <w:r>
              <w:t xml:space="preserve">Low</w:t>
            </w:r>
          </w:p>
        </w:tc>
        <w:tc>
          <w:tcPr/>
          <w:p>
            <w:pPr>
              <w:pStyle w:val="Compact"/>
            </w:pPr>
            <w:r>
              <w:t xml:space="preserve">High</w:t>
            </w:r>
          </w:p>
        </w:tc>
        <w:tc>
          <w:tcPr/>
          <w:p>
            <w:pPr>
              <w:pStyle w:val="Compact"/>
            </w:pPr>
            <w:r>
              <w:t xml:space="preserve">High</w:t>
            </w:r>
          </w:p>
        </w:tc>
        <w:tc>
          <w:tcPr/>
          <w:p>
            <w:pPr>
              <w:pStyle w:val="Compact"/>
            </w:pPr>
            <w:r>
              <w:t xml:space="preserve">Encryption at rest + TLS in transit + RBAC + audit logging + annual pen-test</w:t>
            </w:r>
          </w:p>
        </w:tc>
        <w:tc>
          <w:tcPr/>
          <w:p>
            <w:pPr>
              <w:pStyle w:val="Compact"/>
            </w:pPr>
            <w:r>
              <w:t xml:space="preserve">Low</w:t>
            </w:r>
          </w:p>
        </w:tc>
      </w:tr>
      <w:tr>
        <w:tc>
          <w:tcPr/>
          <w:p>
            <w:pPr>
              <w:pStyle w:val="Compact"/>
            </w:pPr>
            <w:r>
              <w:t xml:space="preserve">2</w:t>
            </w:r>
          </w:p>
        </w:tc>
        <w:tc>
          <w:tcPr/>
          <w:p>
            <w:pPr>
              <w:pStyle w:val="Compact"/>
            </w:pPr>
            <w:r>
              <w:t xml:space="preserve">Re-identification from</w:t>
            </w:r>
            <w:r>
              <w:t xml:space="preserve"> </w:t>
            </w:r>
            <w:r>
              <w:t xml:space="preserve">“anonymised”</w:t>
            </w:r>
            <w:r>
              <w:t xml:space="preserve"> </w:t>
            </w:r>
            <w:r>
              <w:t xml:space="preserve">research data</w:t>
            </w:r>
          </w:p>
        </w:tc>
        <w:tc>
          <w:tcPr/>
          <w:p>
            <w:pPr>
              <w:pStyle w:val="Compact"/>
            </w:pPr>
            <w:r>
              <w:t xml:space="preserve">Med</w:t>
            </w:r>
          </w:p>
        </w:tc>
        <w:tc>
          <w:tcPr/>
          <w:p>
            <w:pPr>
              <w:pStyle w:val="Compact"/>
            </w:pPr>
            <w:r>
              <w:t xml:space="preserve">High</w:t>
            </w:r>
          </w:p>
        </w:tc>
        <w:tc>
          <w:tcPr/>
          <w:p>
            <w:pPr>
              <w:pStyle w:val="Compact"/>
            </w:pPr>
            <w:r>
              <w:t xml:space="preserve">High</w:t>
            </w:r>
          </w:p>
        </w:tc>
        <w:tc>
          <w:tcPr/>
          <w:p>
            <w:pPr>
              <w:pStyle w:val="Compact"/>
            </w:pPr>
            <w:r>
              <w:t xml:space="preserve">k-anonymity ≥ 5 enforced; named DPO review of every release; written agreements with recipients</w:t>
            </w:r>
          </w:p>
        </w:tc>
        <w:tc>
          <w:tcPr/>
          <w:p>
            <w:pPr>
              <w:pStyle w:val="Compact"/>
            </w:pPr>
            <w:r>
              <w:t xml:space="preserve">Low</w:t>
            </w:r>
          </w:p>
        </w:tc>
      </w:tr>
      <w:tr>
        <w:tc>
          <w:tcPr/>
          <w:p>
            <w:pPr>
              <w:pStyle w:val="Compact"/>
            </w:pPr>
            <w:r>
              <w:t xml:space="preserve">3</w:t>
            </w:r>
          </w:p>
        </w:tc>
        <w:tc>
          <w:tcPr/>
          <w:p>
            <w:pPr>
              <w:pStyle w:val="Compact"/>
            </w:pPr>
            <w:r>
              <w:t xml:space="preserve">Excessive scanning of in-app messages (over-collection)</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Keyword library reviewed quarterly; false-positive rate audited; transparency report annually</w:t>
            </w:r>
          </w:p>
        </w:tc>
        <w:tc>
          <w:tcPr/>
          <w:p>
            <w:pPr>
              <w:pStyle w:val="Compact"/>
            </w:pPr>
            <w:r>
              <w:t xml:space="preserve">Low</w:t>
            </w:r>
          </w:p>
        </w:tc>
      </w:tr>
      <w:tr>
        <w:tc>
          <w:tcPr/>
          <w:p>
            <w:pPr>
              <w:pStyle w:val="Compact"/>
            </w:pPr>
            <w:r>
              <w:t xml:space="preserve">4</w:t>
            </w:r>
          </w:p>
        </w:tc>
        <w:tc>
          <w:tcPr/>
          <w:p>
            <w:pPr>
              <w:pStyle w:val="Compact"/>
            </w:pPr>
            <w:r>
              <w:t xml:space="preserve">LLM prompt-injection or output containing PII</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All user text redacted before LLM call; no PII in prompt templates; output filtered for crisis numbers + URLs only</w:t>
            </w:r>
          </w:p>
        </w:tc>
        <w:tc>
          <w:tcPr/>
          <w:p>
            <w:pPr>
              <w:pStyle w:val="Compact"/>
            </w:pPr>
            <w:r>
              <w:t xml:space="preserve">Low</w:t>
            </w:r>
          </w:p>
        </w:tc>
      </w:tr>
      <w:tr>
        <w:tc>
          <w:tcPr/>
          <w:p>
            <w:pPr>
              <w:pStyle w:val="Compact"/>
            </w:pPr>
            <w:r>
              <w:t xml:space="preserve">5</w:t>
            </w:r>
          </w:p>
        </w:tc>
        <w:tc>
          <w:tcPr/>
          <w:p>
            <w:pPr>
              <w:pStyle w:val="Compact"/>
            </w:pPr>
            <w:r>
              <w:t xml:space="preserve">Cross-border transfer to OpenAI (US)</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Only redacted excerpts; SCCs in place; transfer-risk assessment lodged at</w:t>
            </w:r>
            <w:r>
              <w:t xml:space="preserve"> </w:t>
            </w:r>
            <w:r>
              <w:rPr>
                <w:rStyle w:val="VerbatimChar"/>
              </w:rPr>
              <w:t xml:space="preserve">E_supporting/transfer_risk_assessment.md</w:t>
            </w:r>
          </w:p>
        </w:tc>
        <w:tc>
          <w:tcPr/>
          <w:p>
            <w:pPr>
              <w:pStyle w:val="Compact"/>
            </w:pPr>
            <w:r>
              <w:t xml:space="preserve">Low-Med</w:t>
            </w:r>
          </w:p>
        </w:tc>
      </w:tr>
      <w:tr>
        <w:tc>
          <w:tcPr/>
          <w:p>
            <w:pPr>
              <w:pStyle w:val="Compact"/>
            </w:pPr>
            <w:r>
              <w:t xml:space="preserve">6</w:t>
            </w:r>
          </w:p>
        </w:tc>
        <w:tc>
          <w:tcPr/>
          <w:p>
            <w:pPr>
              <w:pStyle w:val="Compact"/>
            </w:pPr>
            <w:r>
              <w:t xml:space="preserve">Data subject denied erasure due to safeguarding retention</w:t>
            </w:r>
          </w:p>
        </w:tc>
        <w:tc>
          <w:tcPr/>
          <w:p>
            <w:pPr>
              <w:pStyle w:val="Compact"/>
            </w:pPr>
            <w:r>
              <w:t xml:space="preserve">Low</w:t>
            </w:r>
          </w:p>
        </w:tc>
        <w:tc>
          <w:tcPr/>
          <w:p>
            <w:pPr>
              <w:pStyle w:val="Compact"/>
            </w:pPr>
            <w:r>
              <w:t xml:space="preserve">High</w:t>
            </w:r>
          </w:p>
        </w:tc>
        <w:tc>
          <w:tcPr/>
          <w:p>
            <w:pPr>
              <w:pStyle w:val="Compact"/>
            </w:pPr>
            <w:r>
              <w:t xml:space="preserve">Med</w:t>
            </w:r>
          </w:p>
        </w:tc>
        <w:tc>
          <w:tcPr/>
          <w:p>
            <w:pPr>
              <w:pStyle w:val="Compact"/>
            </w:pPr>
            <w:r>
              <w:t xml:space="preserve">Lawful basis (substantial public interest) documented per request; data subject notified in writing with right to ICO complaint</w:t>
            </w:r>
          </w:p>
        </w:tc>
        <w:tc>
          <w:tcPr/>
          <w:p>
            <w:pPr>
              <w:pStyle w:val="Compact"/>
            </w:pPr>
            <w:r>
              <w:t xml:space="preserve">Low</w:t>
            </w:r>
          </w:p>
        </w:tc>
      </w:tr>
      <w:tr>
        <w:tc>
          <w:tcPr/>
          <w:p>
            <w:pPr>
              <w:pStyle w:val="Compact"/>
            </w:pPr>
            <w:r>
              <w:t xml:space="preserve">7</w:t>
            </w:r>
          </w:p>
        </w:tc>
        <w:tc>
          <w:tcPr/>
          <w:p>
            <w:pPr>
              <w:pStyle w:val="Compact"/>
            </w:pPr>
            <w:r>
              <w:t xml:space="preserve">Insider misuse of admin dashboard</w:t>
            </w:r>
          </w:p>
        </w:tc>
        <w:tc>
          <w:tcPr/>
          <w:p>
            <w:pPr>
              <w:pStyle w:val="Compact"/>
            </w:pPr>
            <w:r>
              <w:t xml:space="preserve">Low</w:t>
            </w:r>
          </w:p>
        </w:tc>
        <w:tc>
          <w:tcPr/>
          <w:p>
            <w:pPr>
              <w:pStyle w:val="Compact"/>
            </w:pPr>
            <w:r>
              <w:t xml:space="preserve">High</w:t>
            </w:r>
          </w:p>
        </w:tc>
        <w:tc>
          <w:tcPr/>
          <w:p>
            <w:pPr>
              <w:pStyle w:val="Compact"/>
            </w:pPr>
            <w:r>
              <w:t xml:space="preserve">Med</w:t>
            </w:r>
          </w:p>
        </w:tc>
        <w:tc>
          <w:tcPr/>
          <w:p>
            <w:pPr>
              <w:pStyle w:val="Compact"/>
            </w:pPr>
            <w:r>
              <w:t xml:space="preserve">Two-factor auth on admin; audit log retained 7 years; quarterly access review; immediate offboarding workflow</w:t>
            </w:r>
          </w:p>
        </w:tc>
        <w:tc>
          <w:tcPr/>
          <w:p>
            <w:pPr>
              <w:pStyle w:val="Compact"/>
            </w:pPr>
            <w:r>
              <w:t xml:space="preserve">Low</w:t>
            </w:r>
          </w:p>
        </w:tc>
      </w:tr>
      <w:tr>
        <w:tc>
          <w:tcPr/>
          <w:p>
            <w:pPr>
              <w:pStyle w:val="Compact"/>
            </w:pPr>
            <w:r>
              <w:t xml:space="preserve">8</w:t>
            </w:r>
          </w:p>
        </w:tc>
        <w:tc>
          <w:tcPr/>
          <w:p>
            <w:pPr>
              <w:pStyle w:val="Compact"/>
            </w:pPr>
            <w:r>
              <w:t xml:space="preserve">DPIA itself becomes stale</w:t>
            </w:r>
          </w:p>
        </w:tc>
        <w:tc>
          <w:tcPr/>
          <w:p>
            <w:pPr>
              <w:pStyle w:val="Compact"/>
            </w:pPr>
            <w:r>
              <w:t xml:space="preserve">High</w:t>
            </w:r>
          </w:p>
        </w:tc>
        <w:tc>
          <w:tcPr/>
          <w:p>
            <w:pPr>
              <w:pStyle w:val="Compact"/>
            </w:pPr>
            <w:r>
              <w:t xml:space="preserve">Med</w:t>
            </w:r>
          </w:p>
        </w:tc>
        <w:tc>
          <w:tcPr/>
          <w:p>
            <w:pPr>
              <w:pStyle w:val="Compact"/>
            </w:pPr>
            <w:r>
              <w:t xml:space="preserve">Med</w:t>
            </w:r>
          </w:p>
        </w:tc>
        <w:tc>
          <w:tcPr/>
          <w:p>
            <w:pPr>
              <w:pStyle w:val="Compact"/>
            </w:pPr>
            <w:r>
              <w:t xml:space="preserve">DPIA reviewed annually and on any material change (e.g. new processor, new processing purpose)</w:t>
            </w:r>
          </w:p>
        </w:tc>
        <w:tc>
          <w:tcPr/>
          <w:p>
            <w:pPr>
              <w:pStyle w:val="Compact"/>
            </w:pPr>
            <w:r>
              <w:t xml:space="preserve">Low</w:t>
            </w:r>
          </w:p>
        </w:tc>
      </w:tr>
      <w:tr>
        <w:tc>
          <w:tcPr/>
          <w:p>
            <w:pPr>
              <w:pStyle w:val="Compact"/>
            </w:pPr>
            <w:r>
              <w:t xml:space="preserve">9</w:t>
            </w:r>
          </w:p>
        </w:tc>
        <w:tc>
          <w:tcPr/>
          <w:p>
            <w:pPr>
              <w:pStyle w:val="Compact"/>
            </w:pPr>
            <w:r>
              <w:t xml:space="preserve">Children (under-18) processed without parental consent</w:t>
            </w:r>
          </w:p>
        </w:tc>
        <w:tc>
          <w:tcPr/>
          <w:p>
            <w:pPr>
              <w:pStyle w:val="Compact"/>
            </w:pPr>
            <w:r>
              <w:t xml:space="preserve">Low</w:t>
            </w:r>
          </w:p>
        </w:tc>
        <w:tc>
          <w:tcPr/>
          <w:p>
            <w:pPr>
              <w:pStyle w:val="Compact"/>
            </w:pPr>
            <w:r>
              <w:t xml:space="preserve">High</w:t>
            </w:r>
          </w:p>
        </w:tc>
        <w:tc>
          <w:tcPr/>
          <w:p>
            <w:pPr>
              <w:pStyle w:val="Compact"/>
            </w:pPr>
            <w:r>
              <w:t xml:space="preserve">Med</w:t>
            </w:r>
          </w:p>
        </w:tc>
        <w:tc>
          <w:tcPr/>
          <w:p>
            <w:pPr>
              <w:pStyle w:val="Compact"/>
            </w:pPr>
            <w:r>
              <w:t xml:space="preserve">Birth-date check at sign-up; flag for</w:t>
            </w:r>
            <w:r>
              <w:t xml:space="preserve"> </w:t>
            </w:r>
            <w:r>
              <w:rPr>
                <w:rStyle w:val="VerbatimChar"/>
              </w:rPr>
              <w:t xml:space="preserve">.ac.uk</w:t>
            </w:r>
            <w:r>
              <w:t xml:space="preserve"> </w:t>
            </w:r>
            <w:r>
              <w:t xml:space="preserve">accounts where birth-date &lt; 18; default privacy-protective settings; ICO AADC alignment</w:t>
            </w:r>
          </w:p>
        </w:tc>
        <w:tc>
          <w:tcPr/>
          <w:p>
            <w:pPr>
              <w:pStyle w:val="Compact"/>
            </w:pPr>
            <w:r>
              <w:t xml:space="preserve">Low</w:t>
            </w:r>
          </w:p>
        </w:tc>
      </w:tr>
      <w:tr>
        <w:tc>
          <w:tcPr/>
          <w:p>
            <w:pPr>
              <w:pStyle w:val="Compact"/>
            </w:pPr>
            <w:r>
              <w:t xml:space="preserve">10</w:t>
            </w:r>
          </w:p>
        </w:tc>
        <w:tc>
          <w:tcPr/>
          <w:p>
            <w:pPr>
              <w:pStyle w:val="Compact"/>
            </w:pPr>
            <w:r>
              <w:t xml:space="preserve">A safeguarding event leaks to other students</w:t>
            </w:r>
          </w:p>
        </w:tc>
        <w:tc>
          <w:tcPr/>
          <w:p>
            <w:pPr>
              <w:pStyle w:val="Compact"/>
            </w:pPr>
            <w:r>
              <w:t xml:space="preserve">Low</w:t>
            </w:r>
          </w:p>
        </w:tc>
        <w:tc>
          <w:tcPr/>
          <w:p>
            <w:pPr>
              <w:pStyle w:val="Compact"/>
            </w:pPr>
            <w:r>
              <w:t xml:space="preserve">Critical</w:t>
            </w:r>
          </w:p>
        </w:tc>
        <w:tc>
          <w:tcPr/>
          <w:p>
            <w:pPr>
              <w:pStyle w:val="Compact"/>
            </w:pPr>
            <w:r>
              <w:t xml:space="preserve">High</w:t>
            </w:r>
          </w:p>
        </w:tc>
        <w:tc>
          <w:tcPr/>
          <w:p>
            <w:pPr>
              <w:pStyle w:val="Compact"/>
            </w:pPr>
            <w:r>
              <w:t xml:space="preserve">Safeguarding scans are server-side only; alerts go to DSL email, never in-app; UI design prevents accidental exposure</w:t>
            </w:r>
          </w:p>
        </w:tc>
        <w:tc>
          <w:tcPr/>
          <w:p>
            <w:pPr>
              <w:pStyle w:val="Compact"/>
            </w:pPr>
            <w:r>
              <w:t xml:space="preserve">Low</w:t>
            </w:r>
          </w:p>
        </w:tc>
      </w:tr>
    </w:tbl>
    <w:p>
      <w:r>
        <w:pict>
          <v:rect style="width:0;height:1.5pt" o:hralign="center" o:hrstd="t" o:hr="t"/>
        </w:pict>
      </w:r>
    </w:p>
    <w:bookmarkEnd w:id="20"/>
    <w:bookmarkStart w:id="21" w:name="e.9-approvals"/>
    <w:p>
      <w:pPr>
        <w:pStyle w:val="Heading2"/>
      </w:pPr>
      <w:r>
        <w:t xml:space="preserve">E.9 Approvals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Controller representative</w:t>
            </w:r>
          </w:p>
        </w:tc>
        <w:tc>
          <w:tcPr/>
          <w:p>
            <w:pPr>
              <w:pStyle w:val="Compact"/>
            </w:pPr>
            <w:r>
              <w:t xml:space="preserve">Yusuf Quadri</w:t>
            </w:r>
          </w:p>
        </w:tc>
        <w:tc>
          <w:tcPr/>
          <w:p>
            <w:pPr>
              <w:pStyle w:val="Compact"/>
            </w:pPr>
            <w:r>
              <w:rPr>
                <w:i/>
                <w:iCs/>
              </w:rPr>
              <w:t xml:space="preserve">signed in original</w:t>
            </w:r>
          </w:p>
        </w:tc>
        <w:tc>
          <w:tcPr/>
          <w:p>
            <w:pPr>
              <w:pStyle w:val="Compact"/>
            </w:pPr>
            <w:r>
              <w:t xml:space="preserve">___________________</w:t>
            </w:r>
          </w:p>
        </w:tc>
      </w:tr>
      <w:tr>
        <w:tc>
          <w:tcPr/>
          <w:p>
            <w:pPr>
              <w:pStyle w:val="Compact"/>
            </w:pPr>
            <w:r>
              <w:t xml:space="preserve">Data Protection Officer</w:t>
            </w:r>
          </w:p>
        </w:tc>
        <w:tc>
          <w:tcPr/>
          <w:p>
            <w:pPr>
              <w:pStyle w:val="Compact"/>
            </w:pPr>
            <w:r>
              <w:rPr>
                <w:i/>
                <w:iCs/>
              </w:rPr>
              <w:t xml:space="preserve">The DPO Centre (designated)</w:t>
            </w:r>
          </w:p>
        </w:tc>
        <w:tc>
          <w:tcPr/>
          <w:p>
            <w:pPr>
              <w:pStyle w:val="Compact"/>
            </w:pPr>
            <w:r>
              <w:rPr>
                <w:i/>
                <w:iCs/>
              </w:rPr>
              <w:t xml:space="preserve">to follow Month 1</w:t>
            </w:r>
          </w:p>
        </w:tc>
        <w:tc>
          <w:tcPr/>
          <w:p>
            <w:pPr>
              <w:pStyle w:val="Compact"/>
            </w:pPr>
            <w:r>
              <w:t xml:space="preserve">___________________</w:t>
            </w:r>
          </w:p>
        </w:tc>
      </w:tr>
      <w:tr>
        <w:tc>
          <w:tcPr/>
          <w:p>
            <w:pPr>
              <w:pStyle w:val="Compact"/>
            </w:pPr>
            <w:r>
              <w:t xml:space="preserve">External safeguarding advisor</w:t>
            </w:r>
          </w:p>
        </w:tc>
        <w:tc>
          <w:tcPr/>
          <w:p>
            <w:pPr>
              <w:pStyle w:val="Compact"/>
            </w:pPr>
            <w:r>
              <w:rPr>
                <w:i/>
                <w:iCs/>
              </w:rPr>
              <w:t xml:space="preserve">to be appointed Year 1</w:t>
            </w:r>
          </w:p>
        </w:tc>
        <w:tc>
          <w:tcPr/>
          <w:p>
            <w:pPr>
              <w:pStyle w:val="Compact"/>
            </w:pPr>
            <w:r>
              <w:rPr>
                <w:i/>
                <w:iCs/>
              </w:rPr>
              <w:t xml:space="preserve">to follow</w:t>
            </w:r>
          </w:p>
        </w:tc>
        <w:tc>
          <w:tcPr/>
          <w:p>
            <w:pPr>
              <w:pStyle w:val="Compact"/>
            </w:pPr>
            <w:r>
              <w:t xml:space="preserve">___________________</w:t>
            </w:r>
          </w:p>
        </w:tc>
      </w:tr>
    </w:tbl>
    <w:p>
      <w:r>
        <w:pict>
          <v:rect style="width:0;height:1.5pt" o:hralign="center" o:hrstd="t" o:hr="t"/>
        </w:pict>
      </w:r>
    </w:p>
    <w:bookmarkEnd w:id="21"/>
    <w:bookmarkStart w:id="22" w:name="e.10-conclusion"/>
    <w:p>
      <w:pPr>
        <w:pStyle w:val="Heading2"/>
      </w:pPr>
      <w:r>
        <w:t xml:space="preserve">E.10 Conclusion</w:t>
      </w:r>
    </w:p>
    <w:p>
      <w:pPr>
        <w:pStyle w:val="FirstParagraph"/>
      </w:pPr>
      <w:r>
        <w:t xml:space="preserve">The processing described above is necessary to deliver the DEQUAD service and to meet UK regulatory obligations under the Online Safety Act 2023. The risks have been identified and mitigated to a level that — in the controller’s view — meets the UK GDPR Article 35 standard of being</w:t>
      </w:r>
      <w:r>
        <w:t xml:space="preserve"> </w:t>
      </w:r>
      <w:r>
        <w:rPr>
          <w:b/>
          <w:bCs/>
        </w:rPr>
        <w:t xml:space="preserve">proportionate to the purposes and rights at stake</w:t>
      </w:r>
      <w:r>
        <w:t xml:space="preserve">. No high residual risk has been identified that requires consultation with the Information Commissioner under Art 36 at this time.</w:t>
      </w:r>
    </w:p>
    <w:p>
      <w:pPr>
        <w:pStyle w:val="BodyText"/>
      </w:pPr>
      <w:r>
        <w:t xml:space="preserve">The DPIA will be re-reviewed annually, on the appointment of the DPO, and immediately upon any material change in processing.</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2026-08-22T14:48:39Z</dcterms:created>
  <dcterms:modified xsi:type="dcterms:W3CDTF">2026-08-22T14:48:39Z</dcterms:modified>
</cp:coreProperties>
</file>

<file path=docProps/custom.xml><?xml version="1.0" encoding="utf-8"?>
<Properties xmlns="http://schemas.openxmlformats.org/officeDocument/2006/custom-properties" xmlns:vt="http://schemas.openxmlformats.org/officeDocument/2006/docPropsVTypes"/>
</file>