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dequad"/>
    <w:p>
      <w:pPr>
        <w:pStyle w:val="Heading1"/>
      </w:pPr>
      <w:r>
        <w:t xml:space="preserve">DEQUAD</w:t>
      </w:r>
    </w:p>
    <w:bookmarkStart w:id="21" w:name="X770188164901c2c4e68fee93e02994301152f61"/>
    <w:p>
      <w:pPr>
        <w:pStyle w:val="Heading2"/>
      </w:pPr>
      <w:r>
        <w:t xml:space="preserve">Pre-Pilot Stage 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Stage</w:t>
            </w:r>
          </w:p>
        </w:tc>
        <w:tc>
          <w:tcPr/>
          <w:p>
            <w:pPr>
              <w:pStyle w:val="Compact"/>
              <w:jc w:val="left"/>
            </w:pPr>
            <w:r>
              <w:rPr>
                <w:bCs/>
                <w:b/>
              </w:rPr>
              <w:t xml:space="preserve">Pre-pilot.</w:t>
            </w:r>
            <w:r>
              <w:t xml:space="preserve"> </w:t>
            </w:r>
            <w:r>
              <w:t xml:space="preserve">Product live; pilot with the University of Bedfordshire under discussion (target Jan–Mar 2027); no paying institution yet</w:t>
            </w:r>
          </w:p>
        </w:tc>
      </w:tr>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7.0 — October 2026, pre-pilot edition (supersedes v6.0 and v5.0)</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30"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stage-of-the-business-pre-pilot"/>
    <w:p>
      <w:pPr>
        <w:pStyle w:val="Heading3"/>
      </w:pPr>
      <w:r>
        <w:t xml:space="preserve">Stage of the business: pre-pilot</w:t>
      </w:r>
    </w:p>
    <w:p>
      <w:pPr>
        <w:pStyle w:val="FirstParagraph"/>
      </w:pPr>
      <w:r>
        <w:t xml:space="preserve">DEQUAD is a</w:t>
      </w:r>
      <w:r>
        <w:t xml:space="preserve"> </w:t>
      </w:r>
      <w:r>
        <w:rPr>
          <w:bCs/>
          <w:b/>
        </w:rPr>
        <w:t xml:space="preserve">pre-pilot</w:t>
      </w:r>
      <w:r>
        <w:t xml:space="preserve"> </w:t>
      </w:r>
      <w:r>
        <w:t xml:space="preserve">business. The product is built and publicly available, and the company and its safeguarding, data-protection and online-safety groundwork are in place.</w:t>
      </w:r>
      <w:r>
        <w:t xml:space="preserve"> </w:t>
      </w:r>
      <w:r>
        <w:rPr>
          <w:bCs/>
          <w:b/>
        </w:rPr>
        <w:t xml:space="preserve">The next milestone, the one everything else in this plan depends on, is a successful pilot with a university.</w:t>
      </w:r>
      <w:r>
        <w:t xml:space="preserve"> </w:t>
      </w:r>
      <w:r>
        <w:t xml:space="preserve">The plan is organised as a series of stage gates. Each stage has to be passed before money is committed to the next. So spending, investment, hiring and patent work all follow evidence, not hope.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Period</w:t>
            </w:r>
          </w:p>
        </w:tc>
        <w:tc>
          <w:tcPr/>
          <w:p>
            <w:pPr>
              <w:pStyle w:val="Compact"/>
              <w:jc w:val="left"/>
            </w:pPr>
            <w:r>
              <w:t xml:space="preserve">What happens</w:t>
            </w:r>
          </w:p>
        </w:tc>
        <w:tc>
          <w:tcPr/>
          <w:p>
            <w:pPr>
              <w:pStyle w:val="Compact"/>
              <w:jc w:val="left"/>
            </w:pPr>
            <w:r>
              <w:t xml:space="preserve">Gate to pass before the next stage</w:t>
            </w:r>
          </w:p>
        </w:tc>
        <w:tc>
          <w:tcPr/>
          <w:p>
            <w:pPr>
              <w:pStyle w:val="Compact"/>
              <w:jc w:val="left"/>
            </w:pPr>
            <w:r>
              <w:t xml:space="preserve">Funded by</w:t>
            </w:r>
          </w:p>
        </w:tc>
      </w:tr>
      <w:tr>
        <w:tc>
          <w:tcPr/>
          <w:p>
            <w:pPr>
              <w:pStyle w:val="Compact"/>
              <w:jc w:val="left"/>
            </w:pPr>
            <w:r>
              <w:rPr>
                <w:bCs/>
                <w:b/>
              </w:rPr>
              <w:t xml:space="preserve">0. Pre-pilot</w:t>
            </w:r>
            <w:r>
              <w:t xml:space="preserve"> </w:t>
            </w:r>
            <w:r>
              <w:rPr>
                <w:iCs/>
                <w:i/>
              </w:rPr>
              <w:t xml:space="preserve">(current)</w:t>
            </w:r>
          </w:p>
        </w:tc>
        <w:tc>
          <w:tcPr/>
          <w:p>
            <w:pPr>
              <w:pStyle w:val="Compact"/>
              <w:jc w:val="left"/>
            </w:pPr>
            <w:r>
              <w:t xml:space="preserve">Sep – Dec 2026</w:t>
            </w:r>
          </w:p>
        </w:tc>
        <w:tc>
          <w:tcPr/>
          <w:p>
            <w:pPr>
              <w:pStyle w:val="Compact"/>
              <w:jc w:val="left"/>
            </w:pPr>
            <w:r>
              <w:t xml:space="preserve">Product live on App Store, Google Play and web; pilot terms, data-sharing agreement and evaluation method agreed with the University of Bedfordshire; student launch preparation</w:t>
            </w:r>
          </w:p>
        </w:tc>
        <w:tc>
          <w:tcPr/>
          <w:p>
            <w:pPr>
              <w:pStyle w:val="Compact"/>
              <w:jc w:val="left"/>
            </w:pPr>
            <w:r>
              <w:t xml:space="preserve">Signed pilot agreement and data-sharing agreement</w:t>
            </w:r>
          </w:p>
        </w:tc>
        <w:tc>
          <w:tcPr/>
          <w:p>
            <w:pPr>
              <w:pStyle w:val="Compact"/>
              <w:jc w:val="left"/>
            </w:pPr>
            <w:r>
              <w:t xml:space="preserve">Founder’s £3,000</w:t>
            </w:r>
          </w:p>
        </w:tc>
      </w:tr>
      <w:tr>
        <w:tc>
          <w:tcPr/>
          <w:p>
            <w:pPr>
              <w:pStyle w:val="Compact"/>
              <w:jc w:val="left"/>
            </w:pPr>
            <w:r>
              <w:rPr>
                <w:bCs/>
                <w:b/>
              </w:rPr>
              <w:t xml:space="preserve">1. Pilot</w:t>
            </w:r>
          </w:p>
        </w:tc>
        <w:tc>
          <w:tcPr/>
          <w:p>
            <w:pPr>
              <w:pStyle w:val="Compact"/>
              <w:jc w:val="left"/>
            </w:pPr>
            <w:r>
              <w:t xml:space="preserve">Jan – Mar 2027 (12 weeks, unpaid)</w:t>
            </w:r>
          </w:p>
        </w:tc>
        <w:tc>
          <w:tcPr/>
          <w:p>
            <w:pPr>
              <w:pStyle w:val="Compact"/>
              <w:jc w:val="left"/>
            </w:pPr>
            <w:r>
              <w:t xml:space="preserve">Verified students at the university use DEQUAD; safeguarding alerts routed to the university’s team; fortnightly steering group</w:t>
            </w:r>
          </w:p>
        </w:tc>
        <w:tc>
          <w:tcPr/>
          <w:p>
            <w:pPr>
              <w:pStyle w:val="Compact"/>
              <w:jc w:val="left"/>
            </w:pPr>
            <w:r>
              <w:t xml:space="preserve">Pilot success criteria met (Section 8.2)</w:t>
            </w:r>
          </w:p>
        </w:tc>
        <w:tc>
          <w:tcPr/>
          <w:p>
            <w:pPr>
              <w:pStyle w:val="Compact"/>
              <w:jc w:val="left"/>
            </w:pPr>
            <w:r>
              <w:t xml:space="preserve">Founder’s £3,000</w:t>
            </w:r>
          </w:p>
        </w:tc>
      </w:tr>
      <w:tr>
        <w:tc>
          <w:tcPr/>
          <w:p>
            <w:pPr>
              <w:pStyle w:val="Compact"/>
              <w:jc w:val="left"/>
            </w:pPr>
            <w:r>
              <w:rPr>
                <w:bCs/>
                <w:b/>
              </w:rPr>
              <w:t xml:space="preserve">2. Conversion</w:t>
            </w:r>
          </w:p>
        </w:tc>
        <w:tc>
          <w:tcPr/>
          <w:p>
            <w:pPr>
              <w:pStyle w:val="Compact"/>
              <w:jc w:val="left"/>
            </w:pPr>
            <w:r>
              <w:t xml:space="preserve">Apr – Sep 2027</w:t>
            </w:r>
          </w:p>
        </w:tc>
        <w:tc>
          <w:tcPr/>
          <w:p>
            <w:pPr>
              <w:pStyle w:val="Compact"/>
              <w:jc w:val="left"/>
            </w:pPr>
            <w:r>
              <w:t xml:space="preserve">Pilot readout;</w:t>
            </w:r>
            <w:r>
              <w:t xml:space="preserve"> </w:t>
            </w:r>
            <w:r>
              <w:rPr>
                <w:bCs/>
                <w:b/>
              </w:rPr>
              <w:t xml:space="preserve">letter of intent signed</w:t>
            </w:r>
            <w:r>
              <w:t xml:space="preserve">; £11,000 post-pilot investment released; trademark and Cyber Essentials; freshers’ 2027 campaign</w:t>
            </w:r>
          </w:p>
        </w:tc>
        <w:tc>
          <w:tcPr/>
          <w:p>
            <w:pPr>
              <w:pStyle w:val="Compact"/>
              <w:jc w:val="left"/>
            </w:pPr>
            <w:r>
              <w:t xml:space="preserve">Signed, paid partner licence</w:t>
            </w:r>
          </w:p>
        </w:tc>
        <w:tc>
          <w:tcPr/>
          <w:p>
            <w:pPr>
              <w:pStyle w:val="Compact"/>
              <w:jc w:val="left"/>
            </w:pPr>
            <w:r>
              <w:t xml:space="preserve">£11,000 post-pilot equity</w:t>
            </w:r>
          </w:p>
        </w:tc>
      </w:tr>
      <w:tr>
        <w:tc>
          <w:tcPr/>
          <w:p>
            <w:pPr>
              <w:pStyle w:val="Compact"/>
              <w:jc w:val="left"/>
            </w:pPr>
            <w:r>
              <w:rPr>
                <w:bCs/>
                <w:b/>
              </w:rPr>
              <w:t xml:space="preserve">3. First paid licence and growth</w:t>
            </w:r>
          </w:p>
        </w:tc>
        <w:tc>
          <w:tcPr/>
          <w:p>
            <w:pPr>
              <w:pStyle w:val="Compact"/>
              <w:jc w:val="left"/>
            </w:pPr>
            <w:r>
              <w:t xml:space="preserve">Oct 2027 – Aug 2029</w:t>
            </w:r>
          </w:p>
        </w:tc>
        <w:tc>
          <w:tcPr/>
          <w:p>
            <w:pPr>
              <w:pStyle w:val="Compact"/>
              <w:jc w:val="left"/>
            </w:pPr>
            <w:r>
              <w:t xml:space="preserve">First licence (Oct 2027); further licences and Starter subscriptions; first paid roles in Year 3</w:t>
            </w:r>
          </w:p>
        </w:tc>
        <w:tc>
          <w:tcPr/>
          <w:p>
            <w:pPr>
              <w:pStyle w:val="Compact"/>
              <w:jc w:val="left"/>
            </w:pPr>
            <w:r>
              <w:t xml:space="preserve">Licence renewal and 3 paying universities</w:t>
            </w:r>
          </w:p>
        </w:tc>
        <w:tc>
          <w:tcPr/>
          <w:p>
            <w:pPr>
              <w:pStyle w:val="Compact"/>
              <w:jc w:val="left"/>
            </w:pPr>
            <w:r>
              <w:t xml:space="preserve">Licence revenue</w:t>
            </w:r>
          </w:p>
        </w:tc>
      </w:tr>
      <w:tr>
        <w:tc>
          <w:tcPr/>
          <w:p>
            <w:pPr>
              <w:pStyle w:val="Compact"/>
              <w:jc w:val="left"/>
            </w:pPr>
            <w:r>
              <w:rPr>
                <w:bCs/>
                <w:b/>
              </w:rPr>
              <w:t xml:space="preserve">4. After the endorsement period</w:t>
            </w:r>
          </w:p>
        </w:tc>
        <w:tc>
          <w:tcPr/>
          <w:p>
            <w:pPr>
              <w:pStyle w:val="Compact"/>
              <w:jc w:val="left"/>
            </w:pPr>
            <w:r>
              <w:t xml:space="preserve">From Sep 2029</w:t>
            </w:r>
          </w:p>
        </w:tc>
        <w:tc>
          <w:tcPr/>
          <w:p>
            <w:pPr>
              <w:pStyle w:val="Compact"/>
              <w:jc w:val="left"/>
            </w:pPr>
            <w:r>
              <w:t xml:space="preserve">Patent exploration with Panoramix IP (only after the three-year endorsement period and a successful university conversion); optional pre-seed round</w:t>
            </w:r>
          </w:p>
        </w:tc>
        <w:tc>
          <w:tcPr/>
          <w:p>
            <w:pPr>
              <w:pStyle w:val="Compact"/>
              <w:jc w:val="left"/>
            </w:pPr>
            <w:r>
              <w:t xml:space="preserve">—</w:t>
            </w:r>
          </w:p>
        </w:tc>
        <w:tc>
          <w:tcPr/>
          <w:p>
            <w:pPr>
              <w:pStyle w:val="Compact"/>
              <w:jc w:val="left"/>
            </w:pPr>
            <w:r>
              <w:t xml:space="preserve">Licence revenue</w:t>
            </w:r>
          </w:p>
        </w:tc>
      </w:tr>
    </w:tbl>
    <w:bookmarkEnd w:id="27"/>
    <w:bookmarkStart w:id="28" w:name="pre-pilot-position-october-2026"/>
    <w:p>
      <w:pPr>
        <w:pStyle w:val="Heading3"/>
      </w:pPr>
      <w:r>
        <w:t xml:space="preserve">Pre-pilot position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Pre-pilot beta with verified University of Bedfordshire students. The product is publicly available to any UK student with a university email address.</w:t>
            </w:r>
          </w:p>
        </w:tc>
      </w:tr>
      <w:tr>
        <w:tc>
          <w:tcPr/>
          <w:p>
            <w:pPr>
              <w:pStyle w:val="Compact"/>
              <w:jc w:val="left"/>
            </w:pPr>
            <w:r>
              <w:t xml:space="preserve">Commercial pipeline</w:t>
            </w:r>
          </w:p>
        </w:tc>
        <w:tc>
          <w:tcPr/>
          <w:p>
            <w:pPr>
              <w:pStyle w:val="Compact"/>
              <w:jc w:val="left"/>
            </w:pPr>
            <w:r>
              <w:rPr>
                <w:bCs/>
                <w:b/>
              </w:rPr>
              <w:t xml:space="preserve">Pre-pilot: conversations with the University of Bedfordshire about a 12-week pilot are ongoing.</w:t>
            </w:r>
            <w:r>
              <w:t xml:space="preserve"> </w:t>
            </w:r>
            <w:r>
              <w:t xml:space="preserve">No pilot agreement is signed yet. The base case assumes no institutional revenue at all in Year 1.</w:t>
            </w:r>
          </w:p>
        </w:tc>
      </w:tr>
    </w:tbl>
    <w:bookmarkEnd w:id="28"/>
    <w:bookmarkStart w:id="29"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£938</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£23,050 in the bank.</w:t>
      </w:r>
    </w:p>
    <w:p>
      <w:r>
        <w:pict>
          <v:rect style="width:0;height:1.5pt" o:hralign="center" o:hrstd="t" o:hr="t"/>
        </w:pict>
      </w:r>
    </w:p>
    <w:bookmarkEnd w:id="29"/>
    <w:bookmarkEnd w:id="30"/>
    <w:bookmarkStart w:id="33" w:name="products-and-services"/>
    <w:p>
      <w:pPr>
        <w:pStyle w:val="Heading2"/>
      </w:pPr>
      <w:r>
        <w:t xml:space="preserve">2. Products and Services</w:t>
      </w:r>
    </w:p>
    <w:bookmarkStart w:id="31"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1"/>
    <w:bookmarkStart w:id="32"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2"/>
    <w:bookmarkEnd w:id="33"/>
    <w:bookmarkStart w:id="38" w:name="innovation-viability-and-scalability"/>
    <w:p>
      <w:pPr>
        <w:pStyle w:val="Heading2"/>
      </w:pPr>
      <w:r>
        <w:t xml:space="preserve">3. Innovation, Viability and Scalability</w:t>
      </w:r>
    </w:p>
    <w:bookmarkStart w:id="34"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4"/>
    <w:bookmarkStart w:id="35"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5"/>
    <w:bookmarkStart w:id="36"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6"/>
    <w:bookmarkStart w:id="37"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On</w:t>
            </w:r>
            <w:r>
              <w:t xml:space="preserve"> </w:t>
            </w:r>
            <w:r>
              <w:rPr>
                <w:bCs/>
                <w:b/>
              </w:rPr>
              <w:t xml:space="preserve">8 April 2026</w:t>
            </w:r>
            <w:r>
              <w:t xml:space="preserve"> </w:t>
            </w:r>
            <w:r>
              <w:t xml:space="preserve">the founder had an initial consultation through the</w:t>
            </w:r>
            <w:r>
              <w:t xml:space="preserve"> </w:t>
            </w:r>
            <w:r>
              <w:rPr>
                <w:bCs/>
                <w:b/>
              </w:rPr>
              <w:t xml:space="preserve">CIPA IP Clinic</w:t>
            </w:r>
            <w:r>
              <w:t xml:space="preserve"> </w:t>
            </w:r>
            <w:r>
              <w:t xml:space="preserve">(Chartered Institute of Patent Attorneys) with</w:t>
            </w:r>
            <w:r>
              <w:t xml:space="preserve"> </w:t>
            </w:r>
            <w:r>
              <w:rPr>
                <w:bCs/>
                <w:b/>
              </w:rPr>
              <w:t xml:space="preserve">Shamil Rasheed, European Patent Attorney at Panoramix IP</w:t>
            </w:r>
            <w:r>
              <w:t xml:space="preserve"> </w:t>
            </w:r>
            <w:r>
              <w:t xml:space="preserve">(regulated by IPReg). The attorney’s written view is that software inventions face</w:t>
            </w:r>
            <w:r>
              <w:t xml:space="preserve"> </w:t>
            </w:r>
            <w:r>
              <w:t xml:space="preserve">“</w:t>
            </w:r>
            <w:r>
              <w:t xml:space="preserve">excluded subject matter</w:t>
            </w:r>
            <w:r>
              <w:t xml:space="preserve">”</w:t>
            </w:r>
            <w:r>
              <w:t xml:space="preserve"> </w:t>
            </w:r>
            <w:r>
              <w:t xml:space="preserve">limits in the UK and Europe, but that</w:t>
            </w:r>
            <w:r>
              <w:t xml:space="preserve"> </w:t>
            </w:r>
            <w:r>
              <w:rPr>
                <w:bCs/>
                <w:b/>
              </w:rPr>
              <w:t xml:space="preserve">aspects of DEQUAD may be patentable</w:t>
            </w:r>
            <w:r>
              <w:t xml:space="preserve"> </w:t>
            </w:r>
            <w:r>
              <w:t xml:space="preserve">where they produce a technical effect beyond a computer program. The candidate is the threshold-based safeguarding mechanism: when a student’s wellbeing metrics cross a defined threshold, or a student signals crisis, the system automatically generates a safeguarding page with support contacts and alerts the university. The attorney describes it as</w:t>
            </w:r>
            <w:r>
              <w:t xml:space="preserve"> </w:t>
            </w:r>
            <w:r>
              <w:rPr>
                <w:bCs/>
                <w:b/>
              </w:rPr>
              <w:t xml:space="preserve">a borderline case</w:t>
            </w:r>
            <w:r>
              <w:t xml:space="preserve">.</w:t>
            </w:r>
          </w:p>
        </w:tc>
        <w:tc>
          <w:tcPr/>
          <w:p>
            <w:pPr>
              <w:pStyle w:val="Compact"/>
              <w:jc w:val="left"/>
            </w:pPr>
            <w:r>
              <w:rPr>
                <w:bCs/>
                <w:b/>
              </w:rPr>
              <w:t xml:space="preserve">Patent exploration only after two conditions are both met:</w:t>
            </w:r>
            <w:r>
              <w:t xml:space="preserve"> </w:t>
            </w:r>
            <w:r>
              <w:t xml:space="preserve">(1) the</w:t>
            </w:r>
            <w:r>
              <w:t xml:space="preserve"> </w:t>
            </w:r>
            <w:r>
              <w:rPr>
                <w:bCs/>
                <w:b/>
              </w:rPr>
              <w:t xml:space="preserve">three-year endorsement period is successfully completed</w:t>
            </w:r>
            <w:r>
              <w:t xml:space="preserve">, and (2) the pilot has</w:t>
            </w:r>
            <w:r>
              <w:t xml:space="preserve"> </w:t>
            </w:r>
            <w:r>
              <w:rPr>
                <w:bCs/>
                <w:b/>
              </w:rPr>
              <w:t xml:space="preserve">converted into a paying university</w:t>
            </w:r>
            <w:r>
              <w:t xml:space="preserve"> </w:t>
            </w:r>
            <w:r>
              <w:t xml:space="preserve">(successful pilot, signed letter of intent and signed paid licence). Patent work therefore starts after this three-year plan, from Year 4 (September 2029 onwards), with the same attorney. DEQUAD will complete the</w:t>
            </w:r>
            <w:r>
              <w:t xml:space="preserve"> </w:t>
            </w:r>
            <w:r>
              <w:rPr>
                <w:bCs/>
                <w:b/>
              </w:rPr>
              <w:t xml:space="preserve">invention disclosure form</w:t>
            </w:r>
            <w:r>
              <w:t xml:space="preserve"> </w:t>
            </w:r>
            <w:r>
              <w:t xml:space="preserve">(process workflows, system and architecture diagrams, alert-threshold logic). The attorney will then make a detailed patentability assessment and a surface-level prior-art search, both free as part of the consultation. If the assessment is positive, DEQUAD will instruct drafting and file a</w:t>
            </w:r>
            <w:r>
              <w:t xml:space="preserve"> </w:t>
            </w:r>
            <w:r>
              <w:rPr>
                <w:bCs/>
                <w:b/>
              </w:rPr>
              <w:t xml:space="preserve">UK priority application</w:t>
            </w:r>
            <w:r>
              <w:t xml:space="preserve">. Waiting until then means the application can draw on three years of real alert data and the personal-baseline model (Section 4.2), which strengthens the case for technical effect</w:t>
            </w:r>
          </w:p>
        </w:tc>
        <w:tc>
          <w:tcPr/>
          <w:p>
            <w:pPr>
              <w:pStyle w:val="Compact"/>
              <w:jc w:val="left"/>
            </w:pPr>
            <w:r>
              <w:rPr>
                <w:bCs/>
                <w:b/>
              </w:rPr>
              <w:t xml:space="preserve">Not in the three-year forecast.</w:t>
            </w:r>
            <w:r>
              <w:t xml:space="preserve"> </w:t>
            </w:r>
            <w:r>
              <w:t xml:space="preserve">From Year 4, if positive: drafting £3,000–£5,000 plus £350 filing, then prosecution (2–3 rounds at £1,000–£1,500 each; £8,000–£10,000 in total to grant), all funded from licence revenue. Until then, DEQUAD’s algorithms are protected as trade secrets (row 1). If no university is acquired, no patent money is spent</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from Year 4, possibly working around a patent. That is a far higher bar than copying an email-domain check.</w:t>
      </w:r>
    </w:p>
    <w:p>
      <w:r>
        <w:pict>
          <v:rect style="width:0;height:1.5pt" o:hralign="center" o:hrstd="t" o:hr="t"/>
        </w:pict>
      </w:r>
    </w:p>
    <w:bookmarkEnd w:id="37"/>
    <w:bookmarkEnd w:id="38"/>
    <w:bookmarkStart w:id="41"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9"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9"/>
    <w:bookmarkStart w:id="40"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40"/>
    <w:bookmarkEnd w:id="41"/>
    <w:bookmarkStart w:id="47" w:name="market-analysis"/>
    <w:p>
      <w:pPr>
        <w:pStyle w:val="Heading2"/>
      </w:pPr>
      <w:r>
        <w:t xml:space="preserve">5. Market Analysis</w:t>
      </w:r>
    </w:p>
    <w:bookmarkStart w:id="42"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2"/>
    <w:bookmarkStart w:id="43"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3"/>
    <w:bookmarkStart w:id="44"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4"/>
    <w:bookmarkStart w:id="45"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5"/>
    <w:bookmarkStart w:id="46"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6"/>
    <w:bookmarkEnd w:id="47"/>
    <w:bookmarkStart w:id="51"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8"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8"/>
    <w:bookmarkStart w:id="49"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9"/>
    <w:bookmarkStart w:id="50"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50"/>
    <w:bookmarkEnd w:id="51"/>
    <w:bookmarkStart w:id="56" w:name="staff-profile-and-recruitment-strategy"/>
    <w:p>
      <w:pPr>
        <w:pStyle w:val="Heading2"/>
      </w:pPr>
      <w:r>
        <w:t xml:space="preserve">7. Staff Profile and Recruitment Strategy</w:t>
      </w:r>
    </w:p>
    <w:bookmarkStart w:id="52"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2"/>
    <w:bookmarkStart w:id="53"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3"/>
    <w:bookmarkStart w:id="54"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4"/>
    <w:bookmarkStart w:id="55"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5"/>
    <w:bookmarkEnd w:id="56"/>
    <w:bookmarkStart w:id="65" w:name="marketing-and-sales-strategy"/>
    <w:p>
      <w:pPr>
        <w:pStyle w:val="Heading2"/>
      </w:pPr>
      <w:r>
        <w:t xml:space="preserve">8. Marketing and Sales Strategy</w:t>
      </w:r>
    </w:p>
    <w:bookmarkStart w:id="57"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7"/>
    <w:bookmarkStart w:id="61" w:name="Xa3ed2e604da00469b1c9059a48683a0976f786f"/>
    <w:p>
      <w:pPr>
        <w:pStyle w:val="Heading3"/>
      </w:pPr>
      <w:r>
        <w:t xml:space="preserve">8.2 Go-to-market from pre-pilot to scale:</w:t>
      </w:r>
      <w:r>
        <w:t xml:space="preserve"> </w:t>
      </w:r>
      <w:r>
        <w:t xml:space="preserve">“</w:t>
      </w:r>
      <w:r>
        <w:t xml:space="preserve">prepare, prove, convert,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Start w:id="58" w:name="X1b6a431067ea2499d4a454d5d0c8f45026476d8"/>
    <w:p>
      <w:pPr>
        <w:pStyle w:val="Heading4"/>
      </w:pPr>
      <w:r>
        <w:t xml:space="preserve">Proposed pilot design (to be agreed with the University of Bedfordshire)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Proposal</w:t>
            </w:r>
          </w:p>
        </w:tc>
      </w:tr>
      <w:tr>
        <w:tc>
          <w:tcPr/>
          <w:p>
            <w:pPr>
              <w:pStyle w:val="Compact"/>
              <w:jc w:val="left"/>
            </w:pPr>
            <w:r>
              <w:t xml:space="preserve">Duration and cost</w:t>
            </w:r>
          </w:p>
        </w:tc>
        <w:tc>
          <w:tcPr/>
          <w:p>
            <w:pPr>
              <w:pStyle w:val="Compact"/>
              <w:jc w:val="left"/>
            </w:pPr>
            <w:r>
              <w:t xml:space="preserve">12 weeks over the spring term (January – March 2027);</w:t>
            </w:r>
            <w:r>
              <w:t xml:space="preserve"> </w:t>
            </w:r>
            <w:r>
              <w:rPr>
                <w:bCs/>
                <w:b/>
              </w:rPr>
              <w:t xml:space="preserve">free to the university</w:t>
            </w:r>
          </w:p>
        </w:tc>
      </w:tr>
      <w:tr>
        <w:tc>
          <w:tcPr/>
          <w:p>
            <w:pPr>
              <w:pStyle w:val="Compact"/>
              <w:jc w:val="left"/>
            </w:pPr>
            <w:r>
              <w:t xml:space="preserve">Participants</w:t>
            </w:r>
          </w:p>
        </w:tc>
        <w:tc>
          <w:tcPr/>
          <w:p>
            <w:pPr>
              <w:pStyle w:val="Compact"/>
              <w:jc w:val="left"/>
            </w:pPr>
            <w:r>
              <w:t xml:space="preserve">Verified students who opt in; target</w:t>
            </w:r>
            <w:r>
              <w:t xml:space="preserve"> </w:t>
            </w:r>
            <w:r>
              <w:rPr>
                <w:bCs/>
                <w:b/>
              </w:rPr>
              <w:t xml:space="preserve">at least 150</w:t>
            </w:r>
            <w:r>
              <w:t xml:space="preserve"> </w:t>
            </w:r>
            <w:r>
              <w:t xml:space="preserve">verified sign-ups</w:t>
            </w:r>
          </w:p>
        </w:tc>
      </w:tr>
      <w:tr>
        <w:tc>
          <w:tcPr/>
          <w:p>
            <w:pPr>
              <w:pStyle w:val="Compact"/>
              <w:jc w:val="left"/>
            </w:pPr>
            <w:r>
              <w:t xml:space="preserve">University involvement</w:t>
            </w:r>
          </w:p>
        </w:tc>
        <w:tc>
          <w:tcPr/>
          <w:p>
            <w:pPr>
              <w:pStyle w:val="Compact"/>
              <w:jc w:val="left"/>
            </w:pPr>
            <w:r>
              <w:t xml:space="preserve">Safeguarding alerts routed to the university’s designated safeguarding lead; dashboard access for student services; fortnightly steering group (student services, safeguarding lead, students’ union, DEQUAD)</w:t>
            </w:r>
          </w:p>
        </w:tc>
      </w:tr>
      <w:tr>
        <w:tc>
          <w:tcPr/>
          <w:p>
            <w:pPr>
              <w:pStyle w:val="Compact"/>
              <w:jc w:val="left"/>
            </w:pPr>
            <w:r>
              <w:t xml:space="preserve">Data protection</w:t>
            </w:r>
          </w:p>
        </w:tc>
        <w:tc>
          <w:tcPr/>
          <w:p>
            <w:pPr>
              <w:pStyle w:val="Compact"/>
              <w:jc w:val="left"/>
            </w:pPr>
            <w:r>
              <w:t xml:space="preserve">Data-sharing agreement and university sign-off of the DPIA (Appendix E)</w:t>
            </w:r>
            <w:r>
              <w:t xml:space="preserve"> </w:t>
            </w:r>
            <w:r>
              <w:rPr>
                <w:bCs/>
                <w:b/>
              </w:rPr>
              <w:t xml:space="preserve">before</w:t>
            </w:r>
            <w:r>
              <w:t xml:space="preserve"> </w:t>
            </w:r>
            <w:r>
              <w:t xml:space="preserve">launch; data deleted or returned at the end if the university does not continue</w:t>
            </w:r>
          </w:p>
        </w:tc>
      </w:tr>
      <w:tr>
        <w:tc>
          <w:tcPr/>
          <w:p>
            <w:pPr>
              <w:pStyle w:val="Compact"/>
              <w:jc w:val="left"/>
            </w:pPr>
            <w:r>
              <w:t xml:space="preserve">Evaluation</w:t>
            </w:r>
          </w:p>
        </w:tc>
        <w:tc>
          <w:tcPr/>
          <w:p>
            <w:pPr>
              <w:pStyle w:val="Compact"/>
              <w:jc w:val="left"/>
            </w:pPr>
            <w:r>
              <w:t xml:space="preserve">Method in Appendix D; joint readout in April 2027</w:t>
            </w:r>
          </w:p>
        </w:tc>
      </w:tr>
    </w:tbl>
    <w:bookmarkEnd w:id="58"/>
    <w:bookmarkStart w:id="59" w:name="X0ed947b562769da34ee3af6e32434a5c5e16cc1"/>
    <w:p>
      <w:pPr>
        <w:pStyle w:val="Heading4"/>
      </w:pPr>
      <w:r>
        <w:t xml:space="preserve">Pilot success criteria (proposed, to be agreed before launch)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Verified student sign-ups</w:t>
            </w:r>
          </w:p>
        </w:tc>
        <w:tc>
          <w:tcPr/>
          <w:p>
            <w:pPr>
              <w:pStyle w:val="Compact"/>
              <w:jc w:val="left"/>
            </w:pPr>
            <w:r>
              <w:t xml:space="preserve">≥ 150</w:t>
            </w:r>
          </w:p>
        </w:tc>
      </w:tr>
      <w:tr>
        <w:tc>
          <w:tcPr/>
          <w:p>
            <w:pPr>
              <w:pStyle w:val="Compact"/>
              <w:jc w:val="left"/>
            </w:pPr>
            <w:r>
              <w:t xml:space="preserve">Students active in week 8</w:t>
            </w:r>
          </w:p>
        </w:tc>
        <w:tc>
          <w:tcPr/>
          <w:p>
            <w:pPr>
              <w:pStyle w:val="Compact"/>
              <w:jc w:val="left"/>
            </w:pPr>
            <w:r>
              <w:t xml:space="preserve">≥ 40% of sign-ups</w:t>
            </w:r>
          </w:p>
        </w:tc>
      </w:tr>
      <w:tr>
        <w:tc>
          <w:tcPr/>
          <w:p>
            <w:pPr>
              <w:pStyle w:val="Compact"/>
              <w:jc w:val="left"/>
            </w:pPr>
            <w:r>
              <w:t xml:space="preserve">Daily mood check-in completion (active students)</w:t>
            </w:r>
          </w:p>
        </w:tc>
        <w:tc>
          <w:tcPr/>
          <w:p>
            <w:pPr>
              <w:pStyle w:val="Compact"/>
              <w:jc w:val="left"/>
            </w:pPr>
            <w:r>
              <w:t xml:space="preserve">≥ 50%</w:t>
            </w:r>
          </w:p>
        </w:tc>
      </w:tr>
      <w:tr>
        <w:tc>
          <w:tcPr/>
          <w:p>
            <w:pPr>
              <w:pStyle w:val="Compact"/>
              <w:jc w:val="left"/>
            </w:pPr>
            <w:r>
              <w:t xml:space="preserve">High-risk safeguarding alerts reviewed by a human</w:t>
            </w:r>
          </w:p>
        </w:tc>
        <w:tc>
          <w:tcPr/>
          <w:p>
            <w:pPr>
              <w:pStyle w:val="Compact"/>
              <w:jc w:val="left"/>
            </w:pPr>
            <w:r>
              <w:t xml:space="preserve">100%, within 1 hour in service hours</w:t>
            </w:r>
          </w:p>
        </w:tc>
      </w:tr>
      <w:tr>
        <w:tc>
          <w:tcPr/>
          <w:p>
            <w:pPr>
              <w:pStyle w:val="Compact"/>
              <w:jc w:val="left"/>
            </w:pPr>
            <w:r>
              <w:t xml:space="preserve">Agreement between automated alerts and reviewer decisions</w:t>
            </w:r>
          </w:p>
        </w:tc>
        <w:tc>
          <w:tcPr/>
          <w:p>
            <w:pPr>
              <w:pStyle w:val="Compact"/>
              <w:jc w:val="left"/>
            </w:pPr>
            <w:r>
              <w:t xml:space="preserve">≥ 80%</w:t>
            </w:r>
          </w:p>
        </w:tc>
      </w:tr>
      <w:tr>
        <w:tc>
          <w:tcPr/>
          <w:p>
            <w:pPr>
              <w:pStyle w:val="Compact"/>
              <w:jc w:val="left"/>
            </w:pPr>
            <w:r>
              <w:t xml:space="preserve">Student-services staff satisfaction</w:t>
            </w:r>
          </w:p>
        </w:tc>
        <w:tc>
          <w:tcPr/>
          <w:p>
            <w:pPr>
              <w:pStyle w:val="Compact"/>
              <w:jc w:val="left"/>
            </w:pPr>
            <w:r>
              <w:t xml:space="preserve">≥ 4 out of 5</w:t>
            </w:r>
          </w:p>
        </w:tc>
      </w:tr>
      <w:tr>
        <w:tc>
          <w:tcPr/>
          <w:p>
            <w:pPr>
              <w:pStyle w:val="Compact"/>
              <w:jc w:val="left"/>
            </w:pPr>
            <w:r>
              <w:rPr>
                <w:bCs/>
                <w:b/>
              </w:rPr>
              <w:t xml:space="preserve">Commercial outcome</w:t>
            </w:r>
          </w:p>
        </w:tc>
        <w:tc>
          <w:tcPr/>
          <w:p>
            <w:pPr>
              <w:pStyle w:val="Compact"/>
              <w:jc w:val="left"/>
            </w:pPr>
            <w:r>
              <w:rPr>
                <w:bCs/>
                <w:b/>
              </w:rPr>
              <w:t xml:space="preserve">Letter of intent to take a paid licence</w:t>
            </w:r>
            <w:r>
              <w:t xml:space="preserve"> </w:t>
            </w:r>
            <w:r>
              <w:t xml:space="preserve">(template at Appendix H)</w:t>
            </w:r>
          </w:p>
        </w:tc>
      </w:tr>
    </w:tbl>
    <w:bookmarkEnd w:id="59"/>
    <w:bookmarkStart w:id="60" w:name="pre-pilot-readiness-checklist"/>
    <w:p>
      <w:pPr>
        <w:pStyle w:val="Heading4"/>
      </w:pPr>
      <w:r>
        <w:t xml:space="preserve">Pre-pilot readiness checklist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Status (October 2026)</w:t>
            </w:r>
          </w:p>
        </w:tc>
      </w:tr>
      <w:tr>
        <w:tc>
          <w:tcPr/>
          <w:p>
            <w:pPr>
              <w:pStyle w:val="Compact"/>
              <w:jc w:val="left"/>
            </w:pPr>
            <w:r>
              <w:t xml:space="preserve">Product live on Apple App Store, Google Play and web</w:t>
            </w:r>
          </w:p>
        </w:tc>
        <w:tc>
          <w:tcPr/>
          <w:p>
            <w:pPr>
              <w:pStyle w:val="Compact"/>
              <w:jc w:val="left"/>
            </w:pPr>
            <w:r>
              <w:t xml:space="preserve">✅ Done</w:t>
            </w:r>
          </w:p>
        </w:tc>
      </w:tr>
      <w:tr>
        <w:tc>
          <w:tcPr/>
          <w:p>
            <w:pPr>
              <w:pStyle w:val="Compact"/>
              <w:jc w:val="left"/>
            </w:pPr>
            <w:r>
              <w:t xml:space="preserve">Safeguarding escalation policy and graded alerts</w:t>
            </w:r>
          </w:p>
        </w:tc>
        <w:tc>
          <w:tcPr/>
          <w:p>
            <w:pPr>
              <w:pStyle w:val="Compact"/>
              <w:jc w:val="left"/>
            </w:pPr>
            <w:r>
              <w:t xml:space="preserve">✅ Done</w:t>
            </w:r>
          </w:p>
        </w:tc>
      </w:tr>
      <w:tr>
        <w:tc>
          <w:tcPr/>
          <w:p>
            <w:pPr>
              <w:pStyle w:val="Compact"/>
              <w:jc w:val="left"/>
            </w:pPr>
            <w:r>
              <w:t xml:space="preserve">Partner-university licence tooling (unlocks full access for a university’s students)</w:t>
            </w:r>
          </w:p>
        </w:tc>
        <w:tc>
          <w:tcPr/>
          <w:p>
            <w:pPr>
              <w:pStyle w:val="Compact"/>
              <w:jc w:val="left"/>
            </w:pPr>
            <w:r>
              <w:t xml:space="preserve">✅ Done</w:t>
            </w:r>
          </w:p>
        </w:tc>
      </w:tr>
      <w:tr>
        <w:tc>
          <w:tcPr/>
          <w:p>
            <w:pPr>
              <w:pStyle w:val="Compact"/>
              <w:jc w:val="left"/>
            </w:pPr>
            <w:r>
              <w:t xml:space="preserve">Data Protection Impact Assessment</w:t>
            </w:r>
          </w:p>
        </w:tc>
        <w:tc>
          <w:tcPr/>
          <w:p>
            <w:pPr>
              <w:pStyle w:val="Compact"/>
              <w:jc w:val="left"/>
            </w:pPr>
            <w:r>
              <w:t xml:space="preserve">✅ Drafted (Appendix E); university sign-off before launch</w:t>
            </w:r>
          </w:p>
        </w:tc>
      </w:tr>
      <w:tr>
        <w:tc>
          <w:tcPr/>
          <w:p>
            <w:pPr>
              <w:pStyle w:val="Compact"/>
              <w:jc w:val="left"/>
            </w:pPr>
            <w:r>
              <w:t xml:space="preserve">Online Safety Act risk assessment</w:t>
            </w:r>
          </w:p>
        </w:tc>
        <w:tc>
          <w:tcPr/>
          <w:p>
            <w:pPr>
              <w:pStyle w:val="Compact"/>
              <w:jc w:val="left"/>
            </w:pPr>
            <w:r>
              <w:t xml:space="preserve">✅ Done (Appendix I)</w:t>
            </w:r>
          </w:p>
        </w:tc>
      </w:tr>
      <w:tr>
        <w:tc>
          <w:tcPr/>
          <w:p>
            <w:pPr>
              <w:pStyle w:val="Compact"/>
              <w:jc w:val="left"/>
            </w:pPr>
            <w:r>
              <w:t xml:space="preserve">Pilot evaluation method</w:t>
            </w:r>
          </w:p>
        </w:tc>
        <w:tc>
          <w:tcPr/>
          <w:p>
            <w:pPr>
              <w:pStyle w:val="Compact"/>
              <w:jc w:val="left"/>
            </w:pPr>
            <w:r>
              <w:t xml:space="preserve">✅ Done (Appendix D)</w:t>
            </w:r>
          </w:p>
        </w:tc>
      </w:tr>
      <w:tr>
        <w:tc>
          <w:tcPr/>
          <w:p>
            <w:pPr>
              <w:pStyle w:val="Compact"/>
              <w:jc w:val="left"/>
            </w:pPr>
            <w:r>
              <w:t xml:space="preserve">Letter-of-intent template</w:t>
            </w:r>
          </w:p>
        </w:tc>
        <w:tc>
          <w:tcPr/>
          <w:p>
            <w:pPr>
              <w:pStyle w:val="Compact"/>
              <w:jc w:val="left"/>
            </w:pPr>
            <w:r>
              <w:t xml:space="preserve">✅ Done (Appendix H)</w:t>
            </w:r>
          </w:p>
        </w:tc>
      </w:tr>
      <w:tr>
        <w:tc>
          <w:tcPr/>
          <w:p>
            <w:pPr>
              <w:pStyle w:val="Compact"/>
              <w:jc w:val="left"/>
            </w:pPr>
            <w:r>
              <w:t xml:space="preserve">Pilot agreement and data-sharing agreement</w:t>
            </w:r>
          </w:p>
        </w:tc>
        <w:tc>
          <w:tcPr/>
          <w:p>
            <w:pPr>
              <w:pStyle w:val="Compact"/>
              <w:jc w:val="left"/>
            </w:pPr>
            <w:r>
              <w:t xml:space="preserve">⏳ To draft with NatWest in-kind legal support, by Dec 2026</w:t>
            </w:r>
          </w:p>
        </w:tc>
      </w:tr>
      <w:tr>
        <w:tc>
          <w:tcPr/>
          <w:p>
            <w:pPr>
              <w:pStyle w:val="Compact"/>
              <w:jc w:val="left"/>
            </w:pPr>
            <w:r>
              <w:t xml:space="preserve">Confidentiality and IP-assignment deeds for all contributors</w:t>
            </w:r>
          </w:p>
        </w:tc>
        <w:tc>
          <w:tcPr/>
          <w:p>
            <w:pPr>
              <w:pStyle w:val="Compact"/>
              <w:jc w:val="left"/>
            </w:pPr>
            <w:r>
              <w:t xml:space="preserve">⏳ By Dec 2026</w:t>
            </w:r>
          </w:p>
        </w:tc>
      </w:tr>
      <w:tr>
        <w:tc>
          <w:tcPr/>
          <w:p>
            <w:pPr>
              <w:pStyle w:val="Compact"/>
              <w:jc w:val="left"/>
            </w:pPr>
            <w:r>
              <w:t xml:space="preserve">University safeguarding contacts configured; staff briefing session</w:t>
            </w:r>
          </w:p>
        </w:tc>
        <w:tc>
          <w:tcPr/>
          <w:p>
            <w:pPr>
              <w:pStyle w:val="Compact"/>
              <w:jc w:val="left"/>
            </w:pPr>
            <w:r>
              <w:t xml:space="preserve">⏳ Two weeks before launch</w:t>
            </w:r>
          </w:p>
        </w:tc>
      </w:tr>
      <w:tr>
        <w:tc>
          <w:tcPr/>
          <w:p>
            <w:pPr>
              <w:pStyle w:val="Compact"/>
              <w:jc w:val="left"/>
            </w:pPr>
            <w:r>
              <w:t xml:space="preserve">Student launch materials and ambassador recruitment</w:t>
            </w:r>
          </w:p>
        </w:tc>
        <w:tc>
          <w:tcPr/>
          <w:p>
            <w:pPr>
              <w:pStyle w:val="Compact"/>
              <w:jc w:val="left"/>
            </w:pPr>
            <w:r>
              <w:t xml:space="preserve">⏳ Dec 2026</w:t>
            </w:r>
          </w:p>
        </w:tc>
      </w:tr>
    </w:tbl>
    <w:bookmarkEnd w:id="60"/>
    <w:bookmarkEnd w:id="61"/>
    <w:bookmarkStart w:id="62"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62"/>
    <w:bookmarkStart w:id="63"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63"/>
    <w:bookmarkStart w:id="64"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4"/>
    <w:bookmarkEnd w:id="65"/>
    <w:bookmarkStart w:id="67"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rPr>
                <w:bCs/>
                <w:b/>
              </w:rPr>
              <w:t xml:space="preserve">Pre-pilot stage:</w:t>
            </w:r>
            <w:r>
              <w:t xml:space="preserve"> </w:t>
            </w:r>
            <w:r>
              <w:t xml:space="preserve">no pilot, letter of intent or paying institution yet; £11,000 of the £14,000 funding depends on the pilot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Small funding base for a two-sided market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yet: a patent attorney has assessed the invention as borderline-patentable, with exploration planned only after the three-year endorsement period and a successful university conversion. No exclusivity agreed yet (Section 3.4)</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6"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patent exploration with Panoramix IP (consulted via the CIPA IP Clinic, Apr 2026) after the three-year endorsement period and a successful university conversion,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6"/>
    <w:bookmarkEnd w:id="67"/>
    <w:bookmarkStart w:id="73" w:name="X332637ab1f725c36169749d50eae89fbbdc6f6c"/>
    <w:p>
      <w:pPr>
        <w:pStyle w:val="Heading2"/>
      </w:pPr>
      <w:r>
        <w:t xml:space="preserve">10. Investment Strategy and Funding Requirement</w:t>
      </w:r>
    </w:p>
    <w:bookmarkStart w:id="68"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8"/>
    <w:bookmarkStart w:id="69"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9"/>
    <w:bookmarkStart w:id="70"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70"/>
    <w:bookmarkStart w:id="71"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71"/>
    <w:bookmarkStart w:id="72"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(£34,226)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£23,050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72"/>
    <w:bookmarkEnd w:id="73"/>
    <w:bookmarkStart w:id="77"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4"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4"/>
    <w:bookmarkStart w:id="75"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5"/>
    <w:bookmarkStart w:id="76"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6"/>
    <w:bookmarkEnd w:id="77"/>
    <w:bookmarkStart w:id="81" w:name="cash-flow-forecast"/>
    <w:p>
      <w:pPr>
        <w:pStyle w:val="Heading2"/>
      </w:pPr>
      <w:r>
        <w:t xml:space="preserve">12. Cash Flow Forecast</w:t>
      </w:r>
    </w:p>
    <w:bookmarkStart w:id="78"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(£54,218)</w:t>
            </w:r>
          </w:p>
        </w:tc>
        <w:tc>
          <w:tcPr/>
          <w:p>
            <w:pPr>
              <w:pStyle w:val="Compact"/>
              <w:jc w:val="right"/>
            </w:pPr>
            <w:r>
              <w:rPr>
                <w:bCs/>
                <w:b/>
              </w:rPr>
              <w:t xml:space="preserve">(£73,439)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£6,090</w:t>
            </w:r>
          </w:p>
        </w:tc>
        <w:tc>
          <w:tcPr/>
          <w:p>
            <w:pPr>
              <w:pStyle w:val="Compact"/>
              <w:jc w:val="right"/>
            </w:pPr>
            <w:r>
              <w:rPr>
                <w:bCs/>
                <w:b/>
              </w:rPr>
              <w:t xml:space="preserve">£22,216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£25,216</w:t>
            </w:r>
          </w:p>
        </w:tc>
        <w:tc>
          <w:tcPr/>
          <w:p>
            <w:pPr>
              <w:pStyle w:val="Compact"/>
              <w:jc w:val="right"/>
            </w:pPr>
            <w:r>
              <w:rPr>
                <w:bCs/>
                <w:b/>
              </w:rPr>
              <w:t xml:space="preserve">£25,216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8"/>
    <w:bookmarkStart w:id="79" w:name="monthly-cash-flow"/>
    <w:p>
      <w:pPr>
        <w:pStyle w:val="Heading3"/>
      </w:pPr>
      <w:r>
        <w:t xml:space="preserve">12.2 Monthly cash flow</w:t>
      </w:r>
    </w:p>
    <w:p>
      <w:pPr>
        <w:pStyle w:val="FirstParagraph"/>
      </w:pPr>
      <w:r>
        <w:rPr>
          <w:bCs/>
          <w:b/>
        </w:rPr>
        <w:t xml:space="preserve">Year 1 (FY27): Sep 2026 – Aug 2027.</w:t>
      </w:r>
      <w:r>
        <w:t xml:space="preserve"> </w:t>
      </w:r>
      <w:r>
        <w:t xml:space="preserve">By stage: pre-pilot Sep–Dec 2026 and pilot Jan–Mar 2027, both funded by the founder’s £3,000; conversion Apr–Aug 2027, after the £11,000 post-pilot investment is received.</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£35,588</w:t>
            </w:r>
          </w:p>
        </w:tc>
        <w:tc>
          <w:tcPr/>
          <w:p>
            <w:pPr>
              <w:pStyle w:val="Compact"/>
              <w:jc w:val="right"/>
            </w:pPr>
            <w:r>
              <w:t xml:space="preserve">£31,878</w:t>
            </w:r>
          </w:p>
        </w:tc>
        <w:tc>
          <w:tcPr/>
          <w:p>
            <w:pPr>
              <w:pStyle w:val="Compact"/>
              <w:jc w:val="right"/>
            </w:pPr>
            <w:r>
              <w:t xml:space="preserve">£28,866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(£968)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(£3,490)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£6,090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£35,588</w:t>
            </w:r>
          </w:p>
        </w:tc>
        <w:tc>
          <w:tcPr/>
          <w:p>
            <w:pPr>
              <w:pStyle w:val="Compact"/>
              <w:jc w:val="right"/>
            </w:pPr>
            <w:r>
              <w:rPr>
                <w:bCs/>
                <w:b/>
              </w:rPr>
              <w:t xml:space="preserve">£31,878</w:t>
            </w:r>
          </w:p>
        </w:tc>
        <w:tc>
          <w:tcPr/>
          <w:p>
            <w:pPr>
              <w:pStyle w:val="Compact"/>
              <w:jc w:val="right"/>
            </w:pPr>
            <w:r>
              <w:rPr>
                <w:bCs/>
                <w:b/>
              </w:rPr>
              <w:t xml:space="preserve">£28,866</w:t>
            </w:r>
          </w:p>
        </w:tc>
        <w:tc>
          <w:tcPr/>
          <w:p>
            <w:pPr>
              <w:pStyle w:val="Compact"/>
              <w:jc w:val="right"/>
            </w:pPr>
            <w:r>
              <w:rPr>
                <w:bCs/>
                <w:b/>
              </w:rPr>
              <w:t xml:space="preserve">£25,216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9"/>
    <w:bookmarkStart w:id="80"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80"/>
    <w:bookmarkEnd w:id="81"/>
    <w:bookmarkStart w:id="82"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(licence contracts)</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(£46,556)</w:t>
            </w:r>
          </w:p>
        </w:tc>
        <w:tc>
          <w:tcPr/>
          <w:p>
            <w:pPr>
              <w:pStyle w:val="Compact"/>
              <w:jc w:val="right"/>
            </w:pPr>
            <w:r>
              <w:rPr>
                <w:bCs/>
                <w:b/>
              </w:rPr>
              <w:t xml:space="preserve">(£60,417)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£1,947</w:t>
            </w:r>
          </w:p>
        </w:tc>
        <w:tc>
          <w:tcPr/>
          <w:p>
            <w:pPr>
              <w:pStyle w:val="Compact"/>
              <w:jc w:val="right"/>
            </w:pPr>
            <w:r>
              <w:rPr>
                <w:bCs/>
                <w:b/>
              </w:rPr>
              <w:t xml:space="preserve">£6,906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£1,080</w:t>
            </w:r>
          </w:p>
        </w:tc>
        <w:tc>
          <w:tcPr/>
          <w:p>
            <w:pPr>
              <w:pStyle w:val="Compact"/>
              <w:jc w:val="right"/>
            </w:pPr>
            <w:r>
              <w:rPr>
                <w:bCs/>
                <w:b/>
              </w:rPr>
              <w:t xml:space="preserve">£5,531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c>
          <w:tcPr/>
          <w:p>
            <w:pPr>
              <w:pStyle w:val="Compact"/>
              <w:jc w:val="right"/>
            </w:pPr>
            <w:r>
              <w:t xml:space="preserve">(£799)</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£938</w:t>
            </w:r>
          </w:p>
        </w:tc>
        <w:tc>
          <w:tcPr/>
          <w:p>
            <w:pPr>
              <w:pStyle w:val="Compact"/>
              <w:jc w:val="right"/>
            </w:pPr>
            <w:r>
              <w:rPr>
                <w:bCs/>
                <w:b/>
              </w:rPr>
              <w:t xml:space="preserve">£4,732</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1.7%</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£1,080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£747</w:t>
            </w:r>
          </w:p>
        </w:tc>
        <w:tc>
          <w:tcPr/>
          <w:p>
            <w:pPr>
              <w:pStyle w:val="Compact"/>
              <w:jc w:val="right"/>
            </w:pPr>
            <w:r>
              <w:t xml:space="preserve">–</w:t>
            </w:r>
          </w:p>
        </w:tc>
        <w:tc>
          <w:tcPr/>
          <w:p>
            <w:pPr>
              <w:pStyle w:val="Compact"/>
              <w:jc w:val="right"/>
            </w:pPr>
            <w:r>
              <w:t xml:space="preserve">£142</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and makes its first two part-time hires, and still makes a profit (£938 after tax). Patent costs fall after the three-year plan (Section 3.4). Profit is not the aim in the early years; showing that the company can pay for its own team from revenue is.</w:t>
      </w:r>
    </w:p>
    <w:p>
      <w:r>
        <w:pict>
          <v:rect style="width:0;height:1.5pt" o:hralign="center" o:hrstd="t" o:hr="t"/>
        </w:pict>
      </w:r>
    </w:p>
    <w:bookmarkEnd w:id="82"/>
    <w:bookmarkStart w:id="83"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£46,541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(£27,809)</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£4,732</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83"/>
    <w:bookmarkStart w:id="84"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4"/>
    <w:bookmarkStart w:id="85"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5"/>
    <w:bookmarkStart w:id="86"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6"/>
    <w:bookmarkStart w:id="90" w:name="forecasted-staff-costs"/>
    <w:p>
      <w:pPr>
        <w:pStyle w:val="Heading2"/>
      </w:pPr>
      <w:r>
        <w:t xml:space="preserve">18. Forecasted Staff Costs</w:t>
      </w:r>
    </w:p>
    <w:bookmarkStart w:id="87"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7"/>
    <w:bookmarkStart w:id="88"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8"/>
    <w:bookmarkStart w:id="89"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9"/>
    <w:bookmarkEnd w:id="90"/>
    <w:bookmarkStart w:id="92"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91"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91"/>
    <w:bookmarkEnd w:id="92"/>
    <w:bookmarkEnd w:id="93"/>
    <w:bookmarkStart w:id="97"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4"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4"/>
    <w:bookmarkStart w:id="95"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(licence contracts)</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(£168,919)</w:t>
            </w:r>
          </w:p>
        </w:tc>
        <w:tc>
          <w:tcPr/>
          <w:p>
            <w:pPr>
              <w:pStyle w:val="Compact"/>
              <w:jc w:val="right"/>
            </w:pPr>
            <w:r>
              <w:rPr>
                <w:bCs/>
                <w:b/>
              </w:rPr>
              <w:t xml:space="preserve">(£184,530)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(£32,500)</w:t>
            </w:r>
          </w:p>
        </w:tc>
        <w:tc>
          <w:tcPr/>
          <w:p>
            <w:pPr>
              <w:pStyle w:val="Compact"/>
              <w:jc w:val="right"/>
            </w:pPr>
            <w:r>
              <w:rPr>
                <w:bCs/>
                <w:b/>
              </w:rPr>
              <w:t xml:space="preserve">(£16,021)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(£34,226)</w:t>
            </w:r>
          </w:p>
        </w:tc>
        <w:tc>
          <w:tcPr/>
          <w:p>
            <w:pPr>
              <w:pStyle w:val="Compact"/>
              <w:jc w:val="right"/>
            </w:pPr>
            <w:r>
              <w:rPr>
                <w:bCs/>
                <w:b/>
              </w:rPr>
              <w:t xml:space="preserve">(£18,255)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(£34,226)</w:t>
            </w:r>
          </w:p>
        </w:tc>
        <w:tc>
          <w:tcPr/>
          <w:p>
            <w:pPr>
              <w:pStyle w:val="Compact"/>
              <w:jc w:val="right"/>
            </w:pPr>
            <w:r>
              <w:rPr>
                <w:bCs/>
                <w:b/>
              </w:rPr>
              <w:t xml:space="preserve">(£21,101)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-22.9%</w:t>
            </w:r>
          </w:p>
        </w:tc>
        <w:tc>
          <w:tcPr/>
          <w:p>
            <w:pPr>
              <w:pStyle w:val="Compact"/>
            </w:pPr>
          </w:p>
        </w:tc>
      </w:tr>
    </w:tbl>
    <w:bookmarkEnd w:id="95"/>
    <w:bookmarkStart w:id="96"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(£188,397)</w:t>
            </w:r>
          </w:p>
        </w:tc>
        <w:tc>
          <w:tcPr/>
          <w:p>
            <w:pPr>
              <w:pStyle w:val="Compact"/>
              <w:jc w:val="right"/>
            </w:pPr>
            <w:r>
              <w:rPr>
                <w:bCs/>
                <w:b/>
              </w:rPr>
              <w:t xml:space="preserve">(£210,750)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(£14,262)</w:t>
            </w:r>
          </w:p>
        </w:tc>
        <w:tc>
          <w:tcPr/>
          <w:p>
            <w:pPr>
              <w:pStyle w:val="Compact"/>
              <w:jc w:val="right"/>
            </w:pPr>
            <w:r>
              <w:rPr>
                <w:bCs/>
                <w:b/>
              </w:rPr>
              <w:t xml:space="preserve">£20,050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£23,050</w:t>
            </w:r>
          </w:p>
        </w:tc>
        <w:tc>
          <w:tcPr/>
          <w:p>
            <w:pPr>
              <w:pStyle w:val="Compact"/>
              <w:jc w:val="right"/>
            </w:pPr>
            <w:r>
              <w:rPr>
                <w:bCs/>
                <w:b/>
              </w:rPr>
              <w:t xml:space="preserve">£23,050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pre-pilot stage business plan was prepared by Yusuf Quadri (Founder &amp; CEO) for the UK Innovator Founder endorsement application to UKES. Version 7.0, October 2026.</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2026-10-14T15:51:30Z</dcterms:created>
  <dcterms:modified xsi:type="dcterms:W3CDTF">2026-10-14T15:51:30Z</dcterms:modified>
</cp:coreProperties>
</file>

<file path=docProps/custom.xml><?xml version="1.0" encoding="utf-8"?>
<Properties xmlns="http://schemas.openxmlformats.org/officeDocument/2006/custom-properties" xmlns:vt="http://schemas.openxmlformats.org/officeDocument/2006/docPropsVTypes"/>
</file>