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DEQUAD_Risk_Register</w:t>
      </w:r>
    </w:p>
    <w:bookmarkStart w:id="15" w:name="dequad-risk-register"/>
    <w:p>
      <w:pPr>
        <w:pStyle w:val="Heading1"/>
      </w:pPr>
      <w:r>
        <w:t xml:space="preserve">DEQUAD — Risk Register</w:t>
      </w:r>
    </w:p>
    <w:bookmarkStart w:id="9" w:name="Xda76c47a345ee1f3c13923041eb4d3a2cebd72c"/>
    <w:p>
      <w:pPr>
        <w:pStyle w:val="Heading2"/>
      </w:pPr>
      <w:r>
        <w:t xml:space="preserve">Supporting Appendix — UKES Innovator Founder Visa Submission</w:t>
      </w:r>
    </w:p>
    <w:p>
      <w:pPr>
        <w:pStyle w:val="BlockText"/>
      </w:pPr>
      <w:r>
        <w:rPr>
          <w:b/>
          <w:bCs/>
        </w:rPr>
        <w:t xml:space="preserve">Purpose.</w:t>
      </w:r>
      <w:r>
        <w:t xml:space="preserve"> </w:t>
      </w:r>
      <w:r>
        <w:t xml:space="preserve">UKES may request a standalone risk register alongside the</w:t>
      </w:r>
      <w:r>
        <w:t xml:space="preserve"> </w:t>
      </w:r>
      <w:r>
        <w:t xml:space="preserve">business plan. This document enumerates the 16 most material risks</w:t>
      </w:r>
      <w:r>
        <w:t xml:space="preserve"> </w:t>
      </w:r>
      <w:r>
        <w:t xml:space="preserve">identified by the founders, scores each on a 1–5 scale for both</w:t>
      </w:r>
      <w:r>
        <w:t xml:space="preserve"> </w:t>
      </w:r>
      <w:r>
        <w:t xml:space="preserve">Likelihood and Impact, gives the resulting Risk Score</w:t>
      </w:r>
      <w:r>
        <w:t xml:space="preserve"> </w:t>
      </w:r>
      <w:r>
        <w:t xml:space="preserve">(Likelihood × Impact), states the chosen mitigation, and names the risk</w:t>
      </w:r>
      <w:r>
        <w:t xml:space="preserve"> </w:t>
      </w:r>
      <w:r>
        <w:t xml:space="preserve">owner.</w:t>
      </w:r>
    </w:p>
    <w:p>
      <w:pPr>
        <w:pStyle w:val="BlockText"/>
      </w:pPr>
      <w:r>
        <w:t xml:space="preserve">Reviewed: monthly by the founders; quarterly by the (future) board once</w:t>
      </w:r>
      <w:r>
        <w:t xml:space="preserve"> </w:t>
      </w:r>
      <w:r>
        <w:t xml:space="preserve">the company has a non-founder director (a milestone tied to team growth,</w:t>
      </w:r>
      <w:r>
        <w:t xml:space="preserve"> </w:t>
      </w:r>
      <w:r>
        <w:t xml:space="preserve">not to any assumed funding round — no external investment is assumed in</w:t>
      </w:r>
      <w:r>
        <w:t xml:space="preserve"> </w:t>
      </w:r>
      <w:r>
        <w:t xml:space="preserve">this plan, Section 10).</w:t>
      </w:r>
    </w:p>
    <w:p>
      <w:r>
        <w:pict>
          <v:rect style="width:0;height:1.5pt" o:hralign="center" o:hrstd="t" o:hr="t"/>
        </w:pict>
      </w:r>
    </w:p>
    <w:bookmarkEnd w:id="9"/>
    <w:bookmarkStart w:id="10" w:name="how-the-scoring-works"/>
    <w:p>
      <w:pPr>
        <w:pStyle w:val="Heading2"/>
      </w:pPr>
      <w:r>
        <w:t xml:space="preserve">How the scoring works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Likelihood</w:t>
            </w:r>
          </w:p>
        </w:tc>
        <w:tc>
          <w:tcPr/>
          <w:p>
            <w:pPr>
              <w:pStyle w:val="Compact"/>
            </w:pPr>
            <w:r>
              <w:t xml:space="preserve">Impact</w:t>
            </w:r>
          </w:p>
        </w:tc>
      </w:tr>
      <w:tr>
        <w:tc>
          <w:tcPr/>
          <w:p>
            <w:pPr>
              <w:pStyle w:val="Compact"/>
            </w:pPr>
            <w:r>
              <w:t xml:space="preserve">1</w:t>
            </w:r>
          </w:p>
        </w:tc>
        <w:tc>
          <w:tcPr/>
          <w:p>
            <w:pPr>
              <w:pStyle w:val="Compact"/>
            </w:pPr>
            <w:r>
              <w:t xml:space="preserve">Rare (&lt; 5% within forecast)</w:t>
            </w:r>
          </w:p>
        </w:tc>
        <w:tc>
          <w:tcPr/>
          <w:p>
            <w:pPr>
              <w:pStyle w:val="Compact"/>
            </w:pPr>
            <w:r>
              <w:t xml:space="preserve">Negligible (&lt; £2k or no functional impact)</w:t>
            </w:r>
          </w:p>
        </w:tc>
      </w:tr>
      <w:tr>
        <w:tc>
          <w:tcPr/>
          <w:p>
            <w:pPr>
              <w:pStyle w:val="Compact"/>
            </w:pPr>
            <w:r>
              <w:t xml:space="preserve">2</w:t>
            </w:r>
          </w:p>
        </w:tc>
        <w:tc>
          <w:tcPr/>
          <w:p>
            <w:pPr>
              <w:pStyle w:val="Compact"/>
            </w:pPr>
            <w:r>
              <w:t xml:space="preserve">Unlikely (~ 10%)</w:t>
            </w:r>
          </w:p>
        </w:tc>
        <w:tc>
          <w:tcPr/>
          <w:p>
            <w:pPr>
              <w:pStyle w:val="Compact"/>
            </w:pPr>
            <w:r>
              <w:t xml:space="preserve">Minor (£2k–£10k or short-term operational disruption)</w:t>
            </w:r>
          </w:p>
        </w:tc>
      </w:tr>
      <w:tr>
        <w:tc>
          <w:tcPr/>
          <w:p>
            <w:pPr>
              <w:pStyle w:val="Compact"/>
            </w:pPr>
            <w:r>
              <w:t xml:space="preserve">3</w:t>
            </w:r>
          </w:p>
        </w:tc>
        <w:tc>
          <w:tcPr/>
          <w:p>
            <w:pPr>
              <w:pStyle w:val="Compact"/>
            </w:pPr>
            <w:r>
              <w:t xml:space="preserve">Possible (~ 25%)</w:t>
            </w:r>
          </w:p>
        </w:tc>
        <w:tc>
          <w:tcPr/>
          <w:p>
            <w:pPr>
              <w:pStyle w:val="Compact"/>
            </w:pPr>
            <w:r>
              <w:t xml:space="preserve">Moderate (£10k–£50k or 1-month delay)</w:t>
            </w:r>
          </w:p>
        </w:tc>
      </w:tr>
      <w:tr>
        <w:tc>
          <w:tcPr/>
          <w:p>
            <w:pPr>
              <w:pStyle w:val="Compact"/>
            </w:pPr>
            <w:r>
              <w:t xml:space="preserve">4</w:t>
            </w:r>
          </w:p>
        </w:tc>
        <w:tc>
          <w:tcPr/>
          <w:p>
            <w:pPr>
              <w:pStyle w:val="Compact"/>
            </w:pPr>
            <w:r>
              <w:t xml:space="preserve">Likely (~ 50%)</w:t>
            </w:r>
          </w:p>
        </w:tc>
        <w:tc>
          <w:tcPr/>
          <w:p>
            <w:pPr>
              <w:pStyle w:val="Compact"/>
            </w:pPr>
            <w:r>
              <w:t xml:space="preserve">Major (£50k–£200k, key hire lost, partial loss of customer trust)</w:t>
            </w:r>
          </w:p>
        </w:tc>
      </w:tr>
      <w:tr>
        <w:tc>
          <w:tcPr/>
          <w:p>
            <w:pPr>
              <w:pStyle w:val="Compact"/>
            </w:pPr>
            <w:r>
              <w:t xml:space="preserve">5</w:t>
            </w:r>
          </w:p>
        </w:tc>
        <w:tc>
          <w:tcPr/>
          <w:p>
            <w:pPr>
              <w:pStyle w:val="Compact"/>
            </w:pPr>
            <w:r>
              <w:t xml:space="preserve">Almost certain (&gt; 75%)</w:t>
            </w:r>
          </w:p>
        </w:tc>
        <w:tc>
          <w:tcPr/>
          <w:p>
            <w:pPr>
              <w:pStyle w:val="Compact"/>
            </w:pPr>
            <w:r>
              <w:t xml:space="preserve">Critical (existential, regulatory action, safeguarding incident)</w:t>
            </w:r>
          </w:p>
        </w:tc>
      </w:tr>
    </w:tbl>
    <w:p>
      <w:pPr>
        <w:pStyle w:val="BodyText"/>
      </w:pPr>
      <w:r>
        <w:t xml:space="preserve">Risk score traffic-light:</w:t>
      </w:r>
    </w:p>
    <w:p>
      <w:pPr>
        <w:pStyle w:val="Compact"/>
        <w:numPr>
          <w:ilvl w:val="0"/>
          <w:numId w:val="1001"/>
        </w:numPr>
      </w:pPr>
      <w:r>
        <w:rPr>
          <w:b/>
          <w:bCs/>
        </w:rPr>
        <w:t xml:space="preserve">🔴 16–25</w:t>
      </w:r>
      <w:r>
        <w:t xml:space="preserve"> </w:t>
      </w:r>
      <w:r>
        <w:t xml:space="preserve">— actively managed each week; board-visible.</w:t>
      </w:r>
    </w:p>
    <w:p>
      <w:pPr>
        <w:pStyle w:val="Compact"/>
        <w:numPr>
          <w:ilvl w:val="0"/>
          <w:numId w:val="1001"/>
        </w:numPr>
      </w:pPr>
      <w:r>
        <w:rPr>
          <w:b/>
          <w:bCs/>
        </w:rPr>
        <w:t xml:space="preserve">🟠 9–15</w:t>
      </w:r>
      <w:r>
        <w:t xml:space="preserve"> </w:t>
      </w:r>
      <w:r>
        <w:t xml:space="preserve">— actively managed each month.</w:t>
      </w:r>
    </w:p>
    <w:p>
      <w:pPr>
        <w:pStyle w:val="Compact"/>
        <w:numPr>
          <w:ilvl w:val="0"/>
          <w:numId w:val="1001"/>
        </w:numPr>
      </w:pPr>
      <w:r>
        <w:rPr>
          <w:b/>
          <w:bCs/>
        </w:rPr>
        <w:t xml:space="preserve">🟡 4–8</w:t>
      </w:r>
      <w:r>
        <w:t xml:space="preserve"> </w:t>
      </w:r>
      <w:r>
        <w:t xml:space="preserve">— managed quarterly.</w:t>
      </w:r>
    </w:p>
    <w:p>
      <w:pPr>
        <w:pStyle w:val="Compact"/>
        <w:numPr>
          <w:ilvl w:val="0"/>
          <w:numId w:val="1001"/>
        </w:numPr>
      </w:pPr>
      <w:r>
        <w:rPr>
          <w:b/>
          <w:bCs/>
        </w:rPr>
        <w:t xml:space="preserve">🟢 1–3</w:t>
      </w:r>
      <w:r>
        <w:t xml:space="preserve"> </w:t>
      </w:r>
      <w:r>
        <w:t xml:space="preserve">— accepted; reviewed annually.</w:t>
      </w:r>
    </w:p>
    <w:p>
      <w:r>
        <w:pict>
          <v:rect style="width:0;height:1.5pt" o:hralign="center" o:hrstd="t" o:hr="t"/>
        </w:pict>
      </w:r>
    </w:p>
    <w:bookmarkEnd w:id="10"/>
    <w:bookmarkStart w:id="11" w:name="risk-register"/>
    <w:p>
      <w:pPr>
        <w:pStyle w:val="Heading2"/>
      </w:pPr>
      <w:r>
        <w:t xml:space="preserve">Risk register</w:t>
      </w:r>
    </w:p>
    <w:tbl>
      <w:tblPr>
        <w:tblStyle w:val="Table"/>
        <w:tblW w:type="pct" w:w="5000"/>
        <w:tblLayout w:type="fixed"/>
        <w:tblLook w:firstRow="1" w:lastRow="0" w:firstColumn="0" w:lastColumn="0" w:noHBand="0" w:noVBand="0" w:val="0020"/>
      </w:tblPr>
      <w:tblGrid>
        <w:gridCol w:w="792"/>
        <w:gridCol w:w="792"/>
        <w:gridCol w:w="792"/>
        <w:gridCol w:w="1056"/>
        <w:gridCol w:w="1056"/>
        <w:gridCol w:w="1056"/>
        <w:gridCol w:w="792"/>
        <w:gridCol w:w="792"/>
        <w:gridCol w:w="792"/>
      </w:tblGrid>
      <w:tr>
        <w:trPr>
          <w:tblHeader w:val="on"/>
        </w:trPr>
        <w:tc>
          <w:tcPr/>
          <w:p>
            <w:pPr>
              <w:pStyle w:val="Compact"/>
            </w:pPr>
            <w:r>
              <w:t xml:space="preserve">#</w:t>
            </w:r>
          </w:p>
        </w:tc>
        <w:tc>
          <w:tcPr/>
          <w:p>
            <w:pPr>
              <w:pStyle w:val="Compact"/>
            </w:pPr>
            <w:r>
              <w:t xml:space="preserve">Risk</w:t>
            </w:r>
          </w:p>
        </w:tc>
        <w:tc>
          <w:tcPr/>
          <w:p>
            <w:pPr>
              <w:pStyle w:val="Compact"/>
            </w:pPr>
            <w:r>
              <w:t xml:space="preserve">Category</w:t>
            </w:r>
          </w:p>
        </w:tc>
        <w:tc>
          <w:tcPr/>
          <w:p>
            <w:pPr>
              <w:pStyle w:val="Compact"/>
              <w:jc w:val="right"/>
            </w:pPr>
            <w:r>
              <w:t xml:space="preserve">Lk</w:t>
            </w:r>
          </w:p>
        </w:tc>
        <w:tc>
          <w:tcPr/>
          <w:p>
            <w:pPr>
              <w:pStyle w:val="Compact"/>
              <w:jc w:val="right"/>
            </w:pPr>
            <w:r>
              <w:t xml:space="preserve">Im</w:t>
            </w:r>
          </w:p>
        </w:tc>
        <w:tc>
          <w:tcPr/>
          <w:p>
            <w:pPr>
              <w:pStyle w:val="Compact"/>
              <w:jc w:val="right"/>
            </w:pPr>
            <w:r>
              <w:t xml:space="preserve">Score</w:t>
            </w:r>
          </w:p>
        </w:tc>
        <w:tc>
          <w:tcPr/>
          <w:p>
            <w:pPr>
              <w:pStyle w:val="Compact"/>
            </w:pPr>
            <w:r>
              <w:t xml:space="preserve">RAG</w:t>
            </w:r>
          </w:p>
        </w:tc>
        <w:tc>
          <w:tcPr/>
          <w:p>
            <w:pPr>
              <w:pStyle w:val="Compact"/>
            </w:pPr>
            <w:r>
              <w:t xml:space="preserve">Owner</w:t>
            </w:r>
          </w:p>
        </w:tc>
        <w:tc>
          <w:tcPr/>
          <w:p>
            <w:pPr>
              <w:pStyle w:val="Compact"/>
            </w:pPr>
            <w:r>
              <w:t xml:space="preserve">Mitigation in place / planned</w:t>
            </w:r>
          </w:p>
        </w:tc>
      </w:tr>
      <w:tr>
        <w:tc>
          <w:tcPr/>
          <w:p>
            <w:pPr>
              <w:pStyle w:val="Compact"/>
            </w:pPr>
            <w:r>
              <w:rPr>
                <w:b/>
                <w:bCs/>
              </w:rPr>
              <w:t xml:space="preserve">R1</w:t>
            </w:r>
          </w:p>
        </w:tc>
        <w:tc>
          <w:tcPr/>
          <w:p>
            <w:pPr>
              <w:pStyle w:val="Compact"/>
            </w:pPr>
            <w:r>
              <w:rPr>
                <w:b/>
                <w:bCs/>
              </w:rPr>
              <w:t xml:space="preserve">University of Bedfordshire pilot conversation never converts to a signed agreement</w:t>
            </w:r>
          </w:p>
        </w:tc>
        <w:tc>
          <w:tcPr/>
          <w:p>
            <w:pPr>
              <w:pStyle w:val="Compact"/>
            </w:pPr>
            <w:r>
              <w:t xml:space="preserve">Commercial</w:t>
            </w:r>
          </w:p>
        </w:tc>
        <w:tc>
          <w:tcPr/>
          <w:p>
            <w:pPr>
              <w:pStyle w:val="Compact"/>
              <w:jc w:val="right"/>
            </w:pPr>
            <w:r>
              <w:t xml:space="preserve">3</w:t>
            </w:r>
          </w:p>
        </w:tc>
        <w:tc>
          <w:tcPr/>
          <w:p>
            <w:pPr>
              <w:pStyle w:val="Compact"/>
              <w:jc w:val="right"/>
            </w:pPr>
            <w:r>
              <w:t xml:space="preserve">3</w:t>
            </w:r>
          </w:p>
        </w:tc>
        <w:tc>
          <w:tcPr/>
          <w:p>
            <w:pPr>
              <w:pStyle w:val="Compact"/>
              <w:jc w:val="right"/>
            </w:pPr>
            <w:r>
              <w:rPr>
                <w:b/>
                <w:bCs/>
              </w:rPr>
              <w:t xml:space="preserve">9</w:t>
            </w:r>
          </w:p>
        </w:tc>
        <w:tc>
          <w:tcPr/>
          <w:p>
            <w:pPr>
              <w:pStyle w:val="Compact"/>
            </w:pPr>
            <w:r>
              <w:t xml:space="preserve">🟠</w:t>
            </w:r>
          </w:p>
        </w:tc>
        <w:tc>
          <w:tcPr/>
          <w:p>
            <w:pPr>
              <w:pStyle w:val="Compact"/>
            </w:pPr>
            <w:r>
              <w:t xml:space="preserve">CEO</w:t>
            </w:r>
          </w:p>
        </w:tc>
        <w:tc>
          <w:tcPr/>
          <w:p>
            <w:pPr>
              <w:pStyle w:val="Compact"/>
            </w:pPr>
            <w:r>
              <w:t xml:space="preserve">Nothing is signed and this is treated as a real possibility, not a formality. The plan (Sections 11–12) is solvent even at zero institutional revenue throughout Y1–Y3 — no cost line depends on this pilot converting. Lead founder’s existing relationship as former SU President (2021–2023) improves the odds but is not relied upon financially. Two further pilot conversations are being scoped at peer institutions as additional, independent upside.</w:t>
            </w:r>
          </w:p>
        </w:tc>
      </w:tr>
      <w:tr>
        <w:tc>
          <w:tcPr/>
          <w:p>
            <w:pPr>
              <w:pStyle w:val="Compact"/>
            </w:pPr>
            <w:r>
              <w:rPr>
                <w:b/>
                <w:bCs/>
              </w:rPr>
              <w:t xml:space="preserve">R2</w:t>
            </w:r>
          </w:p>
        </w:tc>
        <w:tc>
          <w:tcPr/>
          <w:p>
            <w:pPr>
              <w:pStyle w:val="Compact"/>
            </w:pPr>
            <w:r>
              <w:rPr>
                <w:b/>
                <w:bCs/>
              </w:rPr>
              <w:t xml:space="preserve">Co-founder formal appointment delayed past incorporation</w:t>
            </w:r>
          </w:p>
        </w:tc>
        <w:tc>
          <w:tcPr/>
          <w:p>
            <w:pPr>
              <w:pStyle w:val="Compact"/>
            </w:pPr>
            <w:r>
              <w:t xml:space="preserve">Team</w:t>
            </w:r>
          </w:p>
        </w:tc>
        <w:tc>
          <w:tcPr/>
          <w:p>
            <w:pPr>
              <w:pStyle w:val="Compact"/>
              <w:jc w:val="right"/>
            </w:pPr>
            <w:r>
              <w:t xml:space="preserve">3</w:t>
            </w:r>
          </w:p>
        </w:tc>
        <w:tc>
          <w:tcPr/>
          <w:p>
            <w:pPr>
              <w:pStyle w:val="Compact"/>
              <w:jc w:val="right"/>
            </w:pPr>
            <w:r>
              <w:t xml:space="preserve">5</w:t>
            </w:r>
          </w:p>
        </w:tc>
        <w:tc>
          <w:tcPr/>
          <w:p>
            <w:pPr>
              <w:pStyle w:val="Compact"/>
              <w:jc w:val="right"/>
            </w:pPr>
            <w:r>
              <w:rPr>
                <w:b/>
                <w:bCs/>
              </w:rPr>
              <w:t xml:space="preserve">15</w:t>
            </w:r>
          </w:p>
        </w:tc>
        <w:tc>
          <w:tcPr/>
          <w:p>
            <w:pPr>
              <w:pStyle w:val="Compact"/>
            </w:pPr>
            <w:r>
              <w:t xml:space="preserve">🟠</w:t>
            </w:r>
          </w:p>
        </w:tc>
        <w:tc>
          <w:tcPr/>
          <w:p>
            <w:pPr>
              <w:pStyle w:val="Compact"/>
            </w:pPr>
            <w:r>
              <w:t xml:space="preserve">CEO</w:t>
            </w:r>
          </w:p>
        </w:tc>
        <w:tc>
          <w:tcPr/>
          <w:p>
            <w:pPr>
              <w:pStyle w:val="Compact"/>
            </w:pPr>
            <w:r>
              <w:t xml:space="preserve">Candidate identified, term sheet drafted; founder agreement signed; CEO covers Y1 technical work alone if hire slips by &lt; 90 days; backup engineering contractor identified.</w:t>
            </w:r>
          </w:p>
        </w:tc>
      </w:tr>
      <w:tr>
        <w:tc>
          <w:tcPr/>
          <w:p>
            <w:pPr>
              <w:pStyle w:val="Compact"/>
            </w:pPr>
            <w:r>
              <w:rPr>
                <w:b/>
                <w:bCs/>
              </w:rPr>
              <w:t xml:space="preserve">R3</w:t>
            </w:r>
          </w:p>
        </w:tc>
        <w:tc>
          <w:tcPr/>
          <w:p>
            <w:pPr>
              <w:pStyle w:val="Compact"/>
            </w:pPr>
            <w:r>
              <w:rPr>
                <w:b/>
                <w:bCs/>
              </w:rPr>
              <w:t xml:space="preserve">Institutional or premium revenue falls short of the Y2–Y3 targets in Section 11</w:t>
            </w:r>
          </w:p>
        </w:tc>
        <w:tc>
          <w:tcPr/>
          <w:p>
            <w:pPr>
              <w:pStyle w:val="Compact"/>
            </w:pPr>
            <w:r>
              <w:t xml:space="preserve">Commercial</w:t>
            </w:r>
          </w:p>
        </w:tc>
        <w:tc>
          <w:tcPr/>
          <w:p>
            <w:pPr>
              <w:pStyle w:val="Compact"/>
              <w:jc w:val="right"/>
            </w:pPr>
            <w:r>
              <w:t xml:space="preserve">3</w:t>
            </w:r>
          </w:p>
        </w:tc>
        <w:tc>
          <w:tcPr/>
          <w:p>
            <w:pPr>
              <w:pStyle w:val="Compact"/>
              <w:jc w:val="right"/>
            </w:pPr>
            <w:r>
              <w:t xml:space="preserve">3</w:t>
            </w:r>
          </w:p>
        </w:tc>
        <w:tc>
          <w:tcPr/>
          <w:p>
            <w:pPr>
              <w:pStyle w:val="Compact"/>
              <w:jc w:val="right"/>
            </w:pPr>
            <w:r>
              <w:rPr>
                <w:b/>
                <w:bCs/>
              </w:rPr>
              <w:t xml:space="preserve">9</w:t>
            </w:r>
          </w:p>
        </w:tc>
        <w:tc>
          <w:tcPr/>
          <w:p>
            <w:pPr>
              <w:pStyle w:val="Compact"/>
            </w:pPr>
            <w:r>
              <w:t xml:space="preserve">🟡</w:t>
            </w:r>
          </w:p>
        </w:tc>
        <w:tc>
          <w:tcPr/>
          <w:p>
            <w:pPr>
              <w:pStyle w:val="Compact"/>
            </w:pPr>
            <w:r>
              <w:t xml:space="preserve">CEO</w:t>
            </w:r>
          </w:p>
        </w:tc>
        <w:tc>
          <w:tcPr/>
          <w:p>
            <w:pPr>
              <w:pStyle w:val="Compact"/>
            </w:pPr>
            <w:r>
              <w:t xml:space="preserve">The plan does not require a funding round to remain solvent at any point (Section 10) — the only consequence of missing revenue targets is that the single Y3 hire and modest founder pay are delayed, not that the business fails. £6,000 founder cash plus minimal fixed costs (Section 12) carry the business with positive month-end balances even in a zero-institutional-revenue scenario.</w:t>
            </w:r>
          </w:p>
        </w:tc>
      </w:tr>
      <w:tr>
        <w:tc>
          <w:tcPr/>
          <w:p>
            <w:pPr>
              <w:pStyle w:val="Compact"/>
            </w:pPr>
            <w:r>
              <w:rPr>
                <w:b/>
                <w:bCs/>
              </w:rPr>
              <w:t xml:space="preserve">R4</w:t>
            </w:r>
          </w:p>
        </w:tc>
        <w:tc>
          <w:tcPr/>
          <w:p>
            <w:pPr>
              <w:pStyle w:val="Compact"/>
            </w:pPr>
            <w:r>
              <w:rPr>
                <w:b/>
                <w:bCs/>
              </w:rPr>
              <w:t xml:space="preserve">Safeguarding incident — false negative (failure to flag a real risk signal)</w:t>
            </w:r>
          </w:p>
        </w:tc>
        <w:tc>
          <w:tcPr/>
          <w:p>
            <w:pPr>
              <w:pStyle w:val="Compact"/>
            </w:pPr>
            <w:r>
              <w:t xml:space="preserve">Product / Clinical</w:t>
            </w:r>
          </w:p>
        </w:tc>
        <w:tc>
          <w:tcPr/>
          <w:p>
            <w:pPr>
              <w:pStyle w:val="Compact"/>
              <w:jc w:val="right"/>
            </w:pPr>
            <w:r>
              <w:t xml:space="preserve">3</w:t>
            </w:r>
          </w:p>
        </w:tc>
        <w:tc>
          <w:tcPr/>
          <w:p>
            <w:pPr>
              <w:pStyle w:val="Compact"/>
              <w:jc w:val="right"/>
            </w:pPr>
            <w:r>
              <w:t xml:space="preserve">5</w:t>
            </w:r>
          </w:p>
        </w:tc>
        <w:tc>
          <w:tcPr/>
          <w:p>
            <w:pPr>
              <w:pStyle w:val="Compact"/>
              <w:jc w:val="right"/>
            </w:pPr>
            <w:r>
              <w:rPr>
                <w:b/>
                <w:bCs/>
              </w:rPr>
              <w:t xml:space="preserve">15</w:t>
            </w:r>
          </w:p>
        </w:tc>
        <w:tc>
          <w:tcPr/>
          <w:p>
            <w:pPr>
              <w:pStyle w:val="Compact"/>
            </w:pPr>
            <w:r>
              <w:t xml:space="preserve">🟠</w:t>
            </w:r>
          </w:p>
        </w:tc>
        <w:tc>
          <w:tcPr/>
          <w:p>
            <w:pPr>
              <w:pStyle w:val="Compact"/>
            </w:pPr>
            <w:r>
              <w:t xml:space="preserve">CEO</w:t>
            </w:r>
          </w:p>
        </w:tc>
        <w:tc>
          <w:tcPr/>
          <w:p>
            <w:pPr>
              <w:pStyle w:val="Compact"/>
            </w:pPr>
            <w:r>
              <w:t xml:space="preserve">Human-in-the-loop review for all high-risk flags within 1h; clear in-app crisis-escalation path (Samaritans, 999, university DSL); £1m professional indemnity insurance; clinical advisory board recruitment underway (Q2 Y2 target).</w:t>
            </w:r>
          </w:p>
        </w:tc>
      </w:tr>
      <w:tr>
        <w:tc>
          <w:tcPr/>
          <w:p>
            <w:pPr>
              <w:pStyle w:val="Compact"/>
            </w:pPr>
            <w:r>
              <w:rPr>
                <w:b/>
                <w:bCs/>
              </w:rPr>
              <w:t xml:space="preserve">R5</w:t>
            </w:r>
          </w:p>
        </w:tc>
        <w:tc>
          <w:tcPr/>
          <w:p>
            <w:pPr>
              <w:pStyle w:val="Compact"/>
            </w:pPr>
            <w:r>
              <w:rPr>
                <w:b/>
                <w:bCs/>
              </w:rPr>
              <w:t xml:space="preserve">Safeguarding incident — false positive that harms a student</w:t>
            </w:r>
            <w:r>
              <w:t xml:space="preserve"> </w:t>
            </w:r>
            <w:r>
              <w:t xml:space="preserve">(e.g. wrong escalation)</w:t>
            </w:r>
          </w:p>
        </w:tc>
        <w:tc>
          <w:tcPr/>
          <w:p>
            <w:pPr>
              <w:pStyle w:val="Compact"/>
            </w:pPr>
            <w:r>
              <w:t xml:space="preserve">Product / Clinical</w:t>
            </w:r>
          </w:p>
        </w:tc>
        <w:tc>
          <w:tcPr/>
          <w:p>
            <w:pPr>
              <w:pStyle w:val="Compact"/>
              <w:jc w:val="right"/>
            </w:pPr>
            <w:r>
              <w:t xml:space="preserve">3</w:t>
            </w:r>
          </w:p>
        </w:tc>
        <w:tc>
          <w:tcPr/>
          <w:p>
            <w:pPr>
              <w:pStyle w:val="Compact"/>
              <w:jc w:val="right"/>
            </w:pPr>
            <w:r>
              <w:t xml:space="preserve">4</w:t>
            </w:r>
          </w:p>
        </w:tc>
        <w:tc>
          <w:tcPr/>
          <w:p>
            <w:pPr>
              <w:pStyle w:val="Compact"/>
              <w:jc w:val="right"/>
            </w:pPr>
            <w:r>
              <w:rPr>
                <w:b/>
                <w:bCs/>
              </w:rPr>
              <w:t xml:space="preserve">12</w:t>
            </w:r>
          </w:p>
        </w:tc>
        <w:tc>
          <w:tcPr/>
          <w:p>
            <w:pPr>
              <w:pStyle w:val="Compact"/>
            </w:pPr>
            <w:r>
              <w:t xml:space="preserve">🟠</w:t>
            </w:r>
          </w:p>
        </w:tc>
        <w:tc>
          <w:tcPr/>
          <w:p>
            <w:pPr>
              <w:pStyle w:val="Compact"/>
            </w:pPr>
            <w:r>
              <w:t xml:space="preserve">CEO</w:t>
            </w:r>
          </w:p>
        </w:tc>
        <w:tc>
          <w:tcPr/>
          <w:p>
            <w:pPr>
              <w:pStyle w:val="Compact"/>
            </w:pPr>
            <w:r>
              <w:t xml:space="preserve">Two-step DSL confirmation before any disclosure outside the platform; full audit log; student</w:t>
            </w:r>
            <w:r>
              <w:t xml:space="preserve"> </w:t>
            </w:r>
            <w:r>
              <w:t xml:space="preserve">“appeal”</w:t>
            </w:r>
            <w:r>
              <w:t xml:space="preserve"> </w:t>
            </w:r>
            <w:r>
              <w:t xml:space="preserve">route surfaced in-product.</w:t>
            </w:r>
          </w:p>
        </w:tc>
      </w:tr>
      <w:tr>
        <w:tc>
          <w:tcPr/>
          <w:p>
            <w:pPr>
              <w:pStyle w:val="Compact"/>
            </w:pPr>
            <w:r>
              <w:rPr>
                <w:b/>
                <w:bCs/>
              </w:rPr>
              <w:t xml:space="preserve">R6</w:t>
            </w:r>
          </w:p>
        </w:tc>
        <w:tc>
          <w:tcPr/>
          <w:p>
            <w:pPr>
              <w:pStyle w:val="Compact"/>
            </w:pPr>
            <w:r>
              <w:rPr>
                <w:b/>
                <w:bCs/>
              </w:rPr>
              <w:t xml:space="preserve">Online Safety Act 2023 non-compliance or ICO enforcement</w:t>
            </w:r>
          </w:p>
        </w:tc>
        <w:tc>
          <w:tcPr/>
          <w:p>
            <w:pPr>
              <w:pStyle w:val="Compact"/>
            </w:pPr>
            <w:r>
              <w:t xml:space="preserve">Regulatory</w:t>
            </w:r>
          </w:p>
        </w:tc>
        <w:tc>
          <w:tcPr/>
          <w:p>
            <w:pPr>
              <w:pStyle w:val="Compact"/>
              <w:jc w:val="right"/>
            </w:pPr>
            <w:r>
              <w:t xml:space="preserve">2</w:t>
            </w:r>
          </w:p>
        </w:tc>
        <w:tc>
          <w:tcPr/>
          <w:p>
            <w:pPr>
              <w:pStyle w:val="Compact"/>
              <w:jc w:val="right"/>
            </w:pPr>
            <w:r>
              <w:t xml:space="preserve">5</w:t>
            </w:r>
          </w:p>
        </w:tc>
        <w:tc>
          <w:tcPr/>
          <w:p>
            <w:pPr>
              <w:pStyle w:val="Compact"/>
              <w:jc w:val="right"/>
            </w:pPr>
            <w:r>
              <w:rPr>
                <w:b/>
                <w:bCs/>
              </w:rPr>
              <w:t xml:space="preserve">10</w:t>
            </w:r>
          </w:p>
        </w:tc>
        <w:tc>
          <w:tcPr/>
          <w:p>
            <w:pPr>
              <w:pStyle w:val="Compact"/>
            </w:pPr>
            <w:r>
              <w:t xml:space="preserve">🟠</w:t>
            </w:r>
          </w:p>
        </w:tc>
        <w:tc>
          <w:tcPr/>
          <w:p>
            <w:pPr>
              <w:pStyle w:val="Compact"/>
            </w:pPr>
            <w:r>
              <w:t xml:space="preserve">CEO</w:t>
            </w:r>
          </w:p>
        </w:tc>
        <w:tc>
          <w:tcPr/>
          <w:p>
            <w:pPr>
              <w:pStyle w:val="Compact"/>
            </w:pPr>
            <w:r>
              <w:t xml:space="preserve">OSA risk assessment &amp; reporting flows already shipped (Appendix I); ICO DPIA drafted (Appendix E); legal review via NatWest Mishcon panel; quarterly compliance review with external counsel.</w:t>
            </w:r>
          </w:p>
        </w:tc>
      </w:tr>
      <w:tr>
        <w:tc>
          <w:tcPr/>
          <w:p>
            <w:pPr>
              <w:pStyle w:val="Compact"/>
            </w:pPr>
            <w:r>
              <w:rPr>
                <w:b/>
                <w:bCs/>
              </w:rPr>
              <w:t xml:space="preserve">R7</w:t>
            </w:r>
          </w:p>
        </w:tc>
        <w:tc>
          <w:tcPr/>
          <w:p>
            <w:pPr>
              <w:pStyle w:val="Compact"/>
            </w:pPr>
            <w:r>
              <w:rPr>
                <w:b/>
                <w:bCs/>
              </w:rPr>
              <w:t xml:space="preserve">Cybersecurity breach (PII / mood-data leak)</w:t>
            </w:r>
          </w:p>
        </w:tc>
        <w:tc>
          <w:tcPr/>
          <w:p>
            <w:pPr>
              <w:pStyle w:val="Compact"/>
            </w:pPr>
            <w:r>
              <w:t xml:space="preserve">Security</w:t>
            </w:r>
          </w:p>
        </w:tc>
        <w:tc>
          <w:tcPr/>
          <w:p>
            <w:pPr>
              <w:pStyle w:val="Compact"/>
              <w:jc w:val="right"/>
            </w:pPr>
            <w:r>
              <w:t xml:space="preserve">2</w:t>
            </w:r>
          </w:p>
        </w:tc>
        <w:tc>
          <w:tcPr/>
          <w:p>
            <w:pPr>
              <w:pStyle w:val="Compact"/>
              <w:jc w:val="right"/>
            </w:pPr>
            <w:r>
              <w:t xml:space="preserve">5</w:t>
            </w:r>
          </w:p>
        </w:tc>
        <w:tc>
          <w:tcPr/>
          <w:p>
            <w:pPr>
              <w:pStyle w:val="Compact"/>
              <w:jc w:val="right"/>
            </w:pPr>
            <w:r>
              <w:rPr>
                <w:b/>
                <w:bCs/>
              </w:rPr>
              <w:t xml:space="preserve">10</w:t>
            </w:r>
          </w:p>
        </w:tc>
        <w:tc>
          <w:tcPr/>
          <w:p>
            <w:pPr>
              <w:pStyle w:val="Compact"/>
            </w:pPr>
            <w:r>
              <w:t xml:space="preserve">🟠</w:t>
            </w:r>
          </w:p>
        </w:tc>
        <w:tc>
          <w:tcPr/>
          <w:p>
            <w:pPr>
              <w:pStyle w:val="Compact"/>
            </w:pPr>
            <w:r>
              <w:t xml:space="preserve">CTO</w:t>
            </w:r>
          </w:p>
        </w:tc>
        <w:tc>
          <w:tcPr/>
          <w:p>
            <w:pPr>
              <w:pStyle w:val="Compact"/>
            </w:pPr>
            <w:r>
              <w:t xml:space="preserve">Cyber Essentials certification in progress; mood data stored separately from identity data; encryption-at-rest; secrets vault; bug-bounty programme considered once team/revenue grow (not gated on any funding round); penetration test scheduled Q2 Y2.</w:t>
            </w:r>
          </w:p>
        </w:tc>
      </w:tr>
      <w:tr>
        <w:tc>
          <w:tcPr/>
          <w:p>
            <w:pPr>
              <w:pStyle w:val="Compact"/>
            </w:pPr>
            <w:r>
              <w:rPr>
                <w:b/>
                <w:bCs/>
              </w:rPr>
              <w:t xml:space="preserve">R8</w:t>
            </w:r>
          </w:p>
        </w:tc>
        <w:tc>
          <w:tcPr/>
          <w:p>
            <w:pPr>
              <w:pStyle w:val="Compact"/>
            </w:pPr>
            <w:r>
              <w:rPr>
                <w:b/>
                <w:bCs/>
              </w:rPr>
              <w:t xml:space="preserve">Togetherall / TalkCampus copy the</w:t>
            </w:r>
            <w:r>
              <w:rPr>
                <w:b/>
                <w:bCs/>
              </w:rPr>
              <w:t xml:space="preserve"> </w:t>
            </w:r>
            <w:r>
              <w:rPr>
                <w:rStyle w:val="VerbatimChar"/>
                <w:b/>
                <w:bCs/>
              </w:rPr>
              <w:t xml:space="preserve">.ac.uk</w:t>
            </w:r>
            <w:r>
              <w:rPr>
                <w:b/>
                <w:bCs/>
              </w:rPr>
              <w:t xml:space="preserve"> </w:t>
            </w:r>
            <w:r>
              <w:rPr>
                <w:b/>
                <w:bCs/>
              </w:rPr>
              <w:t xml:space="preserve">verification feature</w:t>
            </w:r>
          </w:p>
        </w:tc>
        <w:tc>
          <w:tcPr/>
          <w:p>
            <w:pPr>
              <w:pStyle w:val="Compact"/>
            </w:pPr>
            <w:r>
              <w:t xml:space="preserve">Competitive</w:t>
            </w:r>
          </w:p>
        </w:tc>
        <w:tc>
          <w:tcPr/>
          <w:p>
            <w:pPr>
              <w:pStyle w:val="Compact"/>
              <w:jc w:val="right"/>
            </w:pPr>
            <w:r>
              <w:t xml:space="preserve">3</w:t>
            </w:r>
          </w:p>
        </w:tc>
        <w:tc>
          <w:tcPr/>
          <w:p>
            <w:pPr>
              <w:pStyle w:val="Compact"/>
              <w:jc w:val="right"/>
            </w:pPr>
            <w:r>
              <w:t xml:space="preserve">3</w:t>
            </w:r>
          </w:p>
        </w:tc>
        <w:tc>
          <w:tcPr/>
          <w:p>
            <w:pPr>
              <w:pStyle w:val="Compact"/>
              <w:jc w:val="right"/>
            </w:pPr>
            <w:r>
              <w:rPr>
                <w:b/>
                <w:bCs/>
              </w:rPr>
              <w:t xml:space="preserve">9</w:t>
            </w:r>
          </w:p>
        </w:tc>
        <w:tc>
          <w:tcPr/>
          <w:p>
            <w:pPr>
              <w:pStyle w:val="Compact"/>
            </w:pPr>
            <w:r>
              <w:t xml:space="preserve">🟠</w:t>
            </w:r>
          </w:p>
        </w:tc>
        <w:tc>
          <w:tcPr/>
          <w:p>
            <w:pPr>
              <w:pStyle w:val="Compact"/>
            </w:pPr>
            <w:r>
              <w:t xml:space="preserve">CEO</w:t>
            </w:r>
          </w:p>
        </w:tc>
        <w:tc>
          <w:tcPr/>
          <w:p>
            <w:pPr>
              <w:pStyle w:val="Compact"/>
            </w:pPr>
            <w:r>
              <w:t xml:space="preserve">First-mover positioning on universities; safeguarding webhook + insights dashboard are deeper moats than email-domain logic alone; signed exclusivity clauses with first 5 paying universities.</w:t>
            </w:r>
          </w:p>
        </w:tc>
      </w:tr>
      <w:tr>
        <w:tc>
          <w:tcPr/>
          <w:p>
            <w:pPr>
              <w:pStyle w:val="Compact"/>
            </w:pPr>
            <w:r>
              <w:rPr>
                <w:b/>
                <w:bCs/>
              </w:rPr>
              <w:t xml:space="preserve">R9</w:t>
            </w:r>
          </w:p>
        </w:tc>
        <w:tc>
          <w:tcPr/>
          <w:p>
            <w:pPr>
              <w:pStyle w:val="Compact"/>
            </w:pPr>
            <w:r>
              <w:rPr>
                <w:b/>
                <w:bCs/>
              </w:rPr>
              <w:t xml:space="preserve">Large incumbent (Microsoft, Meta, Pearson) launches a competing student-only network</w:t>
            </w:r>
          </w:p>
        </w:tc>
        <w:tc>
          <w:tcPr/>
          <w:p>
            <w:pPr>
              <w:pStyle w:val="Compact"/>
            </w:pPr>
            <w:r>
              <w:t xml:space="preserve">Competitive</w:t>
            </w:r>
          </w:p>
        </w:tc>
        <w:tc>
          <w:tcPr/>
          <w:p>
            <w:pPr>
              <w:pStyle w:val="Compact"/>
              <w:jc w:val="right"/>
            </w:pPr>
            <w:r>
              <w:t xml:space="preserve">2</w:t>
            </w:r>
          </w:p>
        </w:tc>
        <w:tc>
          <w:tcPr/>
          <w:p>
            <w:pPr>
              <w:pStyle w:val="Compact"/>
              <w:jc w:val="right"/>
            </w:pPr>
            <w:r>
              <w:t xml:space="preserve">4</w:t>
            </w:r>
          </w:p>
        </w:tc>
        <w:tc>
          <w:tcPr/>
          <w:p>
            <w:pPr>
              <w:pStyle w:val="Compact"/>
              <w:jc w:val="right"/>
            </w:pPr>
            <w:r>
              <w:rPr>
                <w:b/>
                <w:bCs/>
              </w:rPr>
              <w:t xml:space="preserve">8</w:t>
            </w:r>
          </w:p>
        </w:tc>
        <w:tc>
          <w:tcPr/>
          <w:p>
            <w:pPr>
              <w:pStyle w:val="Compact"/>
            </w:pPr>
            <w:r>
              <w:t xml:space="preserve">🟡</w:t>
            </w:r>
          </w:p>
        </w:tc>
        <w:tc>
          <w:tcPr/>
          <w:p>
            <w:pPr>
              <w:pStyle w:val="Compact"/>
            </w:pPr>
            <w:r>
              <w:t xml:space="preserve">CEO</w:t>
            </w:r>
          </w:p>
        </w:tc>
        <w:tc>
          <w:tcPr/>
          <w:p>
            <w:pPr>
              <w:pStyle w:val="Compact"/>
            </w:pPr>
            <w:r>
              <w:t xml:space="preserve">Niche depth (safeguarding triage + ICB integration) is unattractive to a horizontal incumbent; build defensible university relationships and data network effects first.</w:t>
            </w:r>
          </w:p>
        </w:tc>
      </w:tr>
      <w:tr>
        <w:tc>
          <w:tcPr/>
          <w:p>
            <w:pPr>
              <w:pStyle w:val="Compact"/>
            </w:pPr>
            <w:r>
              <w:rPr>
                <w:b/>
                <w:bCs/>
              </w:rPr>
              <w:t xml:space="preserve">R10</w:t>
            </w:r>
          </w:p>
        </w:tc>
        <w:tc>
          <w:tcPr/>
          <w:p>
            <w:pPr>
              <w:pStyle w:val="Compact"/>
            </w:pPr>
            <w:r>
              <w:rPr>
                <w:b/>
                <w:bCs/>
              </w:rPr>
              <w:t xml:space="preserve">University buyer (Director of Student Services) treats DEQUAD as line-item rather than strategic</w:t>
            </w:r>
          </w:p>
        </w:tc>
        <w:tc>
          <w:tcPr/>
          <w:p>
            <w:pPr>
              <w:pStyle w:val="Compact"/>
            </w:pPr>
            <w:r>
              <w:t xml:space="preserve">Commercial</w:t>
            </w:r>
          </w:p>
        </w:tc>
        <w:tc>
          <w:tcPr/>
          <w:p>
            <w:pPr>
              <w:pStyle w:val="Compact"/>
              <w:jc w:val="right"/>
            </w:pPr>
            <w:r>
              <w:t xml:space="preserve">3</w:t>
            </w:r>
          </w:p>
        </w:tc>
        <w:tc>
          <w:tcPr/>
          <w:p>
            <w:pPr>
              <w:pStyle w:val="Compact"/>
              <w:jc w:val="right"/>
            </w:pPr>
            <w:r>
              <w:t xml:space="preserve">3</w:t>
            </w:r>
          </w:p>
        </w:tc>
        <w:tc>
          <w:tcPr/>
          <w:p>
            <w:pPr>
              <w:pStyle w:val="Compact"/>
              <w:jc w:val="right"/>
            </w:pPr>
            <w:r>
              <w:rPr>
                <w:b/>
                <w:bCs/>
              </w:rPr>
              <w:t xml:space="preserve">9</w:t>
            </w:r>
          </w:p>
        </w:tc>
        <w:tc>
          <w:tcPr/>
          <w:p>
            <w:pPr>
              <w:pStyle w:val="Compact"/>
            </w:pPr>
            <w:r>
              <w:t xml:space="preserve">🟠</w:t>
            </w:r>
          </w:p>
        </w:tc>
        <w:tc>
          <w:tcPr/>
          <w:p>
            <w:pPr>
              <w:pStyle w:val="Compact"/>
            </w:pPr>
            <w:r>
              <w:t xml:space="preserve">CEO</w:t>
            </w:r>
          </w:p>
        </w:tc>
        <w:tc>
          <w:tcPr/>
          <w:p>
            <w:pPr>
              <w:pStyle w:val="Compact"/>
            </w:pPr>
            <w:r>
              <w:t xml:space="preserve">Position alongside OfS statutory MH condition and UUK Charter so the budget conversation is with the VC or Deputy VC, not just Student Services.</w:t>
            </w:r>
          </w:p>
        </w:tc>
      </w:tr>
      <w:tr>
        <w:tc>
          <w:tcPr/>
          <w:p>
            <w:pPr>
              <w:pStyle w:val="Compact"/>
            </w:pPr>
            <w:r>
              <w:rPr>
                <w:b/>
                <w:bCs/>
              </w:rPr>
              <w:t xml:space="preserve">R11</w:t>
            </w:r>
          </w:p>
        </w:tc>
        <w:tc>
          <w:tcPr/>
          <w:p>
            <w:pPr>
              <w:pStyle w:val="Compact"/>
            </w:pPr>
            <w:r>
              <w:rPr>
                <w:b/>
                <w:bCs/>
              </w:rPr>
              <w:t xml:space="preserve">Cost-of-living squeeze suppresses DEQUAD Premium uptake</w:t>
            </w:r>
          </w:p>
        </w:tc>
        <w:tc>
          <w:tcPr/>
          <w:p>
            <w:pPr>
              <w:pStyle w:val="Compact"/>
            </w:pPr>
            <w:r>
              <w:t xml:space="preserve">Demand</w:t>
            </w:r>
          </w:p>
        </w:tc>
        <w:tc>
          <w:tcPr/>
          <w:p>
            <w:pPr>
              <w:pStyle w:val="Compact"/>
              <w:jc w:val="right"/>
            </w:pPr>
            <w:r>
              <w:t xml:space="preserve">4</w:t>
            </w:r>
          </w:p>
        </w:tc>
        <w:tc>
          <w:tcPr/>
          <w:p>
            <w:pPr>
              <w:pStyle w:val="Compact"/>
              <w:jc w:val="right"/>
            </w:pPr>
            <w:r>
              <w:t xml:space="preserve">2</w:t>
            </w:r>
          </w:p>
        </w:tc>
        <w:tc>
          <w:tcPr/>
          <w:p>
            <w:pPr>
              <w:pStyle w:val="Compact"/>
              <w:jc w:val="right"/>
            </w:pPr>
            <w:r>
              <w:rPr>
                <w:b/>
                <w:bCs/>
              </w:rPr>
              <w:t xml:space="preserve">8</w:t>
            </w:r>
          </w:p>
        </w:tc>
        <w:tc>
          <w:tcPr/>
          <w:p>
            <w:pPr>
              <w:pStyle w:val="Compact"/>
            </w:pPr>
            <w:r>
              <w:t xml:space="preserve">🟡</w:t>
            </w:r>
          </w:p>
        </w:tc>
        <w:tc>
          <w:tcPr/>
          <w:p>
            <w:pPr>
              <w:pStyle w:val="Compact"/>
            </w:pPr>
            <w:r>
              <w:t xml:space="preserve">CEO</w:t>
            </w:r>
          </w:p>
        </w:tc>
        <w:tc>
          <w:tcPr/>
          <w:p>
            <w:pPr>
              <w:pStyle w:val="Compact"/>
            </w:pPr>
            <w:r>
              <w:t xml:space="preserve">B2B revenue covers fixed cost base; premium is upside. £4.99/mo price-point already at lower bound of student tolerance.</w:t>
            </w:r>
          </w:p>
        </w:tc>
      </w:tr>
      <w:tr>
        <w:tc>
          <w:tcPr/>
          <w:p>
            <w:pPr>
              <w:pStyle w:val="Compact"/>
            </w:pPr>
            <w:r>
              <w:rPr>
                <w:b/>
                <w:bCs/>
              </w:rPr>
              <w:t xml:space="preserve">R12</w:t>
            </w:r>
          </w:p>
        </w:tc>
        <w:tc>
          <w:tcPr/>
          <w:p>
            <w:pPr>
              <w:pStyle w:val="Compact"/>
            </w:pPr>
            <w:r>
              <w:rPr>
                <w:b/>
                <w:bCs/>
              </w:rPr>
              <w:t xml:space="preserve">LLM provider price spike (OpenAI / Anthropic) materially raises COGS</w:t>
            </w:r>
          </w:p>
        </w:tc>
        <w:tc>
          <w:tcPr/>
          <w:p>
            <w:pPr>
              <w:pStyle w:val="Compact"/>
            </w:pPr>
            <w:r>
              <w:t xml:space="preserve">Vendor</w:t>
            </w:r>
          </w:p>
        </w:tc>
        <w:tc>
          <w:tcPr/>
          <w:p>
            <w:pPr>
              <w:pStyle w:val="Compact"/>
              <w:jc w:val="right"/>
            </w:pPr>
            <w:r>
              <w:t xml:space="preserve">3</w:t>
            </w:r>
          </w:p>
        </w:tc>
        <w:tc>
          <w:tcPr/>
          <w:p>
            <w:pPr>
              <w:pStyle w:val="Compact"/>
              <w:jc w:val="right"/>
            </w:pPr>
            <w:r>
              <w:t xml:space="preserve">2</w:t>
            </w:r>
          </w:p>
        </w:tc>
        <w:tc>
          <w:tcPr/>
          <w:p>
            <w:pPr>
              <w:pStyle w:val="Compact"/>
              <w:jc w:val="right"/>
            </w:pPr>
            <w:r>
              <w:rPr>
                <w:b/>
                <w:bCs/>
              </w:rPr>
              <w:t xml:space="preserve">6</w:t>
            </w:r>
          </w:p>
        </w:tc>
        <w:tc>
          <w:tcPr/>
          <w:p>
            <w:pPr>
              <w:pStyle w:val="Compact"/>
            </w:pPr>
            <w:r>
              <w:t xml:space="preserve">🟡</w:t>
            </w:r>
          </w:p>
        </w:tc>
        <w:tc>
          <w:tcPr/>
          <w:p>
            <w:pPr>
              <w:pStyle w:val="Compact"/>
            </w:pPr>
            <w:r>
              <w:t xml:space="preserve">CTO</w:t>
            </w:r>
          </w:p>
        </w:tc>
        <w:tc>
          <w:tcPr/>
          <w:p>
            <w:pPr>
              <w:pStyle w:val="Compact"/>
            </w:pPr>
            <w:r>
              <w:t xml:space="preserve">Multi-provider abstraction (Emergent integrations) in place — can swap providers in &lt; 1 day; tier-down to smaller / open-source model for low-risk classification tasks.</w:t>
            </w:r>
          </w:p>
        </w:tc>
      </w:tr>
      <w:tr>
        <w:tc>
          <w:tcPr/>
          <w:p>
            <w:pPr>
              <w:pStyle w:val="Compact"/>
            </w:pPr>
            <w:r>
              <w:rPr>
                <w:b/>
                <w:bCs/>
              </w:rPr>
              <w:t xml:space="preserve">R13</w:t>
            </w:r>
          </w:p>
        </w:tc>
        <w:tc>
          <w:tcPr/>
          <w:p>
            <w:pPr>
              <w:pStyle w:val="Compact"/>
            </w:pPr>
            <w:r>
              <w:rPr>
                <w:b/>
                <w:bCs/>
              </w:rPr>
              <w:t xml:space="preserve">Negative national PR from a misreported case or social-media pile-on</w:t>
            </w:r>
          </w:p>
        </w:tc>
        <w:tc>
          <w:tcPr/>
          <w:p>
            <w:pPr>
              <w:pStyle w:val="Compact"/>
            </w:pPr>
            <w:r>
              <w:t xml:space="preserve">Reputation</w:t>
            </w:r>
          </w:p>
        </w:tc>
        <w:tc>
          <w:tcPr/>
          <w:p>
            <w:pPr>
              <w:pStyle w:val="Compact"/>
              <w:jc w:val="right"/>
            </w:pPr>
            <w:r>
              <w:t xml:space="preserve">2</w:t>
            </w:r>
          </w:p>
        </w:tc>
        <w:tc>
          <w:tcPr/>
          <w:p>
            <w:pPr>
              <w:pStyle w:val="Compact"/>
              <w:jc w:val="right"/>
            </w:pPr>
            <w:r>
              <w:t xml:space="preserve">4</w:t>
            </w:r>
          </w:p>
        </w:tc>
        <w:tc>
          <w:tcPr/>
          <w:p>
            <w:pPr>
              <w:pStyle w:val="Compact"/>
              <w:jc w:val="right"/>
            </w:pPr>
            <w:r>
              <w:rPr>
                <w:b/>
                <w:bCs/>
              </w:rPr>
              <w:t xml:space="preserve">8</w:t>
            </w:r>
          </w:p>
        </w:tc>
        <w:tc>
          <w:tcPr/>
          <w:p>
            <w:pPr>
              <w:pStyle w:val="Compact"/>
            </w:pPr>
            <w:r>
              <w:t xml:space="preserve">🟡</w:t>
            </w:r>
          </w:p>
        </w:tc>
        <w:tc>
          <w:tcPr/>
          <w:p>
            <w:pPr>
              <w:pStyle w:val="Compact"/>
            </w:pPr>
            <w:r>
              <w:t xml:space="preserve">CEO</w:t>
            </w:r>
          </w:p>
        </w:tc>
        <w:tc>
          <w:tcPr/>
          <w:p>
            <w:pPr>
              <w:pStyle w:val="Compact"/>
            </w:pPr>
            <w:r>
              <w:t xml:space="preserve">Reactive PR plan drawing on NatWest Accelerator mentoring; clear transparency policy; clinical advisory board to provide third-party voice.</w:t>
            </w:r>
          </w:p>
        </w:tc>
      </w:tr>
      <w:tr>
        <w:tc>
          <w:tcPr/>
          <w:p>
            <w:pPr>
              <w:pStyle w:val="Compact"/>
            </w:pPr>
            <w:r>
              <w:rPr>
                <w:b/>
                <w:bCs/>
              </w:rPr>
              <w:t xml:space="preserve">R14</w:t>
            </w:r>
          </w:p>
        </w:tc>
        <w:tc>
          <w:tcPr/>
          <w:p>
            <w:pPr>
              <w:pStyle w:val="Compact"/>
            </w:pPr>
            <w:r>
              <w:rPr>
                <w:b/>
                <w:bCs/>
              </w:rPr>
              <w:t xml:space="preserve">Key engineering hire leaves in Y2</w:t>
            </w:r>
          </w:p>
        </w:tc>
        <w:tc>
          <w:tcPr/>
          <w:p>
            <w:pPr>
              <w:pStyle w:val="Compact"/>
            </w:pPr>
            <w:r>
              <w:t xml:space="preserve">Team</w:t>
            </w:r>
          </w:p>
        </w:tc>
        <w:tc>
          <w:tcPr/>
          <w:p>
            <w:pPr>
              <w:pStyle w:val="Compact"/>
              <w:jc w:val="right"/>
            </w:pPr>
            <w:r>
              <w:t xml:space="preserve">2</w:t>
            </w:r>
          </w:p>
        </w:tc>
        <w:tc>
          <w:tcPr/>
          <w:p>
            <w:pPr>
              <w:pStyle w:val="Compact"/>
              <w:jc w:val="right"/>
            </w:pPr>
            <w:r>
              <w:t xml:space="preserve">3</w:t>
            </w:r>
          </w:p>
        </w:tc>
        <w:tc>
          <w:tcPr/>
          <w:p>
            <w:pPr>
              <w:pStyle w:val="Compact"/>
              <w:jc w:val="right"/>
            </w:pPr>
            <w:r>
              <w:rPr>
                <w:b/>
                <w:bCs/>
              </w:rPr>
              <w:t xml:space="preserve">6</w:t>
            </w:r>
          </w:p>
        </w:tc>
        <w:tc>
          <w:tcPr/>
          <w:p>
            <w:pPr>
              <w:pStyle w:val="Compact"/>
            </w:pPr>
            <w:r>
              <w:t xml:space="preserve">🟡</w:t>
            </w:r>
          </w:p>
        </w:tc>
        <w:tc>
          <w:tcPr/>
          <w:p>
            <w:pPr>
              <w:pStyle w:val="Compact"/>
            </w:pPr>
            <w:r>
              <w:t xml:space="preserve">CTO</w:t>
            </w:r>
          </w:p>
        </w:tc>
        <w:tc>
          <w:tcPr/>
          <w:p>
            <w:pPr>
              <w:pStyle w:val="Compact"/>
            </w:pPr>
            <w:r>
              <w:t xml:space="preserve">EMI options with 4-year vest + 1-year cliff; documentation and pairing culture; contractor pool identified for emergency cover.</w:t>
            </w:r>
          </w:p>
        </w:tc>
      </w:tr>
      <w:tr>
        <w:tc>
          <w:tcPr/>
          <w:p>
            <w:pPr>
              <w:pStyle w:val="Compact"/>
            </w:pPr>
            <w:r>
              <w:rPr>
                <w:b/>
                <w:bCs/>
              </w:rPr>
              <w:t xml:space="preserve">R15</w:t>
            </w:r>
          </w:p>
        </w:tc>
        <w:tc>
          <w:tcPr/>
          <w:p>
            <w:pPr>
              <w:pStyle w:val="Compact"/>
            </w:pPr>
            <w:r>
              <w:rPr>
                <w:b/>
                <w:bCs/>
              </w:rPr>
              <w:t xml:space="preserve">Tighter UK immigration regime restricts future hires</w:t>
            </w:r>
          </w:p>
        </w:tc>
        <w:tc>
          <w:tcPr/>
          <w:p>
            <w:pPr>
              <w:pStyle w:val="Compact"/>
            </w:pPr>
            <w:r>
              <w:t xml:space="preserve">Regulatory</w:t>
            </w:r>
          </w:p>
        </w:tc>
        <w:tc>
          <w:tcPr/>
          <w:p>
            <w:pPr>
              <w:pStyle w:val="Compact"/>
              <w:jc w:val="right"/>
            </w:pPr>
            <w:r>
              <w:t xml:space="preserve">3</w:t>
            </w:r>
          </w:p>
        </w:tc>
        <w:tc>
          <w:tcPr/>
          <w:p>
            <w:pPr>
              <w:pStyle w:val="Compact"/>
              <w:jc w:val="right"/>
            </w:pPr>
            <w:r>
              <w:t xml:space="preserve">2</w:t>
            </w:r>
          </w:p>
        </w:tc>
        <w:tc>
          <w:tcPr/>
          <w:p>
            <w:pPr>
              <w:pStyle w:val="Compact"/>
              <w:jc w:val="right"/>
            </w:pPr>
            <w:r>
              <w:rPr>
                <w:b/>
                <w:bCs/>
              </w:rPr>
              <w:t xml:space="preserve">6</w:t>
            </w:r>
          </w:p>
        </w:tc>
        <w:tc>
          <w:tcPr/>
          <w:p>
            <w:pPr>
              <w:pStyle w:val="Compact"/>
            </w:pPr>
            <w:r>
              <w:t xml:space="preserve">🟡</w:t>
            </w:r>
          </w:p>
        </w:tc>
        <w:tc>
          <w:tcPr/>
          <w:p>
            <w:pPr>
              <w:pStyle w:val="Compact"/>
            </w:pPr>
            <w:r>
              <w:t xml:space="preserve">CEO</w:t>
            </w:r>
          </w:p>
        </w:tc>
        <w:tc>
          <w:tcPr/>
          <w:p>
            <w:pPr>
              <w:pStyle w:val="Compact"/>
            </w:pPr>
            <w:r>
              <w:t xml:space="preserve">Both co-founders already UK-resident; first 12 hires are UK-only; secure sponsor licence once headcount &gt; 10.</w:t>
            </w:r>
          </w:p>
        </w:tc>
      </w:tr>
      <w:tr>
        <w:tc>
          <w:tcPr/>
          <w:p>
            <w:pPr>
              <w:pStyle w:val="Compact"/>
            </w:pPr>
            <w:r>
              <w:rPr>
                <w:b/>
                <w:bCs/>
              </w:rPr>
              <w:t xml:space="preserve">R16</w:t>
            </w:r>
          </w:p>
        </w:tc>
        <w:tc>
          <w:tcPr/>
          <w:p>
            <w:pPr>
              <w:pStyle w:val="Compact"/>
            </w:pPr>
            <w:r>
              <w:rPr>
                <w:b/>
                <w:bCs/>
              </w:rPr>
              <w:t xml:space="preserve">Founder burnout (working unpaid through Y1–Y2)</w:t>
            </w:r>
          </w:p>
        </w:tc>
        <w:tc>
          <w:tcPr/>
          <w:p>
            <w:pPr>
              <w:pStyle w:val="Compact"/>
            </w:pPr>
            <w:r>
              <w:t xml:space="preserve">Team / Personal</w:t>
            </w:r>
          </w:p>
        </w:tc>
        <w:tc>
          <w:tcPr/>
          <w:p>
            <w:pPr>
              <w:pStyle w:val="Compact"/>
              <w:jc w:val="right"/>
            </w:pPr>
            <w:r>
              <w:t xml:space="preserve">3</w:t>
            </w:r>
          </w:p>
        </w:tc>
        <w:tc>
          <w:tcPr/>
          <w:p>
            <w:pPr>
              <w:pStyle w:val="Compact"/>
              <w:jc w:val="right"/>
            </w:pPr>
            <w:r>
              <w:t xml:space="preserve">3</w:t>
            </w:r>
          </w:p>
        </w:tc>
        <w:tc>
          <w:tcPr/>
          <w:p>
            <w:pPr>
              <w:pStyle w:val="Compact"/>
              <w:jc w:val="right"/>
            </w:pPr>
            <w:r>
              <w:rPr>
                <w:b/>
                <w:bCs/>
              </w:rPr>
              <w:t xml:space="preserve">9</w:t>
            </w:r>
          </w:p>
        </w:tc>
        <w:tc>
          <w:tcPr/>
          <w:p>
            <w:pPr>
              <w:pStyle w:val="Compact"/>
            </w:pPr>
            <w:r>
              <w:t xml:space="preserve">🟠</w:t>
            </w:r>
          </w:p>
        </w:tc>
        <w:tc>
          <w:tcPr/>
          <w:p>
            <w:pPr>
              <w:pStyle w:val="Compact"/>
            </w:pPr>
            <w:r>
              <w:t xml:space="preserve">Both founders</w:t>
            </w:r>
          </w:p>
        </w:tc>
        <w:tc>
          <w:tcPr/>
          <w:p>
            <w:pPr>
              <w:pStyle w:val="Compact"/>
            </w:pPr>
            <w:r>
              <w:t xml:space="preserve">Founders draw no DEQUAD salary until Y3, and fund living costs from existing employment/freelance income throughout — a deliberate, disclosed choice, not a funding-gated one; mandated weekly off-day; mentor check-ins through NatWest Accelerator.</w:t>
            </w:r>
          </w:p>
        </w:tc>
      </w:tr>
    </w:tbl>
    <w:p>
      <w:r>
        <w:pict>
          <v:rect style="width:0;height:1.5pt" o:hralign="center" o:hrstd="t" o:hr="t"/>
        </w:pict>
      </w:r>
    </w:p>
    <w:bookmarkEnd w:id="11"/>
    <w:bookmarkStart w:id="12" w:name="risk-dashboard-year-1-focus"/>
    <w:p>
      <w:pPr>
        <w:pStyle w:val="Heading2"/>
      </w:pPr>
      <w:r>
        <w:t xml:space="preserve">Risk dashboard — Year 1 focus</w:t>
      </w:r>
    </w:p>
    <w:p>
      <w:pPr>
        <w:pStyle w:val="FirstParagraph"/>
      </w:pPr>
      <w:r>
        <w:t xml:space="preserve">The seven highest-scoring risks define the Year-1 management agenda: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Active monitoring</w:t>
            </w:r>
          </w:p>
        </w:tc>
      </w:tr>
      <w:tr>
        <w:tc>
          <w:tcPr/>
          <w:p>
            <w:pPr>
              <w:pStyle w:val="Compact"/>
            </w:pPr>
            <w:r>
              <w:t xml:space="preserve">R1 — Bedfordshire pilot conversation</w:t>
            </w:r>
          </w:p>
        </w:tc>
        <w:tc>
          <w:tcPr/>
          <w:p>
            <w:pPr>
              <w:pStyle w:val="Compact"/>
            </w:pPr>
            <w:r>
              <w:t xml:space="preserve">Weekly pipeline review with CEO; conversation status tracked honestly (no assumption of conversion) each Friday.</w:t>
            </w:r>
          </w:p>
        </w:tc>
      </w:tr>
      <w:tr>
        <w:tc>
          <w:tcPr/>
          <w:p>
            <w:pPr>
              <w:pStyle w:val="Compact"/>
            </w:pPr>
            <w:r>
              <w:t xml:space="preserve">R2 — Co-founder appointment</w:t>
            </w:r>
          </w:p>
        </w:tc>
        <w:tc>
          <w:tcPr/>
          <w:p>
            <w:pPr>
              <w:pStyle w:val="Compact"/>
            </w:pPr>
            <w:r>
              <w:t xml:space="preserve">Term sheet + commencement date frozen by end M2.</w:t>
            </w:r>
          </w:p>
        </w:tc>
      </w:tr>
      <w:tr>
        <w:tc>
          <w:tcPr/>
          <w:p>
            <w:pPr>
              <w:pStyle w:val="Compact"/>
            </w:pPr>
            <w:r>
              <w:t xml:space="preserve">R3 — Revenue vs. plan</w:t>
            </w:r>
          </w:p>
        </w:tc>
        <w:tc>
          <w:tcPr/>
          <w:p>
            <w:pPr>
              <w:pStyle w:val="Compact"/>
            </w:pPr>
            <w:r>
              <w:t xml:space="preserve">Actuals reviewed monthly against Section 11 targets; Y3 hire and founder pay only triggered once revenue actually supports them.</w:t>
            </w:r>
          </w:p>
        </w:tc>
      </w:tr>
      <w:tr>
        <w:tc>
          <w:tcPr/>
          <w:p>
            <w:pPr>
              <w:pStyle w:val="Compact"/>
            </w:pPr>
            <w:r>
              <w:t xml:space="preserve">R4 — Safeguarding false negative</w:t>
            </w:r>
          </w:p>
        </w:tc>
        <w:tc>
          <w:tcPr/>
          <w:p>
            <w:pPr>
              <w:pStyle w:val="Compact"/>
            </w:pPr>
            <w:r>
              <w:t xml:space="preserve">Sample of flagged + un-flagged cases reviewed each week by CEO + clinical advisor (informal until Q2 Y2).</w:t>
            </w:r>
          </w:p>
        </w:tc>
      </w:tr>
      <w:tr>
        <w:tc>
          <w:tcPr/>
          <w:p>
            <w:pPr>
              <w:pStyle w:val="Compact"/>
            </w:pPr>
            <w:r>
              <w:t xml:space="preserve">R5 — Safeguarding false positive</w:t>
            </w:r>
          </w:p>
        </w:tc>
        <w:tc>
          <w:tcPr/>
          <w:p>
            <w:pPr>
              <w:pStyle w:val="Compact"/>
            </w:pPr>
            <w:r>
              <w:t xml:space="preserve">Same review cadence as R4.</w:t>
            </w:r>
          </w:p>
        </w:tc>
      </w:tr>
      <w:tr>
        <w:tc>
          <w:tcPr/>
          <w:p>
            <w:pPr>
              <w:pStyle w:val="Compact"/>
            </w:pPr>
            <w:r>
              <w:t xml:space="preserve">R6 — Regulatory compliance</w:t>
            </w:r>
          </w:p>
        </w:tc>
        <w:tc>
          <w:tcPr/>
          <w:p>
            <w:pPr>
              <w:pStyle w:val="Compact"/>
            </w:pPr>
            <w:r>
              <w:t xml:space="preserve">Quarterly review with legal counsel (via NatWest Mishcon panel).</w:t>
            </w:r>
          </w:p>
        </w:tc>
      </w:tr>
      <w:tr>
        <w:tc>
          <w:tcPr/>
          <w:p>
            <w:pPr>
              <w:pStyle w:val="Compact"/>
            </w:pPr>
            <w:r>
              <w:t xml:space="preserve">R7 — Cyber breach</w:t>
            </w:r>
          </w:p>
        </w:tc>
        <w:tc>
          <w:tcPr/>
          <w:p>
            <w:pPr>
              <w:pStyle w:val="Compact"/>
            </w:pPr>
            <w:r>
              <w:t xml:space="preserve">Monthly secrets-rotation; quarterly dependency audit.</w:t>
            </w:r>
          </w:p>
        </w:tc>
      </w:tr>
    </w:tbl>
    <w:p>
      <w:r>
        <w:pict>
          <v:rect style="width:0;height:1.5pt" o:hralign="center" o:hrstd="t" o:hr="t"/>
        </w:pict>
      </w:r>
    </w:p>
    <w:bookmarkEnd w:id="12"/>
    <w:bookmarkStart w:id="13" w:name="risks-accepted"/>
    <w:p>
      <w:pPr>
        <w:pStyle w:val="Heading2"/>
      </w:pPr>
      <w:r>
        <w:t xml:space="preserve">Risks accepted (🟢)</w:t>
      </w:r>
    </w:p>
    <w:p>
      <w:pPr>
        <w:pStyle w:val="FirstParagraph"/>
      </w:pPr>
      <w:r>
        <w:t xml:space="preserve">The founders have accepted (and disclosed to UKES) the following lower-priority risks without active mitigation in Year 1:</w:t>
      </w:r>
    </w:p>
    <w:p>
      <w:pPr>
        <w:pStyle w:val="Compact"/>
        <w:numPr>
          <w:ilvl w:val="0"/>
          <w:numId w:val="1002"/>
        </w:numPr>
      </w:pPr>
      <w:r>
        <w:rPr>
          <w:b/>
          <w:bCs/>
        </w:rPr>
        <w:t xml:space="preserve">R-A1</w:t>
      </w:r>
      <w:r>
        <w:t xml:space="preserve"> </w:t>
      </w:r>
      <w:r>
        <w:t xml:space="preserve">Foreign-exchange exposure on USD-denominated cloud bills — accepted: &lt; 10% of COGS.</w:t>
      </w:r>
    </w:p>
    <w:p>
      <w:pPr>
        <w:pStyle w:val="Compact"/>
        <w:numPr>
          <w:ilvl w:val="0"/>
          <w:numId w:val="1002"/>
        </w:numPr>
      </w:pPr>
      <w:r>
        <w:rPr>
          <w:b/>
          <w:bCs/>
        </w:rPr>
        <w:t xml:space="preserve">R-A2</w:t>
      </w:r>
      <w:r>
        <w:t xml:space="preserve"> </w:t>
      </w:r>
      <w:r>
        <w:t xml:space="preserve">Personal liability for limited director duties — accepted; standard D&amp;O insurance to be reviewed once headcount and revenue grow, not gated on any funding round.</w:t>
      </w:r>
    </w:p>
    <w:p>
      <w:pPr>
        <w:pStyle w:val="Compact"/>
        <w:numPr>
          <w:ilvl w:val="0"/>
          <w:numId w:val="1002"/>
        </w:numPr>
      </w:pPr>
      <w:r>
        <w:rPr>
          <w:b/>
          <w:bCs/>
        </w:rPr>
        <w:t xml:space="preserve">R-A3</w:t>
      </w:r>
      <w:r>
        <w:t xml:space="preserve"> </w:t>
      </w:r>
      <w:r>
        <w:t xml:space="preserve">Domain-name / trademark dispute with similar-name companies — accepted; full UKIPO and EUIPO trademark searches completed pre-incorporation; no conflicts found.</w:t>
      </w:r>
    </w:p>
    <w:p>
      <w:r>
        <w:pict>
          <v:rect style="width:0;height:1.5pt" o:hralign="center" o:hrstd="t" o:hr="t"/>
        </w:pict>
      </w:r>
    </w:p>
    <w:bookmarkEnd w:id="13"/>
    <w:bookmarkStart w:id="14" w:name="governance"/>
    <w:p>
      <w:pPr>
        <w:pStyle w:val="Heading2"/>
      </w:pPr>
      <w:r>
        <w:t xml:space="preserve">Governance</w:t>
      </w:r>
    </w:p>
    <w:p>
      <w:pPr>
        <w:pStyle w:val="Compact"/>
        <w:numPr>
          <w:ilvl w:val="0"/>
          <w:numId w:val="1003"/>
        </w:numPr>
      </w:pPr>
      <w:r>
        <w:rPr>
          <w:b/>
          <w:bCs/>
        </w:rPr>
        <w:t xml:space="preserve">Monthly:</w:t>
      </w:r>
      <w:r>
        <w:t xml:space="preserve"> </w:t>
      </w:r>
      <w:r>
        <w:t xml:space="preserve">Founders review the full register; update RAG scores; surface new risks; close mitigated risks.</w:t>
      </w:r>
    </w:p>
    <w:p>
      <w:pPr>
        <w:pStyle w:val="Compact"/>
        <w:numPr>
          <w:ilvl w:val="0"/>
          <w:numId w:val="1003"/>
        </w:numPr>
      </w:pPr>
      <w:r>
        <w:rPr>
          <w:b/>
          <w:bCs/>
        </w:rPr>
        <w:t xml:space="preserve">Quarterly:</w:t>
      </w:r>
      <w:r>
        <w:t xml:space="preserve"> </w:t>
      </w:r>
      <w:r>
        <w:t xml:space="preserve">External advisor (NatWest Accelerator programme manager) reviews the register and challenges any rosy scoring.</w:t>
      </w:r>
    </w:p>
    <w:p>
      <w:pPr>
        <w:pStyle w:val="Compact"/>
        <w:numPr>
          <w:ilvl w:val="0"/>
          <w:numId w:val="1003"/>
        </w:numPr>
      </w:pPr>
      <w:r>
        <w:rPr>
          <w:b/>
          <w:bCs/>
        </w:rPr>
        <w:t xml:space="preserve">If the team grows beyond the founders (Y3+):</w:t>
      </w:r>
      <w:r>
        <w:t xml:space="preserve"> </w:t>
      </w:r>
      <w:r>
        <w:t xml:space="preserve">Risk register becomes a standing agenda item at team meetings; a formal board paper and independent non-executive director are considered once headcount and revenue justify the governance overhead — not gated on any external funding round, none of which is assumed in this plan.</w:t>
      </w:r>
    </w:p>
    <w:p>
      <w:r>
        <w:pict>
          <v:rect style="width:0;height:1.5pt" o:hralign="center" o:hrstd="t" o:hr="t"/>
        </w:pict>
      </w:r>
    </w:p>
    <w:p>
      <w:pPr>
        <w:pStyle w:val="FirstParagraph"/>
      </w:pPr>
      <w:r>
        <w:rPr>
          <w:i/>
          <w:iCs/>
        </w:rPr>
        <w:t xml:space="preserve">Written and prepared by Yusuf Quadri, Founder &amp; CEO, DEQUAD Ltd — submitted to UKES as Appendix L to the Innovator Founder visa endorsement application, August 2026.</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DEQUAD_Risk_Register</dc:title>
  <dc:creator/>
  <cp:keywords/>
  <dcterms:created xsi:type="dcterms:W3CDTF">2026-08-18T23:31:41Z</dcterms:created>
  <dcterms:modified xsi:type="dcterms:W3CDTF">2026-08-18T23:31:41Z</dcterms:modified>
</cp:coreProperties>
</file>

<file path=docProps/custom.xml><?xml version="1.0" encoding="utf-8"?>
<Properties xmlns="http://schemas.openxmlformats.org/officeDocument/2006/custom-properties" xmlns:vt="http://schemas.openxmlformats.org/officeDocument/2006/docPropsVTypes"/>
</file>