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D_wellbeing_baseline_methodology</w:t>
      </w:r>
    </w:p>
    <w:bookmarkStart w:id="24" w:name="X2eacaae690525972fedecf8337613c4f6de7895"/>
    <w:p>
      <w:pPr>
        <w:pStyle w:val="Heading1"/>
      </w:pPr>
      <w:r>
        <w:t xml:space="preserve">Appendix D — DEQUAD Wellbeing-Baseline Methodology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rPr>
          <w:i/>
          <w:iCs/>
        </w:rPr>
        <w:t xml:space="preserve">Per-user wellbeing-baseline detection: a low-friction approach to early identification of student mental-health deterioration in a closed peer network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Yusuf Quadri, Founder &amp; CEO, DEQUAD — written by the founder, drawing on his professional safeguarding practice (Change Grow Live / NHS)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v0.3 — draft for endorsement submission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</w:t>
      </w:r>
    </w:p>
    <w:p>
      <w:r>
        <w:pict>
          <v:rect style="width:0;height:1.5pt" o:hralign="center" o:hrstd="t" o:hr="t"/>
        </w:pict>
      </w:r>
    </w:p>
    <w:bookmarkStart w:id="9" w:name="d.1-abstract"/>
    <w:p>
      <w:pPr>
        <w:pStyle w:val="Heading2"/>
      </w:pPr>
      <w:r>
        <w:t xml:space="preserve">D.1 Abstract</w:t>
      </w:r>
    </w:p>
    <w:p>
      <w:pPr>
        <w:pStyle w:val="FirstParagraph"/>
      </w:pPr>
      <w:r>
        <w:t xml:space="preserve">Most consumer mood-tracking applications use absolute-score thresholds (e.g. </w:t>
      </w:r>
      <w:r>
        <w:t xml:space="preserve">“if mood ≤ 2/5, suggest support”</w:t>
      </w:r>
      <w:r>
        <w:t xml:space="preserve">) to identify users at risk. Absolute thresholds are easy to implement but generate high rates of false positives in heterogeneous populations: a student whose baseline mood sits at 3/5 is treated identically to one whose baseline is 4/5. In the student-wellbeing context this matters because:</w:t>
      </w:r>
    </w:p>
    <w:p>
      <w:pPr>
        <w:pStyle w:val="Compact"/>
        <w:numPr>
          <w:ilvl w:val="0"/>
          <w:numId w:val="1001"/>
        </w:numPr>
      </w:pPr>
      <w:r>
        <w:t xml:space="preserve">False positives erode user trust (</w:t>
      </w:r>
      <w:r>
        <w:t xml:space="preserve">“the app keeps telling me to call Samaritans when I’m just stressed about a deadline”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False negatives are catastrophic — a normally-cheerful student dipping from 5 to 3 may be in greater relative distress than a chronically-low student logging 3.</w:t>
      </w:r>
    </w:p>
    <w:p>
      <w:pPr>
        <w:pStyle w:val="FirstParagraph"/>
      </w:pPr>
      <w:r>
        <w:t xml:space="preserve">DEQUAD’s wellbeing engine builds a</w:t>
      </w:r>
      <w:r>
        <w:t xml:space="preserve"> </w:t>
      </w:r>
      <w:r>
        <w:rPr>
          <w:b/>
          <w:bCs/>
        </w:rPr>
        <w:t xml:space="preserve">per-user baseline</w:t>
      </w:r>
      <w:r>
        <w:t xml:space="preserve"> </w:t>
      </w:r>
      <w:r>
        <w:t xml:space="preserve">from the user’s first 14 daily check-ins and detects statistically meaningful deviation against that personal baseline. This document describes the methodology, its assumptions, and the validation plan.</w:t>
      </w:r>
    </w:p>
    <w:p>
      <w:r>
        <w:pict>
          <v:rect style="width:0;height:1.5pt" o:hralign="center" o:hrstd="t" o:hr="t"/>
        </w:pict>
      </w:r>
    </w:p>
    <w:bookmarkEnd w:id="9"/>
    <w:bookmarkStart w:id="14" w:name="d.2-method"/>
    <w:p>
      <w:pPr>
        <w:pStyle w:val="Heading2"/>
      </w:pPr>
      <w:r>
        <w:t xml:space="preserve">D.2 Method</w:t>
      </w:r>
    </w:p>
    <w:bookmarkStart w:id="10" w:name="d.2.1-data-collected"/>
    <w:p>
      <w:pPr>
        <w:pStyle w:val="Heading3"/>
      </w:pPr>
      <w:r>
        <w:t xml:space="preserve">D.2.1 Data collected</w:t>
      </w:r>
    </w:p>
    <w:p>
      <w:pPr>
        <w:pStyle w:val="FirstParagraph"/>
      </w:pPr>
      <w:r>
        <w:t xml:space="preserve">Each daily check-in captures: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mood_score</w:t>
            </w:r>
          </w:p>
        </w:tc>
        <w:tc>
          <w:tcPr/>
          <w:p>
            <w:pPr>
              <w:pStyle w:val="Compact"/>
            </w:pPr>
            <w:r>
              <w:t xml:space="preserve">Integer 1–5</w:t>
            </w:r>
          </w:p>
        </w:tc>
        <w:tc>
          <w:tcPr/>
          <w:p>
            <w:pPr>
              <w:pStyle w:val="Compact"/>
            </w:pPr>
            <w:r>
              <w:t xml:space="preserve">1 = very low, 5 = very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mood_note</w:t>
            </w:r>
          </w:p>
        </w:tc>
        <w:tc>
          <w:tcPr/>
          <w:p>
            <w:pPr>
              <w:pStyle w:val="Compact"/>
            </w:pPr>
            <w:r>
              <w:t xml:space="preserve">Text (optional)</w:t>
            </w:r>
          </w:p>
        </w:tc>
        <w:tc>
          <w:tcPr/>
          <w:p>
            <w:pPr>
              <w:pStyle w:val="Compact"/>
            </w:pPr>
            <w:r>
              <w:t xml:space="preserve">Max 500 chars; scanned for crisis keywords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 (UTC)</w:t>
            </w:r>
          </w:p>
        </w:tc>
        <w:tc>
          <w:tcPr/>
          <w:p>
            <w:pPr>
              <w:pStyle w:val="Compact"/>
            </w:pPr>
            <w:r>
              <w:t xml:space="preserve">Server-set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Foreign key to user record</w:t>
            </w:r>
          </w:p>
        </w:tc>
      </w:tr>
    </w:tbl>
    <w:bookmarkEnd w:id="10"/>
    <w:bookmarkStart w:id="11" w:name="d.2.2-baseline-window"/>
    <w:p>
      <w:pPr>
        <w:pStyle w:val="Heading3"/>
      </w:pPr>
      <w:r>
        <w:t xml:space="preserve">D.2.2 Baseline window</w:t>
      </w:r>
    </w:p>
    <w:p>
      <w:pPr>
        <w:pStyle w:val="FirstParagraph"/>
      </w:pPr>
      <w:r>
        <w:t xml:space="preserve">For each user, the first 14 daily check-ins (the</w:t>
      </w:r>
      <w:r>
        <w:t xml:space="preserve"> </w:t>
      </w:r>
      <w:r>
        <w:rPr>
          <w:b/>
          <w:bCs/>
        </w:rPr>
        <w:t xml:space="preserve">calibration window</w:t>
      </w:r>
      <w:r>
        <w:t xml:space="preserve">) establish: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μ_user</w:t>
      </w:r>
      <w:r>
        <w:t xml:space="preserve"> </w:t>
      </w:r>
      <w:r>
        <w:t xml:space="preserve">— arithmetic mean of</w:t>
      </w:r>
      <w:r>
        <w:t xml:space="preserve"> </w:t>
      </w:r>
      <w:r>
        <w:rPr>
          <w:rStyle w:val="VerbatimChar"/>
        </w:rPr>
        <w:t xml:space="preserve">mood_score</w:t>
      </w:r>
      <w:r>
        <w:t xml:space="preserve"> </w:t>
      </w:r>
      <w:r>
        <w:t xml:space="preserve">over the calibration window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σ_user</w:t>
      </w:r>
      <w:r>
        <w:t xml:space="preserve"> </w:t>
      </w:r>
      <w:r>
        <w:t xml:space="preserve">— standard deviation of</w:t>
      </w:r>
      <w:r>
        <w:t xml:space="preserve"> </w:t>
      </w:r>
      <w:r>
        <w:rPr>
          <w:rStyle w:val="VerbatimChar"/>
        </w:rPr>
        <w:t xml:space="preserve">mood_score</w:t>
      </w:r>
      <w:r>
        <w:t xml:space="preserve"> </w:t>
      </w:r>
      <w:r>
        <w:t xml:space="preserve">over the calibration window, clamped to a minimum of 0.5 to avoid zero-variance edge cases</w:t>
      </w:r>
    </w:p>
    <w:p>
      <w:pPr>
        <w:pStyle w:val="FirstParagraph"/>
      </w:pPr>
      <w:r>
        <w:t xml:space="preserve">If a user logs fewer than 14 check-ins in their first 30 days, the engine uses cohort-level priors (mean=3.5, sd=1.0 — drawn from Student Minds 2024 normative data) until 14 own data points are accumulated.</w:t>
      </w:r>
    </w:p>
    <w:bookmarkEnd w:id="11"/>
    <w:bookmarkStart w:id="12" w:name="Xd9c7a618c192d865f0211120fdad271dfd087d6"/>
    <w:p>
      <w:pPr>
        <w:pStyle w:val="Heading3"/>
      </w:pPr>
      <w:r>
        <w:t xml:space="preserve">D.2.3 Deviation detection (z-score approach)</w:t>
      </w:r>
    </w:p>
    <w:p>
      <w:pPr>
        <w:pStyle w:val="FirstParagraph"/>
      </w:pPr>
      <w:r>
        <w:t xml:space="preserve">For every new check-in, the engine computes:</w:t>
      </w:r>
    </w:p>
    <w:p>
      <w:pPr>
        <w:pStyle w:val="SourceCode"/>
      </w:pPr>
      <w:r>
        <w:rPr>
          <w:rStyle w:val="VerbatimChar"/>
        </w:rPr>
        <w:t xml:space="preserve">z_today = (mood_score_today - μ_user) / σ_user</w:t>
      </w:r>
    </w:p>
    <w:p>
      <w:pPr>
        <w:pStyle w:val="FirstParagraph"/>
      </w:pPr>
      <w:r>
        <w:t xml:space="preserve">A rolling 7-day average of</w:t>
      </w:r>
      <w:r>
        <w:t xml:space="preserve"> </w:t>
      </w:r>
      <w:r>
        <w:rPr>
          <w:rStyle w:val="VerbatimChar"/>
        </w:rPr>
        <w:t xml:space="preserve">z_today</w:t>
      </w:r>
      <w:r>
        <w:t xml:space="preserve"> </w:t>
      </w:r>
      <w:r>
        <w:t xml:space="preserve">is maintained. If the rolling average falls below</w:t>
      </w:r>
      <w:r>
        <w:t xml:space="preserve"> </w:t>
      </w:r>
      <w:r>
        <w:rPr>
          <w:b/>
          <w:bCs/>
        </w:rPr>
        <w:t xml:space="preserve">−1.5 standard deviations</w:t>
      </w:r>
      <w:r>
        <w:t xml:space="preserve"> </w:t>
      </w:r>
      <w:r>
        <w:t xml:space="preserve">for two consecutive days, the engine fires a</w:t>
      </w:r>
      <w:r>
        <w:t xml:space="preserve"> </w:t>
      </w:r>
      <w:r>
        <w:rPr>
          <w:b/>
          <w:bCs/>
        </w:rPr>
        <w:t xml:space="preserve">“deterioration nudge”</w:t>
      </w:r>
      <w:r>
        <w:t xml:space="preserve"> </w:t>
      </w:r>
      <w:r>
        <w:t xml:space="preserve">— a low-friction in-app prompt offering to connect the user to:</w:t>
      </w:r>
    </w:p>
    <w:p>
      <w:pPr>
        <w:pStyle w:val="Compact"/>
        <w:numPr>
          <w:ilvl w:val="0"/>
          <w:numId w:val="1003"/>
        </w:numPr>
      </w:pPr>
      <w:r>
        <w:t xml:space="preserve">The user’s chosen support contacts (configurable in their profile);</w:t>
      </w:r>
    </w:p>
    <w:p>
      <w:pPr>
        <w:pStyle w:val="Compact"/>
        <w:numPr>
          <w:ilvl w:val="0"/>
          <w:numId w:val="1003"/>
        </w:numPr>
      </w:pPr>
      <w:r>
        <w:t xml:space="preserve">The DEQUAD 24/7 support chat;</w:t>
      </w:r>
    </w:p>
    <w:p>
      <w:pPr>
        <w:pStyle w:val="Compact"/>
        <w:numPr>
          <w:ilvl w:val="0"/>
          <w:numId w:val="1003"/>
        </w:numPr>
      </w:pPr>
      <w:r>
        <w:t xml:space="preserve">Samaritans (116 123) / Shout (text 85258);</w:t>
      </w:r>
    </w:p>
    <w:p>
      <w:pPr>
        <w:pStyle w:val="Compact"/>
        <w:numPr>
          <w:ilvl w:val="0"/>
          <w:numId w:val="1003"/>
        </w:numPr>
      </w:pPr>
      <w:r>
        <w:t xml:space="preserve">Their university’s wellbeing service (if a partner institution).</w:t>
      </w:r>
    </w:p>
    <w:p>
      <w:pPr>
        <w:pStyle w:val="FirstParagraph"/>
      </w:pPr>
      <w:r>
        <w:rPr>
          <w:b/>
          <w:bCs/>
        </w:rPr>
        <w:t xml:space="preserve">No automatic action involving third parties is taken at this threshold.</w:t>
      </w:r>
      <w:r>
        <w:t xml:space="preserve"> </w:t>
      </w:r>
      <w:r>
        <w:t xml:space="preserve">The nudge is private to the user.</w:t>
      </w:r>
    </w:p>
    <w:bookmarkEnd w:id="12"/>
    <w:bookmarkStart w:id="13" w:name="X5fecc7da2dff91dcc5ac5e9f60b333681db58bf"/>
    <w:p>
      <w:pPr>
        <w:pStyle w:val="Heading3"/>
      </w:pPr>
      <w:r>
        <w:t xml:space="preserve">D.2.4 Safeguarding escalation (separate channel)</w:t>
      </w:r>
    </w:p>
    <w:p>
      <w:pPr>
        <w:pStyle w:val="FirstParagraph"/>
      </w:pPr>
      <w:r>
        <w:t xml:space="preserve">If a user’s check-in</w:t>
      </w:r>
      <w:r>
        <w:t xml:space="preserve"> </w:t>
      </w:r>
      <w:r>
        <w:rPr>
          <w:rStyle w:val="VerbatimChar"/>
        </w:rPr>
        <w:t xml:space="preserve">mood_note</w:t>
      </w:r>
      <w:r>
        <w:t xml:space="preserve"> </w:t>
      </w:r>
      <w:r>
        <w:t xml:space="preserve">text matches the high-risk crisis-keyword set (independent of the z-score), an escalation is sent to the Designated Safeguarding Lead under the safeguarding policy described in main document §14.1. This is a</w:t>
      </w:r>
      <w:r>
        <w:t xml:space="preserve"> </w:t>
      </w:r>
      <w:r>
        <w:rPr>
          <w:b/>
          <w:bCs/>
        </w:rPr>
        <w:t xml:space="preserve">separate channel</w:t>
      </w:r>
      <w:r>
        <w:t xml:space="preserve"> </w:t>
      </w:r>
      <w:r>
        <w:t xml:space="preserve">from baseline deviation: high-risk text triggers immediate human review regardless of mood-score trend.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593a78b510e558fb1986411e3a4b36204470cbe"/>
    <w:p>
      <w:pPr>
        <w:pStyle w:val="Heading2"/>
      </w:pPr>
      <w:r>
        <w:t xml:space="preserve">D.3 Why per-user baselines, not population thresholds</w:t>
      </w:r>
    </w:p>
    <w:p>
      <w:pPr>
        <w:pStyle w:val="FirstParagraph"/>
      </w:pPr>
      <w:r>
        <w:t xml:space="preserve">A short worked example illustrates the value: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Calibration mean</w:t>
            </w:r>
          </w:p>
        </w:tc>
        <w:tc>
          <w:tcPr/>
          <w:p>
            <w:pPr>
              <w:pStyle w:val="Compact"/>
            </w:pPr>
            <w:r>
              <w:t xml:space="preserve">Calibration sd</w:t>
            </w:r>
          </w:p>
        </w:tc>
        <w:tc>
          <w:tcPr/>
          <w:p>
            <w:pPr>
              <w:pStyle w:val="Compact"/>
            </w:pPr>
            <w:r>
              <w:t xml:space="preserve">Today’s score</w:t>
            </w:r>
          </w:p>
        </w:tc>
        <w:tc>
          <w:tcPr/>
          <w:p>
            <w:pPr>
              <w:pStyle w:val="Compact"/>
            </w:pPr>
            <w:r>
              <w:t xml:space="preserve">Population-threshold (≤2 = alert)</w:t>
            </w:r>
          </w:p>
        </w:tc>
        <w:tc>
          <w:tcPr/>
          <w:p>
            <w:pPr>
              <w:pStyle w:val="Compact"/>
            </w:pPr>
            <w:r>
              <w:t xml:space="preserve">Per-user (z &lt; −1.5 = nudge)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Aisha (chronically anxious)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</w:t>
            </w:r>
            <w:r>
              <w:t xml:space="preserve"> </w:t>
            </w:r>
            <w:r>
              <w:t xml:space="preserve">(over-trigger)</w:t>
            </w:r>
          </w:p>
        </w:tc>
        <w:tc>
          <w:tcPr/>
          <w:p>
            <w:pPr>
              <w:pStyle w:val="Compact"/>
            </w:pPr>
            <w:r>
              <w:t xml:space="preserve">z = −0.71 → no nudge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 (usually upbeat)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alert (under-trigger)</w:t>
            </w:r>
          </w:p>
        </w:tc>
        <w:tc>
          <w:tcPr/>
          <w:p>
            <w:pPr>
              <w:pStyle w:val="Compact"/>
            </w:pPr>
            <w:r>
              <w:t xml:space="preserve">z = −3.2 → nudge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 (medium baseline)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</w:t>
            </w:r>
            <w:r>
              <w:t xml:space="preserve"> </w:t>
            </w:r>
            <w:r>
              <w:t xml:space="preserve">(correct)</w:t>
            </w:r>
          </w:p>
        </w:tc>
        <w:tc>
          <w:tcPr/>
          <w:p>
            <w:pPr>
              <w:pStyle w:val="Compact"/>
            </w:pPr>
            <w:r>
              <w:t xml:space="preserve">z = −1.75 → nudge ✅</w:t>
            </w:r>
          </w:p>
        </w:tc>
      </w:tr>
    </w:tbl>
    <w:p>
      <w:pPr>
        <w:pStyle w:val="BodyText"/>
      </w:pPr>
      <w:r>
        <w:t xml:space="preserve">Per-user baselines reduce false positives for chronically-low users and reduce false negatives for normally-cheerful users — both of which matter for the safety profile of the platform.</w:t>
      </w:r>
    </w:p>
    <w:p>
      <w:r>
        <w:pict>
          <v:rect style="width:0;height:1.5pt" o:hralign="center" o:hrstd="t" o:hr="t"/>
        </w:pict>
      </w:r>
    </w:p>
    <w:bookmarkEnd w:id="15"/>
    <w:bookmarkStart w:id="16" w:name="d.4-statistical-assumptions"/>
    <w:p>
      <w:pPr>
        <w:pStyle w:val="Heading2"/>
      </w:pPr>
      <w:r>
        <w:t xml:space="preserve">D.4 Statistical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1–5 ordinal mood scale is approximately normal in calibration window</w:t>
            </w:r>
          </w:p>
        </w:tc>
        <w:tc>
          <w:tcPr/>
          <w:p>
            <w:pPr>
              <w:pStyle w:val="Compact"/>
            </w:pPr>
            <w:r>
              <w:t xml:space="preserve">Mild non-normality is acceptable for z-score deviation thresholds (Tukey, 1977)</w:t>
            </w:r>
          </w:p>
        </w:tc>
        <w:tc>
          <w:tcPr/>
          <w:p>
            <w:pPr>
              <w:pStyle w:val="Compact"/>
            </w:pPr>
            <w:r>
              <w:t xml:space="preserve">Floor sd at 0.5 to avoid extreme z-scores; alternative non-parametric trend test under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does not</w:t>
            </w:r>
            <w:r>
              <w:t xml:space="preserve"> </w:t>
            </w:r>
            <w:r>
              <w:t xml:space="preserve">“game”</w:t>
            </w:r>
            <w:r>
              <w:t xml:space="preserve"> </w:t>
            </w:r>
            <w:r>
              <w:t xml:space="preserve">the scale</w:t>
            </w:r>
          </w:p>
        </w:tc>
        <w:tc>
          <w:tcPr/>
          <w:p>
            <w:pPr>
              <w:pStyle w:val="Compact"/>
            </w:pPr>
            <w:r>
              <w:t xml:space="preserve">Some users may inflate baseline to avoid prompts</w:t>
            </w:r>
          </w:p>
        </w:tc>
        <w:tc>
          <w:tcPr/>
          <w:p>
            <w:pPr>
              <w:pStyle w:val="Compact"/>
            </w:pPr>
            <w:r>
              <w:t xml:space="preserve">Trend analysis robust to absolute-level manipulation; new check-ins outside expected daily-time pattern flagged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logging frequency is sufficient to detect a multi-week deterioration</w:t>
            </w:r>
          </w:p>
        </w:tc>
        <w:tc>
          <w:tcPr/>
          <w:p>
            <w:pPr>
              <w:pStyle w:val="Compact"/>
            </w:pPr>
            <w:r>
              <w:t xml:space="preserve">Low logging frequency could miss declines</w:t>
            </w:r>
          </w:p>
        </w:tc>
        <w:tc>
          <w:tcPr/>
          <w:p>
            <w:pPr>
              <w:pStyle w:val="Compact"/>
            </w:pPr>
            <w:r>
              <w:t xml:space="preserve">Cohort-prior fallback for low-frequency users; Y2 roadmap includes passive-signal triangulation (e.g. typing latency)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d.5-validation-plan"/>
    <w:p>
      <w:pPr>
        <w:pStyle w:val="Heading2"/>
      </w:pPr>
      <w:r>
        <w:t xml:space="preserve">D.5 Validation plan</w:t>
      </w:r>
    </w:p>
    <w:bookmarkStart w:id="17" w:name="X0fc08838bab68c1143c44cff24cd69bfd85b233"/>
    <w:p>
      <w:pPr>
        <w:pStyle w:val="Heading3"/>
      </w:pPr>
      <w:r>
        <w:t xml:space="preserve">D.5.1 Phase 1 — pilot validation (academic year 2026/27)</w:t>
      </w:r>
    </w:p>
    <w:p>
      <w:pPr>
        <w:pStyle w:val="FirstParagraph"/>
      </w:pPr>
      <w:r>
        <w:t xml:space="preserve">In partnership with the first paid university, DEQUAD will validate the deterioration-nudge engine against three benchmarks: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Self-report concurrent validity</w:t>
      </w:r>
      <w:r>
        <w:t xml:space="preserve"> </w:t>
      </w:r>
      <w:r>
        <w:t xml:space="preserve">— Quarterly PHQ-9 / GAD-7 surveys (with consent) cross-correlated against the engine’s deterioration flags. Target Pearson r ≥ 0.4.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Service-utilisation concordance</w:t>
      </w:r>
      <w:r>
        <w:t xml:space="preserve"> </w:t>
      </w:r>
      <w:r>
        <w:t xml:space="preserve">— Anonymised university-counselling appointment data cross-referenced against deterioration-flag timing. Target: ≥ 25% of counselling-service self-referrals preceded by an engine flag in the prior 21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False-positive rate</w:t>
      </w:r>
      <w:r>
        <w:t xml:space="preserve"> </w:t>
      </w:r>
      <w:r>
        <w:t xml:space="preserve">— User survey at end of academic year asking whether engine nudges were appropriately timed. Target FP rate ≤ 30% (i.e. ≥ 70% of nudges judged appropriate).</w:t>
      </w:r>
    </w:p>
    <w:bookmarkEnd w:id="17"/>
    <w:bookmarkStart w:id="18" w:name="Xcdd84358b80a2c2ca7d6471ed00801dcc8d3707"/>
    <w:p>
      <w:pPr>
        <w:pStyle w:val="Heading3"/>
      </w:pPr>
      <w:r>
        <w:t xml:space="preserve">D.5.2 Phase 2 — peer-reviewed publication (Year 2)</w:t>
      </w:r>
    </w:p>
    <w:p>
      <w:pPr>
        <w:pStyle w:val="FirstParagraph"/>
      </w:pPr>
      <w:r>
        <w:t xml:space="preserve">If pilot validation passes pre-registered thresholds, DEQUAD will submit a methodology paper to: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JMIR Mental Health</w:t>
      </w:r>
      <w:r>
        <w:t xml:space="preserve"> </w:t>
      </w:r>
      <w:r>
        <w:t xml:space="preserve">(open-access, fast-track for digital health)</w:t>
      </w:r>
    </w:p>
    <w:p>
      <w:pPr>
        <w:pStyle w:val="Compact"/>
        <w:numPr>
          <w:ilvl w:val="0"/>
          <w:numId w:val="1005"/>
        </w:numPr>
      </w:pPr>
      <w:r>
        <w:t xml:space="preserve">or</w:t>
      </w:r>
      <w:r>
        <w:t xml:space="preserve"> </w:t>
      </w:r>
      <w:r>
        <w:rPr>
          <w:i/>
          <w:iCs/>
        </w:rPr>
        <w:t xml:space="preserve">British Journal of Psychiatry Open</w:t>
      </w:r>
    </w:p>
    <w:p>
      <w:pPr>
        <w:pStyle w:val="FirstParagraph"/>
      </w:pPr>
      <w:r>
        <w:t xml:space="preserve">The pre-registration will be lodged with the Open Science Framework (OSF).</w:t>
      </w:r>
    </w:p>
    <w:bookmarkEnd w:id="18"/>
    <w:bookmarkStart w:id="19" w:name="Xf086535cc3dd8acaba77574dd665f5057eb1399"/>
    <w:p>
      <w:pPr>
        <w:pStyle w:val="Heading3"/>
      </w:pPr>
      <w:r>
        <w:t xml:space="preserve">D.5.3 Phase 3 — independent replication (Year 3+)</w:t>
      </w:r>
    </w:p>
    <w:p>
      <w:pPr>
        <w:pStyle w:val="FirstParagraph"/>
      </w:pPr>
      <w:r>
        <w:t xml:space="preserve">Engage at least one independent research group (target: King’s College London Institute of Psychiatry, Psychology &amp; Neuroscience) to replicate the method on a sample DEQUAD does not control.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.6-ethics-and-governance"/>
    <w:p>
      <w:pPr>
        <w:pStyle w:val="Heading2"/>
      </w:pPr>
      <w:r>
        <w:t xml:space="preserve">D.6 Ethics and governance</w:t>
      </w:r>
    </w:p>
    <w:p>
      <w:pPr>
        <w:pStyle w:val="Compact"/>
        <w:numPr>
          <w:ilvl w:val="0"/>
          <w:numId w:val="1006"/>
        </w:numPr>
      </w:pPr>
      <w:r>
        <w:t xml:space="preserve">The engine never shares individual user data with the partner university. Aggregated, anonymised dashboards only.</w:t>
      </w:r>
    </w:p>
    <w:p>
      <w:pPr>
        <w:pStyle w:val="Compact"/>
        <w:numPr>
          <w:ilvl w:val="0"/>
          <w:numId w:val="1006"/>
        </w:numPr>
      </w:pPr>
      <w:r>
        <w:t xml:space="preserve">Users can opt out of the engine entirely without losing access to other DEQUAD features.</w:t>
      </w:r>
    </w:p>
    <w:p>
      <w:pPr>
        <w:pStyle w:val="Compact"/>
        <w:numPr>
          <w:ilvl w:val="0"/>
          <w:numId w:val="1006"/>
        </w:numPr>
      </w:pPr>
      <w:r>
        <w:t xml:space="preserve">Users can export their full mood history at any time (UK GDPR Art 20 — right to data portability).</w:t>
      </w:r>
    </w:p>
    <w:p>
      <w:pPr>
        <w:pStyle w:val="Compact"/>
        <w:numPr>
          <w:ilvl w:val="0"/>
          <w:numId w:val="1006"/>
        </w:numPr>
      </w:pPr>
      <w:r>
        <w:t xml:space="preserve">An ethics review by an independent advisory board (target convened: Year 1 Q4) governs all material changes to the engine.</w:t>
      </w:r>
    </w:p>
    <w:p>
      <w:r>
        <w:pict>
          <v:rect style="width:0;height:1.5pt" o:hralign="center" o:hrstd="t" o:hr="t"/>
        </w:pict>
      </w:r>
    </w:p>
    <w:bookmarkEnd w:id="21"/>
    <w:bookmarkStart w:id="22" w:name="d.7-limitations-explicitly-acknowledged"/>
    <w:p>
      <w:pPr>
        <w:pStyle w:val="Heading2"/>
      </w:pPr>
      <w:r>
        <w:t xml:space="preserve">D.7 Limitations explicitly acknowledged</w:t>
      </w:r>
    </w:p>
    <w:p>
      <w:pPr>
        <w:pStyle w:val="Compact"/>
        <w:numPr>
          <w:ilvl w:val="0"/>
          <w:numId w:val="1007"/>
        </w:numPr>
      </w:pPr>
      <w:r>
        <w:t xml:space="preserve">The engine is</w:t>
      </w:r>
      <w:r>
        <w:t xml:space="preserve"> </w:t>
      </w:r>
      <w:r>
        <w:rPr>
          <w:b/>
          <w:bCs/>
        </w:rPr>
        <w:t xml:space="preserve">not a diagnostic tool</w:t>
      </w:r>
      <w:r>
        <w:t xml:space="preserve">. It does not diagnose depression, anxiety, or any other clinical condition.</w:t>
      </w:r>
    </w:p>
    <w:p>
      <w:pPr>
        <w:pStyle w:val="Compact"/>
        <w:numPr>
          <w:ilvl w:val="0"/>
          <w:numId w:val="1007"/>
        </w:numPr>
      </w:pPr>
      <w:r>
        <w:t xml:space="preserve">The engine should not be relied upon as a sole indicator of risk. Other channels (peer reports, university counselling self-referral, GP referral) remain primary.</w:t>
      </w:r>
    </w:p>
    <w:p>
      <w:pPr>
        <w:pStyle w:val="Compact"/>
        <w:numPr>
          <w:ilvl w:val="0"/>
          <w:numId w:val="1007"/>
        </w:numPr>
      </w:pPr>
      <w:r>
        <w:t xml:space="preserve">The engine has not been clinically validated at the date of this document. Section D.5 documents the plan to do so.</w:t>
      </w:r>
    </w:p>
    <w:p>
      <w:pPr>
        <w:pStyle w:val="Compact"/>
        <w:numPr>
          <w:ilvl w:val="0"/>
          <w:numId w:val="1007"/>
        </w:numPr>
      </w:pPr>
      <w:r>
        <w:t xml:space="preserve">Cohort priors are drawn from UK undergraduate normative data and may not generalise to FE / international expansion without re-calibration.</w:t>
      </w:r>
    </w:p>
    <w:p>
      <w:r>
        <w:pict>
          <v:rect style="width:0;height:1.5pt" o:hralign="center" o:hrstd="t" o:hr="t"/>
        </w:pict>
      </w:r>
    </w:p>
    <w:bookmarkEnd w:id="22"/>
    <w:bookmarkStart w:id="23" w:name="d.8-references"/>
    <w:p>
      <w:pPr>
        <w:pStyle w:val="Heading2"/>
      </w:pPr>
      <w:r>
        <w:t xml:space="preserve">D.8 References</w:t>
      </w:r>
    </w:p>
    <w:p>
      <w:pPr>
        <w:pStyle w:val="Compact"/>
        <w:numPr>
          <w:ilvl w:val="0"/>
          <w:numId w:val="1008"/>
        </w:numPr>
      </w:pPr>
      <w:r>
        <w:t xml:space="preserve">Beck, A.T., et al. (1996).</w:t>
      </w:r>
      <w:r>
        <w:t xml:space="preserve"> </w:t>
      </w:r>
      <w:r>
        <w:rPr>
          <w:i/>
          <w:iCs/>
        </w:rPr>
        <w:t xml:space="preserve">Beck Depression Inventory — II</w:t>
      </w:r>
      <w:r>
        <w:t xml:space="preserve">. The Psychological Corporation.</w:t>
      </w:r>
    </w:p>
    <w:p>
      <w:pPr>
        <w:pStyle w:val="Compact"/>
        <w:numPr>
          <w:ilvl w:val="0"/>
          <w:numId w:val="1008"/>
        </w:numPr>
      </w:pPr>
      <w:r>
        <w:t xml:space="preserve">Kroenke, K., Spitzer, R.L., &amp; Williams, J.B.W. (2001). The PHQ-9: Validity of a brief depression severity measure.</w:t>
      </w:r>
      <w:r>
        <w:t xml:space="preserve"> </w:t>
      </w:r>
      <w:r>
        <w:rPr>
          <w:i/>
          <w:iCs/>
        </w:rPr>
        <w:t xml:space="preserve">Journal of General Internal Medicine</w:t>
      </w:r>
      <w:r>
        <w:t xml:space="preserve">, 16, 606–613.</w:t>
      </w:r>
    </w:p>
    <w:p>
      <w:pPr>
        <w:pStyle w:val="Compact"/>
        <w:numPr>
          <w:ilvl w:val="0"/>
          <w:numId w:val="1008"/>
        </w:numPr>
      </w:pPr>
      <w:r>
        <w:t xml:space="preserve">Student Minds (2024).</w:t>
      </w:r>
      <w:r>
        <w:t xml:space="preserve"> </w:t>
      </w:r>
      <w:r>
        <w:rPr>
          <w:i/>
          <w:iCs/>
        </w:rPr>
        <w:t xml:space="preserve">Insight Briefing — Student Mental Health 2024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Tukey, J.W.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>
      <w:pPr>
        <w:pStyle w:val="Compact"/>
        <w:numPr>
          <w:ilvl w:val="0"/>
          <w:numId w:val="1008"/>
        </w:numPr>
      </w:pPr>
      <w:r>
        <w:t xml:space="preserve">ONS (2023).</w:t>
      </w:r>
      <w:r>
        <w:t xml:space="preserve"> </w:t>
      </w:r>
      <w:r>
        <w:rPr>
          <w:i/>
          <w:iCs/>
        </w:rPr>
        <w:t xml:space="preserve">Student Insights — University Mental Wellbeing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OFCOM (2024).</w:t>
      </w:r>
      <w:r>
        <w:t xml:space="preserve"> </w:t>
      </w:r>
      <w:r>
        <w:rPr>
          <w:i/>
          <w:iCs/>
        </w:rPr>
        <w:t xml:space="preserve">Online Safety: Illegal Harms Guidance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NICE NG133 (2019).</w:t>
      </w:r>
      <w:r>
        <w:t xml:space="preserve"> </w:t>
      </w:r>
      <w:r>
        <w:rPr>
          <w:i/>
          <w:iCs/>
        </w:rPr>
        <w:t xml:space="preserve">Suicide prevention: identifying and supporting people at risk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methodology document is a living draft. Material updates will be lodged at OSF when pre-registration is complete.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D_wellbeing_baseline_methodology</dc:title>
  <dc:creator/>
  <cp:keywords/>
  <dcterms:created xsi:type="dcterms:W3CDTF">2026-08-18T23:31:41Z</dcterms:created>
  <dcterms:modified xsi:type="dcterms:W3CDTF">2026-08-18T23:31:41Z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