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3458F" w14:textId="187D03DF" w:rsidR="00EA526B" w:rsidRPr="00B65FE7" w:rsidRDefault="00B65FE7" w:rsidP="00B65FE7">
      <w:pPr>
        <w:jc w:val="center"/>
        <w:rPr>
          <w:rFonts w:ascii="Cambria" w:hAnsi="Cambria"/>
          <w:b/>
          <w:bCs/>
          <w:sz w:val="40"/>
          <w:szCs w:val="40"/>
        </w:rPr>
      </w:pPr>
      <w:r w:rsidRPr="00B65FE7">
        <w:rPr>
          <w:rFonts w:ascii="Cambria" w:hAnsi="Cambria"/>
          <w:b/>
          <w:bCs/>
          <w:sz w:val="40"/>
          <w:szCs w:val="40"/>
        </w:rPr>
        <w:t>Data Protection Laws and Mitigating Impacts of Data Breaches</w:t>
      </w:r>
    </w:p>
    <w:p w14:paraId="0F0A4E97" w14:textId="163A2052" w:rsidR="00B65FE7" w:rsidRDefault="00854AA5" w:rsidP="00B65FE7">
      <w:pPr>
        <w:rPr>
          <w:rFonts w:ascii="Cambria" w:hAnsi="Cambria"/>
          <w:sz w:val="24"/>
          <w:szCs w:val="24"/>
        </w:rPr>
      </w:pPr>
      <w:r>
        <w:rPr>
          <w:rFonts w:ascii="Cambria" w:hAnsi="Cambria"/>
          <w:sz w:val="24"/>
          <w:szCs w:val="24"/>
        </w:rPr>
        <w:t>It’s helpful to understand the legislation in place to protect you from unlawful processing of your private information. Understanding personal rights and legal recourses can help lessen the impact of potential data breaches.</w:t>
      </w:r>
    </w:p>
    <w:p w14:paraId="4EF6952C" w14:textId="64C59957" w:rsidR="00854AA5" w:rsidRDefault="00854AA5" w:rsidP="00B65FE7">
      <w:pPr>
        <w:rPr>
          <w:rFonts w:ascii="Cambria" w:hAnsi="Cambria"/>
          <w:sz w:val="24"/>
          <w:szCs w:val="24"/>
        </w:rPr>
      </w:pPr>
    </w:p>
    <w:p w14:paraId="0B988F14" w14:textId="44CBEF0D" w:rsidR="00854AA5" w:rsidRDefault="00854AA5" w:rsidP="00B65FE7">
      <w:pPr>
        <w:rPr>
          <w:rFonts w:ascii="Cambria" w:hAnsi="Cambria"/>
          <w:b/>
          <w:bCs/>
          <w:sz w:val="32"/>
          <w:szCs w:val="32"/>
        </w:rPr>
      </w:pPr>
      <w:r w:rsidRPr="00854AA5">
        <w:rPr>
          <w:rFonts w:ascii="Cambria" w:hAnsi="Cambria"/>
          <w:b/>
          <w:bCs/>
          <w:sz w:val="32"/>
          <w:szCs w:val="32"/>
        </w:rPr>
        <w:t>Data Protection Legislation</w:t>
      </w:r>
    </w:p>
    <w:p w14:paraId="5E9E9DB0" w14:textId="4540EF64" w:rsidR="00854AA5" w:rsidRDefault="00854AA5" w:rsidP="00B65FE7">
      <w:pPr>
        <w:rPr>
          <w:rFonts w:ascii="Cambria" w:hAnsi="Cambria"/>
          <w:b/>
          <w:bCs/>
          <w:sz w:val="26"/>
          <w:szCs w:val="26"/>
        </w:rPr>
      </w:pPr>
      <w:r w:rsidRPr="00854AA5">
        <w:rPr>
          <w:rFonts w:ascii="Cambria" w:hAnsi="Cambria"/>
          <w:b/>
          <w:bCs/>
          <w:sz w:val="26"/>
          <w:szCs w:val="26"/>
        </w:rPr>
        <w:t>US Privacy Act of 1974</w:t>
      </w:r>
    </w:p>
    <w:p w14:paraId="672CB2C2" w14:textId="4FE02572" w:rsidR="00854AA5" w:rsidRDefault="00854AA5" w:rsidP="00B65FE7">
      <w:pPr>
        <w:rPr>
          <w:rFonts w:ascii="Cambria" w:hAnsi="Cambria"/>
          <w:sz w:val="24"/>
          <w:szCs w:val="24"/>
        </w:rPr>
      </w:pPr>
      <w:r w:rsidRPr="00854AA5">
        <w:rPr>
          <w:rFonts w:ascii="Cambria" w:hAnsi="Cambria"/>
          <w:sz w:val="24"/>
          <w:szCs w:val="24"/>
        </w:rPr>
        <w:t xml:space="preserve">Protect </w:t>
      </w:r>
      <w:r>
        <w:rPr>
          <w:rFonts w:ascii="Cambria" w:hAnsi="Cambria"/>
          <w:sz w:val="24"/>
          <w:szCs w:val="24"/>
        </w:rPr>
        <w:t xml:space="preserve">consumers against unfair or deceptive practices and to enforce federal </w:t>
      </w:r>
      <w:r w:rsidR="00785CFC">
        <w:rPr>
          <w:rFonts w:ascii="Cambria" w:hAnsi="Cambria"/>
          <w:sz w:val="24"/>
          <w:szCs w:val="24"/>
        </w:rPr>
        <w:t>privacy and data protection regulations</w:t>
      </w:r>
      <w:r w:rsidR="001928CE">
        <w:rPr>
          <w:rFonts w:ascii="Cambria" w:hAnsi="Cambria"/>
          <w:sz w:val="24"/>
          <w:szCs w:val="24"/>
        </w:rPr>
        <w:t>.</w:t>
      </w:r>
    </w:p>
    <w:p w14:paraId="060A1D10" w14:textId="1821C975" w:rsidR="00785CFC" w:rsidRDefault="003E22ED" w:rsidP="00B65FE7">
      <w:pPr>
        <w:rPr>
          <w:rFonts w:ascii="Cambria" w:hAnsi="Cambria"/>
          <w:sz w:val="24"/>
          <w:szCs w:val="24"/>
        </w:rPr>
      </w:pPr>
      <w:r>
        <w:rPr>
          <w:rFonts w:ascii="Cambria" w:hAnsi="Cambria"/>
          <w:sz w:val="24"/>
          <w:szCs w:val="24"/>
        </w:rPr>
        <w:t>For more information</w:t>
      </w:r>
      <w:r w:rsidR="00785CFC">
        <w:rPr>
          <w:rFonts w:ascii="Cambria" w:hAnsi="Cambria"/>
          <w:sz w:val="24"/>
          <w:szCs w:val="24"/>
        </w:rPr>
        <w:t>:</w:t>
      </w:r>
      <w:r w:rsidR="00785CFC" w:rsidRPr="00785CFC">
        <w:t xml:space="preserve"> </w:t>
      </w:r>
      <w:hyperlink r:id="rId4" w:history="1">
        <w:r w:rsidR="00785CFC" w:rsidRPr="00B827AD">
          <w:rPr>
            <w:rStyle w:val="a3"/>
            <w:rFonts w:ascii="Cambria" w:hAnsi="Cambria"/>
            <w:sz w:val="24"/>
            <w:szCs w:val="24"/>
          </w:rPr>
          <w:t>https://www.ftc.gov/system/files/documents/federal_register_notices/2018/05/p072104_-_data_breach_routine_use_sorn_-_pub_frn.pdf</w:t>
        </w:r>
      </w:hyperlink>
    </w:p>
    <w:p w14:paraId="36010F6D" w14:textId="13880F3E" w:rsidR="00785CFC" w:rsidRDefault="00785CFC" w:rsidP="00B65FE7">
      <w:pPr>
        <w:rPr>
          <w:rFonts w:ascii="Cambria" w:hAnsi="Cambria"/>
          <w:sz w:val="24"/>
          <w:szCs w:val="24"/>
        </w:rPr>
      </w:pPr>
    </w:p>
    <w:p w14:paraId="5D0C4408" w14:textId="06F0FA0C" w:rsidR="00785CFC" w:rsidRPr="00785CFC" w:rsidRDefault="00785CFC" w:rsidP="00785CFC">
      <w:pPr>
        <w:rPr>
          <w:rFonts w:ascii="Cambria" w:hAnsi="Cambria"/>
          <w:b/>
          <w:bCs/>
          <w:sz w:val="26"/>
          <w:szCs w:val="26"/>
        </w:rPr>
      </w:pPr>
      <w:r>
        <w:rPr>
          <w:rFonts w:ascii="Cambria" w:hAnsi="Cambria"/>
          <w:b/>
          <w:bCs/>
          <w:sz w:val="26"/>
          <w:szCs w:val="26"/>
        </w:rPr>
        <w:t>General Data Protection Regulation (GDPR)</w:t>
      </w:r>
    </w:p>
    <w:p w14:paraId="65BD76C4" w14:textId="05AC61D7" w:rsidR="00785CFC" w:rsidRDefault="00785CFC" w:rsidP="00B65FE7">
      <w:pPr>
        <w:rPr>
          <w:rFonts w:ascii="Cambria" w:hAnsi="Cambria"/>
          <w:sz w:val="24"/>
          <w:szCs w:val="24"/>
        </w:rPr>
      </w:pPr>
      <w:r>
        <w:rPr>
          <w:rFonts w:ascii="Cambria" w:hAnsi="Cambria"/>
          <w:sz w:val="24"/>
          <w:szCs w:val="24"/>
        </w:rPr>
        <w:t>The GDPR’s primary aim is to give individuals control over their personal data and to simplify the regulatory environment for international business by unifying the regulation within the EU.</w:t>
      </w:r>
    </w:p>
    <w:p w14:paraId="413220B7" w14:textId="3517AA4F" w:rsidR="00785CFC" w:rsidRDefault="003E22ED" w:rsidP="00B65FE7">
      <w:pPr>
        <w:rPr>
          <w:rFonts w:ascii="Cambria" w:hAnsi="Cambria"/>
          <w:sz w:val="24"/>
          <w:szCs w:val="24"/>
        </w:rPr>
      </w:pPr>
      <w:r>
        <w:rPr>
          <w:rFonts w:ascii="Cambria" w:hAnsi="Cambria"/>
          <w:sz w:val="24"/>
          <w:szCs w:val="24"/>
        </w:rPr>
        <w:t>For more information</w:t>
      </w:r>
      <w:r w:rsidR="00785CFC">
        <w:rPr>
          <w:rFonts w:ascii="Cambria" w:hAnsi="Cambria"/>
          <w:sz w:val="24"/>
          <w:szCs w:val="24"/>
        </w:rPr>
        <w:t>:</w:t>
      </w:r>
      <w:r w:rsidR="00785CFC" w:rsidRPr="00785CFC">
        <w:t xml:space="preserve"> </w:t>
      </w:r>
      <w:hyperlink r:id="rId5" w:history="1">
        <w:r w:rsidR="00785CFC" w:rsidRPr="00B827AD">
          <w:rPr>
            <w:rStyle w:val="a3"/>
            <w:rFonts w:ascii="Cambria" w:hAnsi="Cambria"/>
            <w:sz w:val="24"/>
            <w:szCs w:val="24"/>
          </w:rPr>
          <w:t>https://gdpr-info.eu/</w:t>
        </w:r>
      </w:hyperlink>
    </w:p>
    <w:p w14:paraId="00EDD594" w14:textId="42976F48" w:rsidR="00785CFC" w:rsidRDefault="00785CFC" w:rsidP="00B65FE7">
      <w:pPr>
        <w:rPr>
          <w:rFonts w:ascii="Cambria" w:hAnsi="Cambria"/>
          <w:sz w:val="24"/>
          <w:szCs w:val="24"/>
        </w:rPr>
      </w:pPr>
    </w:p>
    <w:p w14:paraId="4694F725" w14:textId="730D34D1" w:rsidR="00785CFC" w:rsidRPr="00854AA5" w:rsidRDefault="00785CFC" w:rsidP="00B65FE7">
      <w:pPr>
        <w:rPr>
          <w:rFonts w:ascii="Cambria" w:hAnsi="Cambria"/>
          <w:sz w:val="24"/>
          <w:szCs w:val="24"/>
        </w:rPr>
      </w:pPr>
      <w:r>
        <w:rPr>
          <w:rFonts w:ascii="Cambria" w:hAnsi="Cambria"/>
          <w:b/>
          <w:bCs/>
          <w:sz w:val="26"/>
          <w:szCs w:val="26"/>
        </w:rPr>
        <w:t>California Consumer Privacy Act (CCPA)</w:t>
      </w:r>
    </w:p>
    <w:p w14:paraId="784FF3EF" w14:textId="241D6991" w:rsidR="00854AA5" w:rsidRDefault="00785CFC" w:rsidP="00B65FE7">
      <w:pPr>
        <w:rPr>
          <w:rFonts w:ascii="Cambria" w:hAnsi="Cambria"/>
          <w:sz w:val="24"/>
          <w:szCs w:val="24"/>
        </w:rPr>
      </w:pPr>
      <w:r>
        <w:rPr>
          <w:rFonts w:ascii="Cambria" w:hAnsi="Cambria"/>
          <w:sz w:val="24"/>
          <w:szCs w:val="24"/>
        </w:rPr>
        <w:t>2018 state s</w:t>
      </w:r>
      <w:r w:rsidR="003E22ED">
        <w:rPr>
          <w:rFonts w:ascii="Cambria" w:hAnsi="Cambria"/>
          <w:sz w:val="24"/>
          <w:szCs w:val="24"/>
        </w:rPr>
        <w:t>tatute intended to enhance privacy rights and consumer protection for residents of California.</w:t>
      </w:r>
    </w:p>
    <w:p w14:paraId="1767A583" w14:textId="304E673A" w:rsidR="003E22ED" w:rsidRDefault="003E22ED" w:rsidP="00B65FE7">
      <w:pPr>
        <w:rPr>
          <w:rFonts w:ascii="Cambria" w:hAnsi="Cambria"/>
          <w:sz w:val="24"/>
          <w:szCs w:val="24"/>
        </w:rPr>
      </w:pPr>
      <w:r>
        <w:rPr>
          <w:rFonts w:ascii="Cambria" w:hAnsi="Cambria"/>
          <w:sz w:val="24"/>
          <w:szCs w:val="24"/>
        </w:rPr>
        <w:t>For more information</w:t>
      </w:r>
      <w:r>
        <w:rPr>
          <w:rFonts w:ascii="Cambria" w:hAnsi="Cambria"/>
          <w:sz w:val="24"/>
          <w:szCs w:val="24"/>
        </w:rPr>
        <w:t>:</w:t>
      </w:r>
      <w:r w:rsidRPr="003E22ED">
        <w:t xml:space="preserve"> </w:t>
      </w:r>
      <w:hyperlink r:id="rId6" w:history="1">
        <w:r w:rsidRPr="00B827AD">
          <w:rPr>
            <w:rStyle w:val="a3"/>
            <w:rFonts w:ascii="Cambria" w:hAnsi="Cambria"/>
            <w:sz w:val="24"/>
            <w:szCs w:val="24"/>
          </w:rPr>
          <w:t>https://oag.ca.gov/privacy/ccpa</w:t>
        </w:r>
      </w:hyperlink>
    </w:p>
    <w:p w14:paraId="28944EC9" w14:textId="44481013" w:rsidR="003E22ED" w:rsidRDefault="003E22ED" w:rsidP="00B65FE7">
      <w:pPr>
        <w:rPr>
          <w:rFonts w:ascii="Cambria" w:hAnsi="Cambria"/>
          <w:sz w:val="24"/>
          <w:szCs w:val="24"/>
        </w:rPr>
      </w:pPr>
    </w:p>
    <w:p w14:paraId="1B9D8345" w14:textId="7B0C3320" w:rsidR="003E22ED" w:rsidRDefault="003E22ED" w:rsidP="00B65FE7">
      <w:pPr>
        <w:rPr>
          <w:rFonts w:ascii="Cambria" w:hAnsi="Cambria"/>
          <w:b/>
          <w:bCs/>
          <w:sz w:val="26"/>
          <w:szCs w:val="26"/>
        </w:rPr>
      </w:pPr>
      <w:r>
        <w:rPr>
          <w:rFonts w:ascii="Cambria" w:hAnsi="Cambria"/>
          <w:b/>
          <w:bCs/>
          <w:sz w:val="26"/>
          <w:szCs w:val="26"/>
        </w:rPr>
        <w:t>ISO/IEC 27001</w:t>
      </w:r>
    </w:p>
    <w:p w14:paraId="1E124CD6" w14:textId="5D5DA2CD" w:rsidR="003E22ED" w:rsidRDefault="003E22ED" w:rsidP="00B65FE7">
      <w:pPr>
        <w:rPr>
          <w:rFonts w:ascii="Cambria" w:hAnsi="Cambria"/>
          <w:sz w:val="24"/>
          <w:szCs w:val="24"/>
        </w:rPr>
      </w:pPr>
      <w:r w:rsidRPr="003E22ED">
        <w:rPr>
          <w:rFonts w:ascii="Cambria" w:hAnsi="Cambria"/>
          <w:sz w:val="24"/>
          <w:szCs w:val="24"/>
        </w:rPr>
        <w:t>The aim of ISO/IEC 27001 is to help</w:t>
      </w:r>
      <w:r>
        <w:rPr>
          <w:rFonts w:ascii="Cambria" w:hAnsi="Cambria"/>
          <w:sz w:val="24"/>
          <w:szCs w:val="24"/>
        </w:rPr>
        <w:t xml:space="preserve"> organizations make the information assets they hold more secure.</w:t>
      </w:r>
    </w:p>
    <w:p w14:paraId="6C3B8C87" w14:textId="587E9BDC" w:rsidR="003E22ED" w:rsidRDefault="003E22ED" w:rsidP="00B65FE7">
      <w:pPr>
        <w:rPr>
          <w:rFonts w:ascii="Cambria" w:hAnsi="Cambria"/>
          <w:sz w:val="24"/>
          <w:szCs w:val="24"/>
        </w:rPr>
      </w:pPr>
      <w:r>
        <w:rPr>
          <w:rFonts w:ascii="Cambria" w:hAnsi="Cambria"/>
          <w:sz w:val="24"/>
          <w:szCs w:val="24"/>
        </w:rPr>
        <w:t>For more information:</w:t>
      </w:r>
      <w:r w:rsidRPr="003E22ED">
        <w:t xml:space="preserve"> </w:t>
      </w:r>
      <w:hyperlink r:id="rId7" w:history="1">
        <w:r w:rsidRPr="00B827AD">
          <w:rPr>
            <w:rStyle w:val="a3"/>
            <w:rFonts w:ascii="Cambria" w:hAnsi="Cambria"/>
            <w:sz w:val="24"/>
            <w:szCs w:val="24"/>
          </w:rPr>
          <w:t>https://www.iso.org/news/2013/08/Ref1767.html</w:t>
        </w:r>
      </w:hyperlink>
    </w:p>
    <w:p w14:paraId="7FBE0FA1" w14:textId="117C2C1B" w:rsidR="003E22ED" w:rsidRDefault="003E22ED" w:rsidP="00B65FE7">
      <w:pPr>
        <w:rPr>
          <w:rFonts w:ascii="Cambria" w:hAnsi="Cambria"/>
          <w:sz w:val="24"/>
          <w:szCs w:val="24"/>
        </w:rPr>
      </w:pPr>
    </w:p>
    <w:p w14:paraId="63B4B104" w14:textId="005A0040" w:rsidR="003E22ED" w:rsidRDefault="003E22ED">
      <w:pPr>
        <w:rPr>
          <w:rFonts w:ascii="Cambria" w:hAnsi="Cambria"/>
          <w:sz w:val="24"/>
          <w:szCs w:val="24"/>
        </w:rPr>
      </w:pPr>
      <w:r>
        <w:rPr>
          <w:rFonts w:ascii="Cambria" w:hAnsi="Cambria"/>
          <w:sz w:val="24"/>
          <w:szCs w:val="24"/>
        </w:rPr>
        <w:br w:type="page"/>
      </w:r>
    </w:p>
    <w:p w14:paraId="0FF2F65C" w14:textId="12FFD76A" w:rsidR="003E22ED" w:rsidRDefault="003E22ED" w:rsidP="00B65FE7">
      <w:pPr>
        <w:rPr>
          <w:rFonts w:ascii="Cambria" w:hAnsi="Cambria"/>
          <w:b/>
          <w:bCs/>
          <w:sz w:val="32"/>
          <w:szCs w:val="32"/>
        </w:rPr>
      </w:pPr>
      <w:r>
        <w:rPr>
          <w:rFonts w:ascii="Cambria" w:hAnsi="Cambria"/>
          <w:b/>
          <w:bCs/>
          <w:sz w:val="32"/>
          <w:szCs w:val="32"/>
        </w:rPr>
        <w:lastRenderedPageBreak/>
        <w:t>Sector Specific Data Protection in the US</w:t>
      </w:r>
    </w:p>
    <w:p w14:paraId="7BF7B9F9" w14:textId="705D8A17" w:rsidR="003E22ED" w:rsidRDefault="003E22ED" w:rsidP="00B65FE7">
      <w:pPr>
        <w:rPr>
          <w:rFonts w:ascii="Cambria" w:hAnsi="Cambria"/>
          <w:sz w:val="24"/>
          <w:szCs w:val="24"/>
        </w:rPr>
      </w:pPr>
      <w:r>
        <w:rPr>
          <w:rFonts w:ascii="Cambria" w:hAnsi="Cambria"/>
          <w:sz w:val="24"/>
          <w:szCs w:val="24"/>
        </w:rPr>
        <w:t>There are many sector specific statutes that focus on collected data.</w:t>
      </w:r>
    </w:p>
    <w:p w14:paraId="4F878186" w14:textId="1E4EB0C9" w:rsidR="003E22ED" w:rsidRDefault="003E22ED" w:rsidP="00B65FE7">
      <w:pPr>
        <w:rPr>
          <w:rFonts w:ascii="Cambria" w:hAnsi="Cambria"/>
          <w:b/>
          <w:bCs/>
          <w:sz w:val="32"/>
          <w:szCs w:val="32"/>
        </w:rPr>
      </w:pPr>
    </w:p>
    <w:p w14:paraId="4BE0C0EC" w14:textId="24F31F53" w:rsidR="003E22ED" w:rsidRDefault="003E22ED" w:rsidP="00B65FE7">
      <w:pPr>
        <w:rPr>
          <w:rFonts w:ascii="Cambria" w:hAnsi="Cambria"/>
          <w:b/>
          <w:bCs/>
          <w:sz w:val="26"/>
          <w:szCs w:val="26"/>
        </w:rPr>
      </w:pPr>
      <w:r>
        <w:rPr>
          <w:rFonts w:ascii="Cambria" w:hAnsi="Cambria"/>
          <w:b/>
          <w:bCs/>
          <w:sz w:val="26"/>
          <w:szCs w:val="26"/>
        </w:rPr>
        <w:t>Health Insurance Portability and Accountability Act (HIPPAA)</w:t>
      </w:r>
    </w:p>
    <w:p w14:paraId="1E05819B" w14:textId="78478937" w:rsidR="003E22ED" w:rsidRDefault="003E22ED" w:rsidP="00B65FE7">
      <w:pPr>
        <w:rPr>
          <w:rFonts w:ascii="Cambria" w:hAnsi="Cambria"/>
          <w:sz w:val="24"/>
          <w:szCs w:val="24"/>
        </w:rPr>
      </w:pPr>
      <w:r>
        <w:rPr>
          <w:rFonts w:ascii="Cambria" w:hAnsi="Cambria"/>
          <w:sz w:val="24"/>
          <w:szCs w:val="24"/>
        </w:rPr>
        <w:t>Stipulate how personally identifiable information maintained by the healthcare and healthcare insurance industries should be protected from fraud and theft.</w:t>
      </w:r>
    </w:p>
    <w:p w14:paraId="6B68001C" w14:textId="14A8697A" w:rsidR="003E22ED" w:rsidRDefault="003E22ED" w:rsidP="00B65FE7">
      <w:pPr>
        <w:rPr>
          <w:rFonts w:ascii="Cambria" w:hAnsi="Cambria"/>
          <w:sz w:val="24"/>
          <w:szCs w:val="24"/>
        </w:rPr>
      </w:pPr>
      <w:r>
        <w:rPr>
          <w:rFonts w:ascii="Cambria" w:hAnsi="Cambria"/>
          <w:sz w:val="24"/>
          <w:szCs w:val="24"/>
        </w:rPr>
        <w:t>For more information:</w:t>
      </w:r>
      <w:r w:rsidRPr="003E22ED">
        <w:t xml:space="preserve"> </w:t>
      </w:r>
      <w:hyperlink r:id="rId8" w:history="1">
        <w:r w:rsidRPr="00B827AD">
          <w:rPr>
            <w:rStyle w:val="a3"/>
            <w:rFonts w:ascii="Cambria" w:hAnsi="Cambria"/>
            <w:sz w:val="24"/>
            <w:szCs w:val="24"/>
          </w:rPr>
          <w:t>https://www.hipaaguide.net/hipaa-for-dummies/</w:t>
        </w:r>
      </w:hyperlink>
    </w:p>
    <w:p w14:paraId="4E7EA224" w14:textId="4124C883" w:rsidR="003E22ED" w:rsidRDefault="003E22ED" w:rsidP="00B65FE7">
      <w:pPr>
        <w:rPr>
          <w:rFonts w:ascii="Cambria" w:hAnsi="Cambria"/>
          <w:sz w:val="24"/>
          <w:szCs w:val="24"/>
        </w:rPr>
      </w:pPr>
    </w:p>
    <w:p w14:paraId="3B2D2933" w14:textId="4CEB0540" w:rsidR="003E22ED" w:rsidRDefault="003E22ED" w:rsidP="00B65FE7">
      <w:pPr>
        <w:rPr>
          <w:rFonts w:ascii="Cambria" w:hAnsi="Cambria"/>
          <w:b/>
          <w:bCs/>
          <w:sz w:val="26"/>
          <w:szCs w:val="26"/>
        </w:rPr>
      </w:pPr>
      <w:r>
        <w:rPr>
          <w:rFonts w:ascii="Cambria" w:hAnsi="Cambria"/>
          <w:b/>
          <w:bCs/>
          <w:sz w:val="26"/>
          <w:szCs w:val="26"/>
        </w:rPr>
        <w:t>Gramm-Leach-Bliley Act (GLBA)</w:t>
      </w:r>
    </w:p>
    <w:p w14:paraId="6F354E73" w14:textId="39EA67F4" w:rsidR="003E22ED" w:rsidRDefault="003E22ED" w:rsidP="00B65FE7">
      <w:pPr>
        <w:rPr>
          <w:rFonts w:ascii="Cambria" w:hAnsi="Cambria"/>
          <w:sz w:val="24"/>
          <w:szCs w:val="24"/>
        </w:rPr>
      </w:pPr>
      <w:r>
        <w:rPr>
          <w:rFonts w:ascii="Cambria" w:hAnsi="Cambria"/>
          <w:sz w:val="24"/>
          <w:szCs w:val="24"/>
        </w:rPr>
        <w:t>Financial institutions must provide their clients a privacy notice</w:t>
      </w:r>
      <w:r w:rsidR="006C00F0">
        <w:rPr>
          <w:rFonts w:ascii="Cambria" w:hAnsi="Cambria"/>
          <w:sz w:val="24"/>
          <w:szCs w:val="24"/>
        </w:rPr>
        <w:t>.</w:t>
      </w:r>
    </w:p>
    <w:p w14:paraId="70A2BE5D" w14:textId="691F458C" w:rsidR="006C00F0" w:rsidRDefault="006C00F0" w:rsidP="00B65FE7">
      <w:pPr>
        <w:rPr>
          <w:rFonts w:ascii="Cambria" w:hAnsi="Cambria"/>
          <w:sz w:val="24"/>
          <w:szCs w:val="24"/>
        </w:rPr>
      </w:pPr>
      <w:r>
        <w:rPr>
          <w:rFonts w:ascii="Cambria" w:hAnsi="Cambria"/>
          <w:sz w:val="24"/>
          <w:szCs w:val="24"/>
        </w:rPr>
        <w:t>For more information:</w:t>
      </w:r>
      <w:r w:rsidRPr="006C00F0">
        <w:t xml:space="preserve"> </w:t>
      </w:r>
      <w:hyperlink r:id="rId9" w:history="1">
        <w:r w:rsidRPr="00B827AD">
          <w:rPr>
            <w:rStyle w:val="a3"/>
            <w:rFonts w:ascii="Cambria" w:hAnsi="Cambria"/>
            <w:sz w:val="24"/>
            <w:szCs w:val="24"/>
          </w:rPr>
          <w:t>https://www.ftc.gov/tips-advice/business-center/privacy-and-security/gramm-leach-bliley-act</w:t>
        </w:r>
      </w:hyperlink>
    </w:p>
    <w:p w14:paraId="39043B16" w14:textId="35A43EA6" w:rsidR="006C00F0" w:rsidRDefault="006C00F0" w:rsidP="00B65FE7">
      <w:pPr>
        <w:rPr>
          <w:rFonts w:ascii="Cambria" w:hAnsi="Cambria"/>
          <w:sz w:val="24"/>
          <w:szCs w:val="24"/>
        </w:rPr>
      </w:pPr>
    </w:p>
    <w:p w14:paraId="79042FBB" w14:textId="6ED92043" w:rsidR="006C00F0" w:rsidRDefault="005D7C73" w:rsidP="00B65FE7">
      <w:pPr>
        <w:rPr>
          <w:rFonts w:ascii="Cambria" w:hAnsi="Cambria"/>
          <w:b/>
          <w:bCs/>
          <w:sz w:val="26"/>
          <w:szCs w:val="26"/>
        </w:rPr>
      </w:pPr>
      <w:r>
        <w:rPr>
          <w:rFonts w:ascii="Cambria" w:hAnsi="Cambria"/>
          <w:b/>
          <w:bCs/>
          <w:sz w:val="26"/>
          <w:szCs w:val="26"/>
        </w:rPr>
        <w:t>Children’s Online Privacy Protection Act (COPPA)</w:t>
      </w:r>
    </w:p>
    <w:p w14:paraId="1AB7A380" w14:textId="782BF6F8" w:rsidR="005D7C73" w:rsidRDefault="005D7C73" w:rsidP="00B65FE7">
      <w:pPr>
        <w:rPr>
          <w:rFonts w:ascii="Cambria" w:hAnsi="Cambria" w:cs="Segoe UI"/>
          <w:color w:val="24292E"/>
          <w:sz w:val="24"/>
          <w:szCs w:val="24"/>
          <w:shd w:val="clear" w:color="auto" w:fill="FFFFFF"/>
        </w:rPr>
      </w:pPr>
      <w:r w:rsidRPr="005D7C73">
        <w:rPr>
          <w:rFonts w:ascii="Cambria" w:hAnsi="Cambria" w:cs="Segoe UI"/>
          <w:color w:val="24292E"/>
          <w:sz w:val="24"/>
          <w:szCs w:val="24"/>
          <w:shd w:val="clear" w:color="auto" w:fill="FFFFFF"/>
        </w:rPr>
        <w:t>Applies to the online collection of personal information by persons or entities under U.S. jurisdiction about children under 13 years of age including children outside the U.S., if the company is U.S.-based. </w:t>
      </w:r>
    </w:p>
    <w:p w14:paraId="49AE88D2" w14:textId="4FB4A46C" w:rsidR="005D7C73" w:rsidRDefault="005D7C73" w:rsidP="00B65FE7">
      <w:pPr>
        <w:rPr>
          <w:rFonts w:ascii="Cambria" w:hAnsi="Cambria" w:cs="Segoe UI"/>
          <w:color w:val="24292E"/>
          <w:sz w:val="24"/>
          <w:szCs w:val="24"/>
          <w:shd w:val="clear" w:color="auto" w:fill="FFFFFF"/>
        </w:rPr>
      </w:pPr>
      <w:r>
        <w:rPr>
          <w:rFonts w:ascii="Cambria" w:hAnsi="Cambria" w:cs="Segoe UI"/>
          <w:color w:val="24292E"/>
          <w:sz w:val="24"/>
          <w:szCs w:val="24"/>
          <w:shd w:val="clear" w:color="auto" w:fill="FFFFFF"/>
        </w:rPr>
        <w:t>For more information:</w:t>
      </w:r>
      <w:r w:rsidRPr="005D7C73">
        <w:t xml:space="preserve"> </w:t>
      </w:r>
      <w:hyperlink r:id="rId10" w:history="1">
        <w:r w:rsidRPr="00B827AD">
          <w:rPr>
            <w:rStyle w:val="a3"/>
            <w:rFonts w:ascii="Cambria" w:hAnsi="Cambria" w:cs="Segoe UI"/>
            <w:sz w:val="24"/>
            <w:szCs w:val="24"/>
            <w:shd w:val="clear" w:color="auto" w:fill="FFFFFF"/>
          </w:rPr>
          <w:t>https://www.ftc.gov/tips-advice/business-center/guidance/complying-coppa-frequently-asked-questions-0</w:t>
        </w:r>
      </w:hyperlink>
    </w:p>
    <w:p w14:paraId="6AB89E4A" w14:textId="52BD41CA" w:rsidR="005D7C73" w:rsidRDefault="005D7C73" w:rsidP="00B65FE7">
      <w:pPr>
        <w:rPr>
          <w:rFonts w:ascii="Cambria" w:hAnsi="Cambria" w:cs="Segoe UI"/>
          <w:color w:val="24292E"/>
          <w:sz w:val="24"/>
          <w:szCs w:val="24"/>
          <w:shd w:val="clear" w:color="auto" w:fill="FFFFFF"/>
        </w:rPr>
      </w:pPr>
    </w:p>
    <w:p w14:paraId="4191C297" w14:textId="07C7DDCA" w:rsidR="005D7C73" w:rsidRDefault="005D7C73" w:rsidP="00B65FE7">
      <w:pPr>
        <w:rPr>
          <w:rFonts w:ascii="Cambria" w:hAnsi="Cambria"/>
          <w:b/>
          <w:bCs/>
          <w:sz w:val="32"/>
          <w:szCs w:val="32"/>
        </w:rPr>
      </w:pPr>
      <w:r>
        <w:rPr>
          <w:rFonts w:ascii="Cambria" w:hAnsi="Cambria"/>
          <w:b/>
          <w:bCs/>
          <w:sz w:val="32"/>
          <w:szCs w:val="32"/>
        </w:rPr>
        <w:t>P</w:t>
      </w:r>
      <w:r>
        <w:rPr>
          <w:rFonts w:ascii="Cambria" w:hAnsi="Cambria" w:hint="eastAsia"/>
          <w:b/>
          <w:bCs/>
          <w:sz w:val="32"/>
          <w:szCs w:val="32"/>
        </w:rPr>
        <w:t>r</w:t>
      </w:r>
      <w:r>
        <w:rPr>
          <w:rFonts w:ascii="Cambria" w:hAnsi="Cambria"/>
          <w:b/>
          <w:bCs/>
          <w:sz w:val="32"/>
          <w:szCs w:val="32"/>
        </w:rPr>
        <w:t>inciples of Responsible Data Collection and Processing</w:t>
      </w:r>
    </w:p>
    <w:p w14:paraId="1994331A" w14:textId="4FCF3CAE" w:rsidR="005D7C73" w:rsidRDefault="005D7C73" w:rsidP="00B65FE7">
      <w:pPr>
        <w:rPr>
          <w:rFonts w:ascii="Cambria" w:hAnsi="Cambria" w:cs="Segoe UI"/>
          <w:color w:val="24292E"/>
          <w:sz w:val="24"/>
          <w:szCs w:val="24"/>
          <w:shd w:val="clear" w:color="auto" w:fill="FFFFFF"/>
        </w:rPr>
      </w:pPr>
      <w:r w:rsidRPr="005D7C73">
        <w:rPr>
          <w:rFonts w:ascii="Cambria" w:hAnsi="Cambria" w:cs="Segoe UI"/>
          <w:color w:val="24292E"/>
          <w:sz w:val="24"/>
          <w:szCs w:val="24"/>
          <w:shd w:val="clear" w:color="auto" w:fill="FFFFFF"/>
        </w:rPr>
        <w:t>As a result of this legislation there are general principles that have arisen as a framework for data protection best practices.</w:t>
      </w:r>
    </w:p>
    <w:p w14:paraId="6CC85866" w14:textId="77777777" w:rsidR="005D7C73" w:rsidRDefault="005D7C73" w:rsidP="00B65FE7">
      <w:pPr>
        <w:rPr>
          <w:rFonts w:ascii="Cambria" w:hAnsi="Cambria"/>
          <w:b/>
          <w:bCs/>
          <w:sz w:val="26"/>
          <w:szCs w:val="26"/>
        </w:rPr>
      </w:pPr>
    </w:p>
    <w:p w14:paraId="5C57CCAE" w14:textId="7FC2B57A" w:rsidR="005D7C73" w:rsidRDefault="005D7C73" w:rsidP="00B65FE7">
      <w:pPr>
        <w:rPr>
          <w:rFonts w:ascii="Cambria" w:hAnsi="Cambria"/>
          <w:b/>
          <w:bCs/>
          <w:sz w:val="26"/>
          <w:szCs w:val="26"/>
        </w:rPr>
      </w:pPr>
      <w:r>
        <w:rPr>
          <w:rFonts w:ascii="Cambria" w:hAnsi="Cambria"/>
          <w:b/>
          <w:bCs/>
          <w:sz w:val="26"/>
          <w:szCs w:val="26"/>
        </w:rPr>
        <w:t>Transparency</w:t>
      </w:r>
    </w:p>
    <w:p w14:paraId="6BB901A7" w14:textId="0B6F8223" w:rsidR="005D7C73" w:rsidRDefault="005D7C73" w:rsidP="00B65FE7">
      <w:pPr>
        <w:rPr>
          <w:rFonts w:ascii="Cambria" w:hAnsi="Cambria" w:cs="Segoe UI"/>
          <w:color w:val="24292E"/>
          <w:sz w:val="24"/>
          <w:szCs w:val="24"/>
          <w:shd w:val="clear" w:color="auto" w:fill="FFFFFF"/>
        </w:rPr>
      </w:pPr>
      <w:r w:rsidRPr="005D7C73">
        <w:rPr>
          <w:rFonts w:ascii="Cambria" w:hAnsi="Cambria" w:cs="Segoe UI"/>
          <w:color w:val="24292E"/>
          <w:sz w:val="24"/>
          <w:szCs w:val="24"/>
          <w:shd w:val="clear" w:color="auto" w:fill="FFFFFF"/>
        </w:rPr>
        <w:t>Businesses are generally encouraged to provide clear and standardized privacy information</w:t>
      </w:r>
      <w:r w:rsidR="001928CE">
        <w:rPr>
          <w:rFonts w:ascii="Cambria" w:hAnsi="Cambria" w:cs="Segoe UI"/>
          <w:color w:val="24292E"/>
          <w:sz w:val="24"/>
          <w:szCs w:val="24"/>
          <w:shd w:val="clear" w:color="auto" w:fill="FFFFFF"/>
        </w:rPr>
        <w:t>.</w:t>
      </w:r>
    </w:p>
    <w:p w14:paraId="27488F54" w14:textId="77777777" w:rsidR="005D7C73" w:rsidRDefault="005D7C73" w:rsidP="005D7C73">
      <w:pPr>
        <w:rPr>
          <w:rFonts w:ascii="Cambria" w:hAnsi="Cambria"/>
          <w:sz w:val="24"/>
          <w:szCs w:val="24"/>
        </w:rPr>
      </w:pPr>
      <w:r>
        <w:rPr>
          <w:rFonts w:ascii="Cambria" w:hAnsi="Cambria"/>
          <w:sz w:val="24"/>
          <w:szCs w:val="24"/>
        </w:rPr>
        <w:t>For more information:</w:t>
      </w:r>
      <w:r w:rsidRPr="00785CFC">
        <w:t xml:space="preserve"> </w:t>
      </w:r>
      <w:hyperlink r:id="rId11" w:history="1">
        <w:r w:rsidRPr="00B827AD">
          <w:rPr>
            <w:rStyle w:val="a3"/>
            <w:rFonts w:ascii="Cambria" w:hAnsi="Cambria"/>
            <w:sz w:val="24"/>
            <w:szCs w:val="24"/>
          </w:rPr>
          <w:t>https://www.ftc.gov/system/files/documents/federal_register_notices/2018/05/p072104_-_data_breach_routine_use_sorn_-_pub_frn.pdf</w:t>
        </w:r>
      </w:hyperlink>
    </w:p>
    <w:p w14:paraId="75A5254F" w14:textId="25AF58B7" w:rsidR="005D7C73" w:rsidRDefault="005D7C73" w:rsidP="00B65FE7">
      <w:pPr>
        <w:rPr>
          <w:rFonts w:ascii="Cambria" w:hAnsi="Cambria" w:cs="Segoe UI"/>
          <w:color w:val="24292E"/>
          <w:sz w:val="24"/>
          <w:szCs w:val="24"/>
          <w:shd w:val="clear" w:color="auto" w:fill="FFFFFF"/>
        </w:rPr>
      </w:pPr>
      <w:r>
        <w:rPr>
          <w:rFonts w:ascii="Cambria" w:hAnsi="Cambria" w:cs="Segoe UI"/>
          <w:color w:val="24292E"/>
          <w:sz w:val="24"/>
          <w:szCs w:val="24"/>
          <w:shd w:val="clear" w:color="auto" w:fill="FFFFFF"/>
        </w:rPr>
        <w:t>For more information:</w:t>
      </w:r>
      <w:r w:rsidRPr="005D7C73">
        <w:t xml:space="preserve"> </w:t>
      </w:r>
      <w:hyperlink r:id="rId12" w:history="1">
        <w:r w:rsidRPr="00B827AD">
          <w:rPr>
            <w:rStyle w:val="a3"/>
            <w:rFonts w:ascii="Cambria" w:hAnsi="Cambria" w:cs="Segoe UI"/>
            <w:sz w:val="24"/>
            <w:szCs w:val="24"/>
            <w:shd w:val="clear" w:color="auto" w:fill="FFFFFF"/>
          </w:rPr>
          <w:t>https://iclg.com/practice-areas/data-protection-laws-and-</w:t>
        </w:r>
        <w:r w:rsidRPr="00B827AD">
          <w:rPr>
            <w:rStyle w:val="a3"/>
            <w:rFonts w:ascii="Cambria" w:hAnsi="Cambria" w:cs="Segoe UI"/>
            <w:sz w:val="24"/>
            <w:szCs w:val="24"/>
            <w:shd w:val="clear" w:color="auto" w:fill="FFFFFF"/>
          </w:rPr>
          <w:lastRenderedPageBreak/>
          <w:t>regulations/usa#:~:text=There%20is%20no%20single%20principal,Code%20%C2%A7%2041%20et%20seq</w:t>
        </w:r>
      </w:hyperlink>
      <w:r w:rsidRPr="005D7C73">
        <w:rPr>
          <w:rFonts w:ascii="Cambria" w:hAnsi="Cambria" w:cs="Segoe UI"/>
          <w:color w:val="24292E"/>
          <w:sz w:val="24"/>
          <w:szCs w:val="24"/>
          <w:shd w:val="clear" w:color="auto" w:fill="FFFFFF"/>
        </w:rPr>
        <w:t>.)</w:t>
      </w:r>
    </w:p>
    <w:p w14:paraId="52EB3E18" w14:textId="25BA01DA" w:rsidR="005D7C73" w:rsidRDefault="005D7C73" w:rsidP="00B65FE7">
      <w:pPr>
        <w:rPr>
          <w:rFonts w:ascii="Cambria" w:hAnsi="Cambria" w:cs="Segoe UI"/>
          <w:color w:val="24292E"/>
          <w:sz w:val="24"/>
          <w:szCs w:val="24"/>
          <w:shd w:val="clear" w:color="auto" w:fill="FFFFFF"/>
        </w:rPr>
      </w:pPr>
    </w:p>
    <w:p w14:paraId="6BE5C795" w14:textId="727E26D9" w:rsidR="005D7C73" w:rsidRDefault="005D7C73" w:rsidP="00B65FE7">
      <w:pPr>
        <w:rPr>
          <w:rFonts w:ascii="Cambria" w:hAnsi="Cambria"/>
          <w:b/>
          <w:bCs/>
          <w:sz w:val="26"/>
          <w:szCs w:val="26"/>
        </w:rPr>
      </w:pPr>
      <w:r>
        <w:rPr>
          <w:rFonts w:ascii="Cambria" w:hAnsi="Cambria"/>
          <w:b/>
          <w:bCs/>
          <w:sz w:val="26"/>
          <w:szCs w:val="26"/>
        </w:rPr>
        <w:t>Purpose Limitation</w:t>
      </w:r>
    </w:p>
    <w:p w14:paraId="6CA55069" w14:textId="1B67A76D" w:rsidR="005D7C73" w:rsidRDefault="005D7C73" w:rsidP="00B65FE7">
      <w:pPr>
        <w:rPr>
          <w:rFonts w:ascii="Cambria" w:hAnsi="Cambria"/>
          <w:sz w:val="24"/>
          <w:szCs w:val="24"/>
        </w:rPr>
      </w:pPr>
      <w:r>
        <w:rPr>
          <w:rFonts w:ascii="Cambria" w:hAnsi="Cambria"/>
          <w:sz w:val="24"/>
          <w:szCs w:val="24"/>
        </w:rPr>
        <w:t>The FTC recommends privacy-by-design practices</w:t>
      </w:r>
      <w:r w:rsidR="001928CE">
        <w:rPr>
          <w:rFonts w:ascii="Cambria" w:hAnsi="Cambria"/>
          <w:sz w:val="24"/>
          <w:szCs w:val="24"/>
        </w:rPr>
        <w:t>.</w:t>
      </w:r>
    </w:p>
    <w:p w14:paraId="306505F8" w14:textId="36EF7096" w:rsidR="005D7C73" w:rsidRDefault="005D7C73" w:rsidP="005D7C73">
      <w:pPr>
        <w:rPr>
          <w:rFonts w:ascii="Cambria" w:hAnsi="Cambria"/>
          <w:sz w:val="24"/>
          <w:szCs w:val="24"/>
        </w:rPr>
      </w:pPr>
      <w:r>
        <w:rPr>
          <w:rFonts w:ascii="Cambria" w:hAnsi="Cambria"/>
          <w:sz w:val="24"/>
          <w:szCs w:val="24"/>
        </w:rPr>
        <w:t>For more information:</w:t>
      </w:r>
      <w:r w:rsidRPr="00785CFC">
        <w:t xml:space="preserve"> </w:t>
      </w:r>
      <w:hyperlink r:id="rId13" w:history="1">
        <w:r w:rsidRPr="00B827AD">
          <w:rPr>
            <w:rStyle w:val="a3"/>
            <w:rFonts w:ascii="Cambria" w:hAnsi="Cambria"/>
            <w:sz w:val="24"/>
            <w:szCs w:val="24"/>
          </w:rPr>
          <w:t>https://www.ftc.gov/system/files/documents/federal_register_notices/2018/05/p072104_-_data_breach_routine_use_sorn_-_pub_frn.pdf</w:t>
        </w:r>
      </w:hyperlink>
    </w:p>
    <w:p w14:paraId="1ABEEC0F" w14:textId="77777777" w:rsidR="005D7C73" w:rsidRDefault="005D7C73" w:rsidP="005D7C73">
      <w:pPr>
        <w:rPr>
          <w:rFonts w:ascii="Cambria" w:hAnsi="Cambria"/>
          <w:sz w:val="24"/>
          <w:szCs w:val="24"/>
        </w:rPr>
      </w:pPr>
    </w:p>
    <w:p w14:paraId="78C43790" w14:textId="77777777" w:rsidR="005D7C73" w:rsidRDefault="005D7C73" w:rsidP="005D7C73">
      <w:pPr>
        <w:rPr>
          <w:rFonts w:ascii="Cambria" w:hAnsi="Cambria" w:cs="Segoe UI"/>
          <w:color w:val="24292E"/>
          <w:sz w:val="24"/>
          <w:szCs w:val="24"/>
          <w:shd w:val="clear" w:color="auto" w:fill="FFFFFF"/>
        </w:rPr>
      </w:pPr>
      <w:r>
        <w:rPr>
          <w:rFonts w:ascii="Cambria" w:hAnsi="Cambria" w:cs="Segoe UI"/>
          <w:color w:val="24292E"/>
          <w:sz w:val="24"/>
          <w:szCs w:val="24"/>
          <w:shd w:val="clear" w:color="auto" w:fill="FFFFFF"/>
        </w:rPr>
        <w:t>For more information:</w:t>
      </w:r>
      <w:r w:rsidRPr="005D7C73">
        <w:t xml:space="preserve"> </w:t>
      </w:r>
      <w:hyperlink r:id="rId14" w:history="1">
        <w:r w:rsidRPr="00B827AD">
          <w:rPr>
            <w:rStyle w:val="a3"/>
            <w:rFonts w:ascii="Cambria" w:hAnsi="Cambria" w:cs="Segoe UI"/>
            <w:sz w:val="24"/>
            <w:szCs w:val="24"/>
            <w:shd w:val="clear" w:color="auto" w:fill="FFFFFF"/>
          </w:rPr>
          <w:t>https://iclg.com/practice-areas/data-protection-laws-and-regulations/usa#:~:text=There%20is%20no%20single%20principal,Code%20%C2%A7%2041%20et%20seq</w:t>
        </w:r>
      </w:hyperlink>
      <w:r w:rsidRPr="005D7C73">
        <w:rPr>
          <w:rFonts w:ascii="Cambria" w:hAnsi="Cambria" w:cs="Segoe UI"/>
          <w:color w:val="24292E"/>
          <w:sz w:val="24"/>
          <w:szCs w:val="24"/>
          <w:shd w:val="clear" w:color="auto" w:fill="FFFFFF"/>
        </w:rPr>
        <w:t>.)</w:t>
      </w:r>
    </w:p>
    <w:p w14:paraId="7C5E758D" w14:textId="1A94778A" w:rsidR="005D7C73" w:rsidRDefault="005D7C73" w:rsidP="00B65FE7">
      <w:pPr>
        <w:rPr>
          <w:rFonts w:ascii="Cambria" w:hAnsi="Cambria"/>
          <w:b/>
          <w:bCs/>
          <w:sz w:val="24"/>
          <w:szCs w:val="24"/>
        </w:rPr>
      </w:pPr>
    </w:p>
    <w:p w14:paraId="4CBAB615" w14:textId="7C56355C" w:rsidR="005D7C73" w:rsidRDefault="001928CE" w:rsidP="00B65FE7">
      <w:pPr>
        <w:rPr>
          <w:rFonts w:ascii="Cambria" w:hAnsi="Cambria"/>
          <w:b/>
          <w:bCs/>
          <w:sz w:val="26"/>
          <w:szCs w:val="26"/>
        </w:rPr>
      </w:pPr>
      <w:r>
        <w:rPr>
          <w:rFonts w:ascii="Cambria" w:hAnsi="Cambria"/>
          <w:b/>
          <w:bCs/>
          <w:sz w:val="26"/>
          <w:szCs w:val="26"/>
        </w:rPr>
        <w:t>R</w:t>
      </w:r>
      <w:r>
        <w:rPr>
          <w:rFonts w:ascii="Cambria" w:hAnsi="Cambria" w:hint="eastAsia"/>
          <w:b/>
          <w:bCs/>
          <w:sz w:val="26"/>
          <w:szCs w:val="26"/>
        </w:rPr>
        <w:t>e</w:t>
      </w:r>
      <w:r>
        <w:rPr>
          <w:rFonts w:ascii="Cambria" w:hAnsi="Cambria"/>
          <w:b/>
          <w:bCs/>
          <w:sz w:val="26"/>
          <w:szCs w:val="26"/>
        </w:rPr>
        <w:t>tention</w:t>
      </w:r>
    </w:p>
    <w:p w14:paraId="124A0D7A" w14:textId="728EB9BA" w:rsidR="001928CE" w:rsidRDefault="001928CE" w:rsidP="00B65FE7">
      <w:pPr>
        <w:rPr>
          <w:rFonts w:ascii="Cambria" w:hAnsi="Cambria"/>
          <w:sz w:val="24"/>
          <w:szCs w:val="24"/>
        </w:rPr>
      </w:pPr>
      <w:r>
        <w:rPr>
          <w:rFonts w:ascii="Cambria" w:hAnsi="Cambria"/>
          <w:sz w:val="24"/>
          <w:szCs w:val="24"/>
        </w:rPr>
        <w:t>The FTC recommends privacy-by-design practices that implement reasonable restrictions on the retention of data.</w:t>
      </w:r>
    </w:p>
    <w:p w14:paraId="61C33193" w14:textId="77777777" w:rsidR="001928CE" w:rsidRDefault="001928CE" w:rsidP="001928CE">
      <w:pPr>
        <w:rPr>
          <w:rFonts w:ascii="Cambria" w:hAnsi="Cambria"/>
          <w:sz w:val="24"/>
          <w:szCs w:val="24"/>
        </w:rPr>
      </w:pPr>
      <w:r>
        <w:rPr>
          <w:rFonts w:ascii="Cambria" w:hAnsi="Cambria"/>
          <w:sz w:val="24"/>
          <w:szCs w:val="24"/>
        </w:rPr>
        <w:t>For more information:</w:t>
      </w:r>
      <w:r w:rsidRPr="00785CFC">
        <w:t xml:space="preserve"> </w:t>
      </w:r>
      <w:hyperlink r:id="rId15" w:history="1">
        <w:r w:rsidRPr="00B827AD">
          <w:rPr>
            <w:rStyle w:val="a3"/>
            <w:rFonts w:ascii="Cambria" w:hAnsi="Cambria"/>
            <w:sz w:val="24"/>
            <w:szCs w:val="24"/>
          </w:rPr>
          <w:t>https://www.ftc.gov/system/files/documents/federal_register_notices/2018/05/p072104_-_data_breach_routine_use_sorn_-_pub_frn.pdf</w:t>
        </w:r>
      </w:hyperlink>
    </w:p>
    <w:p w14:paraId="1851AF38" w14:textId="77777777" w:rsidR="001928CE" w:rsidRDefault="001928CE" w:rsidP="001928CE">
      <w:pPr>
        <w:rPr>
          <w:rFonts w:ascii="Cambria" w:hAnsi="Cambria"/>
          <w:sz w:val="24"/>
          <w:szCs w:val="24"/>
        </w:rPr>
      </w:pPr>
    </w:p>
    <w:p w14:paraId="10BBB084" w14:textId="77777777" w:rsidR="001928CE" w:rsidRDefault="001928CE" w:rsidP="001928CE">
      <w:pPr>
        <w:rPr>
          <w:rFonts w:ascii="Cambria" w:hAnsi="Cambria" w:cs="Segoe UI"/>
          <w:color w:val="24292E"/>
          <w:sz w:val="24"/>
          <w:szCs w:val="24"/>
          <w:shd w:val="clear" w:color="auto" w:fill="FFFFFF"/>
        </w:rPr>
      </w:pPr>
      <w:r>
        <w:rPr>
          <w:rFonts w:ascii="Cambria" w:hAnsi="Cambria" w:cs="Segoe UI"/>
          <w:color w:val="24292E"/>
          <w:sz w:val="24"/>
          <w:szCs w:val="24"/>
          <w:shd w:val="clear" w:color="auto" w:fill="FFFFFF"/>
        </w:rPr>
        <w:t>For more information:</w:t>
      </w:r>
      <w:r w:rsidRPr="005D7C73">
        <w:t xml:space="preserve"> </w:t>
      </w:r>
      <w:hyperlink r:id="rId16" w:history="1">
        <w:r w:rsidRPr="00B827AD">
          <w:rPr>
            <w:rStyle w:val="a3"/>
            <w:rFonts w:ascii="Cambria" w:hAnsi="Cambria" w:cs="Segoe UI"/>
            <w:sz w:val="24"/>
            <w:szCs w:val="24"/>
            <w:shd w:val="clear" w:color="auto" w:fill="FFFFFF"/>
          </w:rPr>
          <w:t>https://iclg.com/practice-areas/data-protection-laws-and-regulations/usa#:~:text=There%20is%20no%20single%20principal,Code%20%C2%A7%2041%20et%20seq</w:t>
        </w:r>
      </w:hyperlink>
      <w:r w:rsidRPr="005D7C73">
        <w:rPr>
          <w:rFonts w:ascii="Cambria" w:hAnsi="Cambria" w:cs="Segoe UI"/>
          <w:color w:val="24292E"/>
          <w:sz w:val="24"/>
          <w:szCs w:val="24"/>
          <w:shd w:val="clear" w:color="auto" w:fill="FFFFFF"/>
        </w:rPr>
        <w:t>.)</w:t>
      </w:r>
    </w:p>
    <w:p w14:paraId="687814CF" w14:textId="58C89B21" w:rsidR="001928CE" w:rsidRDefault="001928CE" w:rsidP="00B65FE7">
      <w:pPr>
        <w:rPr>
          <w:rFonts w:ascii="Cambria" w:hAnsi="Cambria"/>
          <w:sz w:val="24"/>
          <w:szCs w:val="24"/>
        </w:rPr>
      </w:pPr>
    </w:p>
    <w:p w14:paraId="22F4216C" w14:textId="6B1FF97E" w:rsidR="00A26A33" w:rsidRDefault="00A26A33" w:rsidP="00B65FE7">
      <w:pPr>
        <w:rPr>
          <w:rFonts w:ascii="Cambria" w:hAnsi="Cambria"/>
          <w:b/>
          <w:bCs/>
          <w:sz w:val="26"/>
          <w:szCs w:val="26"/>
        </w:rPr>
      </w:pPr>
      <w:r>
        <w:rPr>
          <w:rFonts w:ascii="Cambria" w:hAnsi="Cambria"/>
          <w:b/>
          <w:bCs/>
          <w:sz w:val="26"/>
          <w:szCs w:val="26"/>
        </w:rPr>
        <w:t>Privacy By Design</w:t>
      </w:r>
    </w:p>
    <w:p w14:paraId="44B33D46" w14:textId="228807FB" w:rsidR="00C627A5" w:rsidRDefault="00C627A5" w:rsidP="00B65FE7">
      <w:pPr>
        <w:rPr>
          <w:rFonts w:ascii="Cambria" w:hAnsi="Cambria"/>
          <w:sz w:val="24"/>
          <w:szCs w:val="24"/>
        </w:rPr>
      </w:pPr>
      <w:r>
        <w:rPr>
          <w:rFonts w:ascii="Cambria" w:hAnsi="Cambria"/>
          <w:sz w:val="24"/>
          <w:szCs w:val="24"/>
        </w:rPr>
        <w:t>Data privacy should be considered at the beginning of security planning, not after.</w:t>
      </w:r>
    </w:p>
    <w:p w14:paraId="57A6FA61" w14:textId="78819D33" w:rsidR="00C627A5" w:rsidRDefault="00C627A5" w:rsidP="00B65FE7">
      <w:pPr>
        <w:rPr>
          <w:rFonts w:ascii="Cambria" w:hAnsi="Cambria"/>
          <w:sz w:val="24"/>
          <w:szCs w:val="24"/>
        </w:rPr>
      </w:pPr>
      <w:r>
        <w:rPr>
          <w:rFonts w:ascii="Cambria" w:hAnsi="Cambria"/>
          <w:sz w:val="24"/>
          <w:szCs w:val="24"/>
        </w:rPr>
        <w:t>For more information:</w:t>
      </w:r>
      <w:r w:rsidRPr="00C627A5">
        <w:t xml:space="preserve"> </w:t>
      </w:r>
      <w:hyperlink r:id="rId17" w:history="1">
        <w:r w:rsidRPr="00B827AD">
          <w:rPr>
            <w:rStyle w:val="a3"/>
            <w:rFonts w:ascii="Cambria" w:hAnsi="Cambria"/>
            <w:sz w:val="24"/>
            <w:szCs w:val="24"/>
          </w:rPr>
          <w:t>https://www.varonis.com/blog/privacy-design-cheat-sheet/</w:t>
        </w:r>
      </w:hyperlink>
    </w:p>
    <w:p w14:paraId="4C01E1CF" w14:textId="77777777" w:rsidR="00C627A5" w:rsidRPr="00C627A5" w:rsidRDefault="00C627A5" w:rsidP="00B65FE7">
      <w:pPr>
        <w:rPr>
          <w:rFonts w:ascii="Cambria" w:hAnsi="Cambria"/>
          <w:sz w:val="24"/>
          <w:szCs w:val="24"/>
        </w:rPr>
      </w:pPr>
    </w:p>
    <w:p w14:paraId="4AF31957" w14:textId="77777777" w:rsidR="00C627A5" w:rsidRDefault="00C627A5" w:rsidP="00B65FE7">
      <w:pPr>
        <w:rPr>
          <w:rFonts w:ascii="Cambria" w:hAnsi="Cambria"/>
          <w:b/>
          <w:bCs/>
          <w:sz w:val="26"/>
          <w:szCs w:val="26"/>
        </w:rPr>
      </w:pPr>
    </w:p>
    <w:p w14:paraId="73F0460E" w14:textId="77777777" w:rsidR="00C627A5" w:rsidRPr="001928CE" w:rsidRDefault="00C627A5" w:rsidP="00B65FE7">
      <w:pPr>
        <w:rPr>
          <w:rFonts w:ascii="Cambria" w:hAnsi="Cambria"/>
          <w:sz w:val="24"/>
          <w:szCs w:val="24"/>
        </w:rPr>
      </w:pPr>
    </w:p>
    <w:sectPr w:rsidR="00C627A5" w:rsidRPr="001928CE" w:rsidSect="001F61F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63"/>
    <w:rsid w:val="001928CE"/>
    <w:rsid w:val="001B23C9"/>
    <w:rsid w:val="001F61F4"/>
    <w:rsid w:val="002338D7"/>
    <w:rsid w:val="003E22ED"/>
    <w:rsid w:val="005D7C73"/>
    <w:rsid w:val="005F5C63"/>
    <w:rsid w:val="006C00F0"/>
    <w:rsid w:val="00785CFC"/>
    <w:rsid w:val="00854AA5"/>
    <w:rsid w:val="00A26A33"/>
    <w:rsid w:val="00B1797C"/>
    <w:rsid w:val="00B65FE7"/>
    <w:rsid w:val="00BE2D92"/>
    <w:rsid w:val="00C627A5"/>
    <w:rsid w:val="00EA52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3886"/>
  <w15:chartTrackingRefBased/>
  <w15:docId w15:val="{832695B0-6225-4F88-8E1D-F6E714CF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85CFC"/>
    <w:rPr>
      <w:color w:val="0563C1" w:themeColor="hyperlink"/>
      <w:u w:val="single"/>
    </w:rPr>
  </w:style>
  <w:style w:type="character" w:styleId="a4">
    <w:name w:val="Unresolved Mention"/>
    <w:basedOn w:val="a0"/>
    <w:uiPriority w:val="99"/>
    <w:semiHidden/>
    <w:unhideWhenUsed/>
    <w:rsid w:val="00785C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paaguide.net/hipaa-for-dummies/" TargetMode="External"/><Relationship Id="rId13" Type="http://schemas.openxmlformats.org/officeDocument/2006/relationships/hyperlink" Target="https://www.ftc.gov/system/files/documents/federal_register_notices/2018/05/p072104_-_data_breach_routine_use_sorn_-_pub_frn.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so.org/news/2013/08/Ref1767.html" TargetMode="External"/><Relationship Id="rId12" Type="http://schemas.openxmlformats.org/officeDocument/2006/relationships/hyperlink" Target="https://iclg.com/practice-areas/data-protection-laws-and-regulations/usa#:~:text=There%20is%20no%20single%20principal,Code%20%C2%A7%2041%20et%20seq" TargetMode="External"/><Relationship Id="rId17" Type="http://schemas.openxmlformats.org/officeDocument/2006/relationships/hyperlink" Target="https://www.varonis.com/blog/privacy-design-cheat-sheet/" TargetMode="External"/><Relationship Id="rId2" Type="http://schemas.openxmlformats.org/officeDocument/2006/relationships/settings" Target="settings.xml"/><Relationship Id="rId16" Type="http://schemas.openxmlformats.org/officeDocument/2006/relationships/hyperlink" Target="https://iclg.com/practice-areas/data-protection-laws-and-regulations/usa#:~:text=There%20is%20no%20single%20principal,Code%20%C2%A7%2041%20et%20seq" TargetMode="External"/><Relationship Id="rId1" Type="http://schemas.openxmlformats.org/officeDocument/2006/relationships/styles" Target="styles.xml"/><Relationship Id="rId6" Type="http://schemas.openxmlformats.org/officeDocument/2006/relationships/hyperlink" Target="https://oag.ca.gov/privacy/ccpa" TargetMode="External"/><Relationship Id="rId11" Type="http://schemas.openxmlformats.org/officeDocument/2006/relationships/hyperlink" Target="https://www.ftc.gov/system/files/documents/federal_register_notices/2018/05/p072104_-_data_breach_routine_use_sorn_-_pub_frn.pdf" TargetMode="External"/><Relationship Id="rId5" Type="http://schemas.openxmlformats.org/officeDocument/2006/relationships/hyperlink" Target="https://gdpr-info.eu/" TargetMode="External"/><Relationship Id="rId15" Type="http://schemas.openxmlformats.org/officeDocument/2006/relationships/hyperlink" Target="https://www.ftc.gov/system/files/documents/federal_register_notices/2018/05/p072104_-_data_breach_routine_use_sorn_-_pub_frn.pdf" TargetMode="External"/><Relationship Id="rId10" Type="http://schemas.openxmlformats.org/officeDocument/2006/relationships/hyperlink" Target="https://www.ftc.gov/tips-advice/business-center/guidance/complying-coppa-frequently-asked-questions-0" TargetMode="External"/><Relationship Id="rId19" Type="http://schemas.openxmlformats.org/officeDocument/2006/relationships/theme" Target="theme/theme1.xml"/><Relationship Id="rId4" Type="http://schemas.openxmlformats.org/officeDocument/2006/relationships/hyperlink" Target="https://www.ftc.gov/system/files/documents/federal_register_notices/2018/05/p072104_-_data_breach_routine_use_sorn_-_pub_frn.pdf" TargetMode="External"/><Relationship Id="rId9" Type="http://schemas.openxmlformats.org/officeDocument/2006/relationships/hyperlink" Target="https://www.ftc.gov/tips-advice/business-center/privacy-and-security/gramm-leach-bliley-act" TargetMode="External"/><Relationship Id="rId14" Type="http://schemas.openxmlformats.org/officeDocument/2006/relationships/hyperlink" Target="https://iclg.com/practice-areas/data-protection-laws-and-regulations/usa#:~:text=There%20is%20no%20single%20principal,Code%20%C2%A7%2041%20et%20se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819</Words>
  <Characters>4672</Characters>
  <Application>Microsoft Office Word</Application>
  <DocSecurity>0</DocSecurity>
  <Lines>38</Lines>
  <Paragraphs>10</Paragraphs>
  <ScaleCrop>false</ScaleCrop>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育强 谭</dc:creator>
  <cp:keywords/>
  <dc:description/>
  <cp:lastModifiedBy>育强 谭</cp:lastModifiedBy>
  <cp:revision>5</cp:revision>
  <dcterms:created xsi:type="dcterms:W3CDTF">2021-02-07T03:51:00Z</dcterms:created>
  <dcterms:modified xsi:type="dcterms:W3CDTF">2021-02-07T04:49:00Z</dcterms:modified>
</cp:coreProperties>
</file>