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Oswald" w:cs="Oswald" w:eastAsia="Oswald" w:hAnsi="Oswal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Зайченко Иван, 10-МИ-1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swald" w:cs="Oswald" w:eastAsia="Oswald" w:hAnsi="Oswa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IT-Проект - музыкальный плеер под Android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Функционал: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воспроизведение музыки с устройства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воспроизведение музыки с облака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создание плейлистов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удаление плейлистов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просмотр и проигрывание музыки определенного жанра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просмотр и проигрывание музыки определенного исполнителя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визуализация звука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Действие воспроизвести трек: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пользователь нажимает на трек в каком либо списке(будь то список всех треков пользователя, плейлист, список песен исполнителя, список жанра и т.д)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запускается трек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внизу окна под списком треков отображается мини-контроллер воспроизведения с кнопками и текущей информацией о дорожке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нажимая на контроллер, пользователь переходит в основное окно управления воспроизведения, похожее на контроллер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 уведомлениях также появляется контроллер плеера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Многий функционал будет доступен с панели навигации( “вытаскивается”  свайпом вправо)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 панели навигации можно будет переходить в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список всех треков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облако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список жанров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список исполнителей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меню создания плейлистов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настройки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Внимание!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В конечном продукте пункты меню могут отличаться от представленных здесь!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Для возвращения из данных разделов приложения назад будут отображатся хорошо заметные кнопки.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