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SensoSpoon Design Update</w:t>
      </w:r>
    </w:p>
    <w:p>
      <w:pPr>
        <w:pStyle w:val="Subtitle"/>
      </w:pPr>
      <w:r>
        <w:t>Team sync  |  14 September 2026</w:t>
      </w:r>
    </w:p>
    <w:p>
      <w:r>
        <w:t>This is our current spoon design: a two-axis gimbal driven by two voice coils inside the handle. Dual IMUs provide motion feedback, with an optional EMG band to help estimate intentional movement. The MATLAB model is working; the physical assembly still needs prototype testing.</w:t>
      </w:r>
    </w:p>
    <w:p>
      <w:pPr>
        <w:keepNext/>
      </w:pPr>
      <w:r>
        <w:drawing>
          <wp:inline xmlns:a="http://schemas.openxmlformats.org/drawingml/2006/main" xmlns:pic="http://schemas.openxmlformats.org/drawingml/2006/picture">
            <wp:extent cx="6080760" cy="1722882"/>
            <wp:docPr id="1" name="Picture 1"/>
            <wp:cNvGraphicFramePr>
              <a:graphicFrameLocks noChangeAspect="1"/>
            </wp:cNvGraphicFramePr>
            <a:graphic>
              <a:graphicData uri="http://schemas.openxmlformats.org/drawingml/2006/picture">
                <pic:pic>
                  <pic:nvPicPr>
                    <pic:cNvPr id="0" name="mechanism.png"/>
                    <pic:cNvPicPr/>
                  </pic:nvPicPr>
                  <pic:blipFill>
                    <a:blip r:embed="rId10"/>
                    <a:stretch>
                      <a:fillRect/>
                    </a:stretch>
                  </pic:blipFill>
                  <pic:spPr>
                    <a:xfrm>
                      <a:off x="0" y="0"/>
                      <a:ext cx="6080760" cy="1722882"/>
                    </a:xfrm>
                    <a:prstGeom prst="rect"/>
                  </pic:spPr>
                </pic:pic>
              </a:graphicData>
            </a:graphic>
          </wp:inline>
        </w:drawing>
      </w:r>
    </w:p>
    <w:p>
      <w:pPr>
        <w:pStyle w:val="Caption"/>
      </w:pPr>
      <w:r>
        <w:t>Current MATLAB model: assembled view and internal layout. These are simulation renders.</w:t>
      </w:r>
    </w:p>
    <w:p>
      <w:pPr>
        <w:pStyle w:val="Heading2"/>
      </w:pPr>
      <w:r>
        <w:t>Conceptual design</w:t>
      </w:r>
    </w:p>
    <w:p>
      <w:r>
        <w:t>The aim is to keep the bowl steady while allowing the user to lift and move the spoon naturally. We chose handle-mounted voice coils and flexure pivots for reversible force control and low backlash. The spherical front cover hides a constrained pitch-and-roll mechanism, not a freely rotating ball joint.</w:t>
      </w:r>
    </w:p>
    <w:p>
      <w:pPr>
        <w:pStyle w:val="Heading2"/>
      </w:pPr>
      <w:r>
        <w:t>Detailed design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00"/>
        <w:gridCol w:w="7776"/>
      </w:tblGrid>
      <w:tr>
        <w:trPr>
          <w:cantSplit/>
          <w:tblHeader/>
        </w:trPr>
        <w:tc>
          <w:tcPr>
            <w:tcW w:type="dxa" w:w="1800"/>
            <w:vAlign w:val="center"/>
            <w:tcMar>
              <w:top w:w="85" w:type="dxa"/>
              <w:left w:w="85" w:type="dxa"/>
              <w:bottom w:w="85" w:type="dxa"/>
              <w:right w:w="85" w:type="dxa"/>
            </w:tcMar>
            <w:shd w:fill="343A40"/>
          </w:tcPr>
          <w:p>
            <w:pPr>
              <w:spacing w:after="20" w:line="247" w:lineRule="auto"/>
            </w:pPr>
            <w:r>
              <w:rPr>
                <w:b/>
                <w:color w:val="FFFFFF"/>
                <w:sz w:val="19"/>
              </w:rPr>
              <w:t>Part</w:t>
            </w:r>
          </w:p>
        </w:tc>
        <w:tc>
          <w:tcPr>
            <w:tcW w:type="dxa" w:w="7776"/>
            <w:vAlign w:val="center"/>
            <w:tcMar>
              <w:top w:w="85" w:type="dxa"/>
              <w:left w:w="85" w:type="dxa"/>
              <w:bottom w:w="85" w:type="dxa"/>
              <w:right w:w="85" w:type="dxa"/>
            </w:tcMar>
            <w:shd w:fill="343A40"/>
          </w:tcPr>
          <w:p>
            <w:pPr>
              <w:spacing w:after="20" w:line="247" w:lineRule="auto"/>
            </w:pPr>
            <w:r>
              <w:rPr>
                <w:b/>
                <w:color w:val="FFFFFF"/>
                <w:sz w:val="19"/>
              </w:rPr>
              <w:t>Current choice</w:t>
            </w:r>
          </w:p>
        </w:tc>
      </w:tr>
      <w:tr>
        <w:trPr>
          <w:cantSplit/>
        </w:trPr>
        <w:tc>
          <w:tcPr>
            <w:tcW w:type="dxa" w:w="1800"/>
            <w:vAlign w:val="center"/>
            <w:tcMar>
              <w:top w:w="85" w:type="dxa"/>
              <w:left w:w="85" w:type="dxa"/>
              <w:bottom w:w="85" w:type="dxa"/>
              <w:right w:w="85" w:type="dxa"/>
            </w:tcMar>
            <w:shd w:fill="FFFFFF"/>
          </w:tcPr>
          <w:p>
            <w:pPr>
              <w:spacing w:after="20" w:line="247" w:lineRule="auto"/>
            </w:pPr>
            <w:r>
              <w:rPr>
                <w:b w:val="0"/>
                <w:color w:val="000000"/>
                <w:sz w:val="19"/>
              </w:rPr>
              <w:t>Actuation</w:t>
            </w:r>
          </w:p>
        </w:tc>
        <w:tc>
          <w:tcPr>
            <w:tcW w:type="dxa" w:w="7776"/>
            <w:vAlign w:val="center"/>
            <w:tcMar>
              <w:top w:w="85" w:type="dxa"/>
              <w:left w:w="85" w:type="dxa"/>
              <w:bottom w:w="85" w:type="dxa"/>
              <w:right w:w="85" w:type="dxa"/>
            </w:tcMar>
            <w:shd w:fill="FFFFFF"/>
          </w:tcPr>
          <w:p>
            <w:pPr>
              <w:spacing w:after="20" w:line="247" w:lineRule="auto"/>
            </w:pPr>
            <w:r>
              <w:rPr>
                <w:b w:val="0"/>
                <w:color w:val="000000"/>
                <w:sz w:val="19"/>
              </w:rPr>
              <w:t>2 × Moticont GVCM-016-019-01M voice coils; 12.7 mm total stroke. Housings fixed to the handle.</w:t>
            </w:r>
          </w:p>
        </w:tc>
      </w:tr>
      <w:tr>
        <w:trPr>
          <w:cantSplit/>
        </w:trPr>
        <w:tc>
          <w:tcPr>
            <w:tcW w:type="dxa" w:w="1800"/>
            <w:vAlign w:val="center"/>
            <w:tcMar>
              <w:top w:w="85" w:type="dxa"/>
              <w:left w:w="85" w:type="dxa"/>
              <w:bottom w:w="85" w:type="dxa"/>
              <w:right w:w="85" w:type="dxa"/>
            </w:tcMar>
            <w:shd w:fill="F2F4F6"/>
          </w:tcPr>
          <w:p>
            <w:pPr>
              <w:spacing w:after="20" w:line="247" w:lineRule="auto"/>
            </w:pPr>
            <w:r>
              <w:rPr>
                <w:b w:val="0"/>
                <w:color w:val="000000"/>
                <w:sz w:val="19"/>
              </w:rPr>
              <w:t>Gimbal</w:t>
            </w:r>
          </w:p>
        </w:tc>
        <w:tc>
          <w:tcPr>
            <w:tcW w:type="dxa" w:w="7776"/>
            <w:vAlign w:val="center"/>
            <w:tcMar>
              <w:top w:w="85" w:type="dxa"/>
              <w:left w:w="85" w:type="dxa"/>
              <w:bottom w:w="85" w:type="dxa"/>
              <w:right w:w="85" w:type="dxa"/>
            </w:tcMar>
            <w:shd w:fill="F2F4F6"/>
          </w:tcPr>
          <w:p>
            <w:pPr>
              <w:spacing w:after="20" w:line="247" w:lineRule="auto"/>
            </w:pPr>
            <w:r>
              <w:rPr>
                <w:b w:val="0"/>
                <w:color w:val="000000"/>
                <w:sz w:val="19"/>
              </w:rPr>
              <w:t>2 × C-Flex B-10 pitch pivots and 1 × D-10 roll pivot; custom carrier, mounts and rod ends.</w:t>
            </w:r>
          </w:p>
        </w:tc>
      </w:tr>
      <w:tr>
        <w:trPr>
          <w:cantSplit/>
        </w:trPr>
        <w:tc>
          <w:tcPr>
            <w:tcW w:type="dxa" w:w="1800"/>
            <w:vAlign w:val="center"/>
            <w:tcMar>
              <w:top w:w="85" w:type="dxa"/>
              <w:left w:w="85" w:type="dxa"/>
              <w:bottom w:w="85" w:type="dxa"/>
              <w:right w:w="85" w:type="dxa"/>
            </w:tcMar>
            <w:shd w:fill="FFFFFF"/>
          </w:tcPr>
          <w:p>
            <w:pPr>
              <w:spacing w:after="20" w:line="247" w:lineRule="auto"/>
            </w:pPr>
            <w:r>
              <w:rPr>
                <w:b w:val="0"/>
                <w:color w:val="000000"/>
                <w:sz w:val="19"/>
              </w:rPr>
              <w:t>Transmission</w:t>
            </w:r>
          </w:p>
        </w:tc>
        <w:tc>
          <w:tcPr>
            <w:tcW w:type="dxa" w:w="7776"/>
            <w:vAlign w:val="center"/>
            <w:tcMar>
              <w:top w:w="85" w:type="dxa"/>
              <w:left w:w="85" w:type="dxa"/>
              <w:bottom w:w="85" w:type="dxa"/>
              <w:right w:w="85" w:type="dxa"/>
            </w:tcMar>
            <w:shd w:fill="FFFFFF"/>
          </w:tcPr>
          <w:p>
            <w:pPr>
              <w:spacing w:after="20" w:line="247" w:lineRule="auto"/>
            </w:pPr>
            <w:r>
              <w:rPr>
                <w:b w:val="0"/>
                <w:color w:val="000000"/>
                <w:sz w:val="19"/>
              </w:rPr>
              <w:t>Two straight but inclined pushrods. Staggered actuators keep the grip narrower; the rear unit has a shaft extension.</w:t>
            </w:r>
          </w:p>
        </w:tc>
      </w:tr>
      <w:tr>
        <w:trPr>
          <w:cantSplit/>
        </w:trPr>
        <w:tc>
          <w:tcPr>
            <w:tcW w:type="dxa" w:w="1800"/>
            <w:vAlign w:val="center"/>
            <w:tcMar>
              <w:top w:w="85" w:type="dxa"/>
              <w:left w:w="85" w:type="dxa"/>
              <w:bottom w:w="85" w:type="dxa"/>
              <w:right w:w="85" w:type="dxa"/>
            </w:tcMar>
            <w:shd w:fill="F2F4F6"/>
          </w:tcPr>
          <w:p>
            <w:pPr>
              <w:spacing w:after="20" w:line="247" w:lineRule="auto"/>
            </w:pPr>
            <w:r>
              <w:rPr>
                <w:b w:val="0"/>
                <w:color w:val="000000"/>
                <w:sz w:val="19"/>
              </w:rPr>
              <w:t>Electronics</w:t>
            </w:r>
          </w:p>
        </w:tc>
        <w:tc>
          <w:tcPr>
            <w:tcW w:type="dxa" w:w="7776"/>
            <w:vAlign w:val="center"/>
            <w:tcMar>
              <w:top w:w="85" w:type="dxa"/>
              <w:left w:w="85" w:type="dxa"/>
              <w:bottom w:w="85" w:type="dxa"/>
              <w:right w:w="85" w:type="dxa"/>
            </w:tcMar>
            <w:shd w:fill="F2F4F6"/>
          </w:tcPr>
          <w:p>
            <w:pPr>
              <w:spacing w:after="20" w:line="247" w:lineRule="auto"/>
            </w:pPr>
            <w:r>
              <w:rPr>
                <w:b w:val="0"/>
                <w:color w:val="000000"/>
                <w:sz w:val="19"/>
              </w:rPr>
              <w:t>2 × BMI270 IMUs, 2 × DRV8876 drivers and an STM32G431CBT6 MCU. Main PCB layout is not finished.</w:t>
            </w:r>
          </w:p>
        </w:tc>
      </w:tr>
      <w:tr>
        <w:trPr>
          <w:cantSplit/>
        </w:trPr>
        <w:tc>
          <w:tcPr>
            <w:tcW w:type="dxa" w:w="1800"/>
            <w:vAlign w:val="center"/>
            <w:tcMar>
              <w:top w:w="85" w:type="dxa"/>
              <w:left w:w="85" w:type="dxa"/>
              <w:bottom w:w="85" w:type="dxa"/>
              <w:right w:w="85" w:type="dxa"/>
            </w:tcMar>
            <w:shd w:fill="FFFFFF"/>
          </w:tcPr>
          <w:p>
            <w:pPr>
              <w:spacing w:after="20" w:line="247" w:lineRule="auto"/>
            </w:pPr>
            <w:r>
              <w:rPr>
                <w:b w:val="0"/>
                <w:color w:val="000000"/>
                <w:sz w:val="19"/>
              </w:rPr>
              <w:t>Size and power</w:t>
            </w:r>
          </w:p>
        </w:tc>
        <w:tc>
          <w:tcPr>
            <w:tcW w:type="dxa" w:w="7776"/>
            <w:vAlign w:val="center"/>
            <w:tcMar>
              <w:top w:w="85" w:type="dxa"/>
              <w:left w:w="85" w:type="dxa"/>
              <w:bottom w:w="85" w:type="dxa"/>
              <w:right w:w="85" w:type="dxa"/>
            </w:tcMar>
            <w:shd w:fill="FFFFFF"/>
          </w:tcPr>
          <w:p>
            <w:pPr>
              <w:spacing w:after="20" w:line="247" w:lineRule="auto"/>
            </w:pPr>
            <w:r>
              <w:rPr>
                <w:b w:val="0"/>
                <w:color w:val="000000"/>
                <w:sz w:val="19"/>
              </w:rPr>
              <w:t>271 mm overall; bowl 62 × 40 × 12 mm; 31 mm curved neck; model supply 7.4 V, 400 mAh.</w:t>
            </w:r>
          </w:p>
        </w:tc>
      </w:tr>
    </w:tbl>
    <w:p/>
    <w:p>
      <w:pPr>
        <w:pStyle w:val="Heading2"/>
      </w:pPr>
      <w:r>
        <w:t>How pitch and roll work</w:t>
      </w:r>
    </w:p>
    <w:p>
      <w:r>
        <w:t>Pitch moves the tip up and down. Roll lifts one side of the bowl while lowering the other. Both coils work together for both axes. Roll torque comes from offset attachment points and transverse pushrod forces: offset alone is not enough if the force is exactly parallel to the spoon’s length. No right-angle rod bend is needed.</w:t>
      </w:r>
    </w:p>
    <w:p>
      <w:r>
        <w:br w:type="page"/>
      </w:r>
    </w:p>
    <w:p>
      <w:pPr>
        <w:pStyle w:val="Heading1"/>
      </w:pPr>
      <w:r>
        <w:t>Control and EMG</w:t>
      </w:r>
    </w:p>
    <w:p>
      <w:r>
        <w:t>The two IMUs measure handle and spoon motion. An 800 Hz attitude controller estimates the intended movement and requests compensating torque; a 10 kHz current controller drives the coils. Commanded relative angles are limited to ±14°, with compliant stops modelled at ±15°.</w:t>
      </w:r>
    </w:p>
    <w:p>
      <w:r>
        <w:t>The optional four-channel EMG band measures forearm muscle activity. After calibration, it adds a small correction to the intended-motion estimate; it does not move the spoon or stimulate muscles. It is disabled by default and falls back to IMU-only control when its signal is invalid. Current EMG data are synthetic, not human recordings.</w:t>
      </w:r>
    </w:p>
    <w:p>
      <w:pPr>
        <w:pStyle w:val="Heading2"/>
      </w:pPr>
      <w:r>
        <w:t>What the simulation shows</w:t>
      </w:r>
    </w:p>
    <w:p>
      <w:r>
        <w:t>• Strong-tremor case: 4 Hz, 5° per axis and 8 mL of soup. Attitude vibration falls by about 92.6%; estimated spill is 2.73 mL without control and zero with control.</w:t>
      </w:r>
    </w:p>
    <w:p>
      <w:r>
        <w:t>• EMG comparison: in a separate voluntary-motion-plus-tremor trial, attitude RMS error falls from 0.498° to 0.418°, but peak current rises from 0.80 A to 1.33 A.</w:t>
      </w:r>
    </w:p>
    <w:p>
      <w:r>
        <w:t>• These are specific test cases. The liquid model is simplified, and large or out-of-band tremor can exceed the mechanism’s limits. We cannot claim 100% suppression under every condition.</w:t>
      </w:r>
    </w:p>
    <w:p>
      <w:pPr>
        <w:pStyle w:val="Heading2"/>
      </w:pPr>
      <w:r>
        <w:t>Safety</w:t>
      </w:r>
    </w:p>
    <w:p>
      <w:r>
        <w:t>For water protection, the plan is to seal the shell joints, buttons and charging port, and use a flexible seal around the moving spoon connection. The seal must not restrict gimbal travel. The detachable food-contact spoon should be washed separately; the powered handle should not be immersed. No waterproof or IP rating has been verified.</w:t>
      </w:r>
    </w:p>
    <w:p>
      <w:r>
        <w:t>For electrical safety, the plan is to insulate the battery, PCB and wiring from the metal spoon and moisture, add battery overcharge, over-discharge and short-circuit protection, and stop operation during charging. Low battery voltage does not mean zero leakage-current or short-circuit risk. The EMG band should operate from battery power while worn, without a wired charging connection. Leakage current, insulation and wet-condition faults still need testing.</w:t>
      </w:r>
    </w:p>
    <w:p>
      <w:r>
        <w:t>The selected driver includes overcurrent and thermal protection, but those features do not prove the whole product is safe. We also need guarded pinch points and a tested response to sensor loss or jamming. These are prototype requirements, not completed safety features.</w:t>
      </w:r>
    </w:p>
    <w:p>
      <w:pPr>
        <w:pStyle w:val="Caption"/>
      </w:pPr>
      <w:r>
        <w:t>Driver protection details: https://www.ti.com/product/DRV8876</w:t>
      </w:r>
    </w:p>
    <w:p>
      <w:pPr>
        <w:pStyle w:val="Heading2"/>
      </w:pPr>
      <w:r>
        <w:t>Next team tasks</w:t>
      </w:r>
    </w:p>
    <w:p>
      <w:r>
        <w:t>• Finalise rod ends, shaft-extension stiffness, clearances and the quick-release connection.</w:t>
        <w:br/>
        <w:t>• Finish PCB routing, sealing and charging/protection circuitry.</w:t>
        <w:br/>
        <w:t>• Test the physical mechanism and real EMG, then check grip comfort and cleaning.</w:t>
      </w:r>
    </w:p>
    <w:sectPr w:rsidR="00FC693F" w:rsidRPr="0006063C" w:rsidSect="00034616">
      <w:footerReference w:type="default" r:id="rId9"/>
      <w:pgSz w:w="11909" w:h="16834"/>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SensoSpoon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line="259" w:lineRule="auto"/>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heme="majorHAnsi" w:eastAsiaTheme="majorEastAsia" w:hAnsiTheme="majorHAnsi" w:cstheme="majorBidi" w:ascii="Calibri" w:hAnsi="Calibri"/>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heme="majorHAnsi" w:eastAsiaTheme="majorEastAsia" w:hAnsiTheme="majorHAnsi" w:cstheme="majorBidi" w:ascii="Calibri" w:hAnsi="Calibri"/>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line="259" w:lineRule="auto"/>
    </w:pPr>
    <w:rPr>
      <w:rFonts w:asciiTheme="majorHAnsi" w:eastAsiaTheme="majorEastAsia" w:hAnsiTheme="majorHAnsi" w:cstheme="majorBidi" w:ascii="Calibri" w:hAnsi="Calibri"/>
      <w:b w:val="0"/>
      <w:i w:val="0"/>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59" w:lineRule="auto" w:after="120"/>
    </w:pPr>
    <w:rPr>
      <w:rFonts w:ascii="Calibri" w:hAnsi="Calibri"/>
      <w:b w:val="0"/>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SensoSpoon Design Update</dc:title>
  <dc:subject/>
  <dc:creator>youngskylty</dc:creator>
  <cp:keywords/>
  <dc:description>generated by python-docx</dc:description>
  <cp:lastModifiedBy>youngskylty</cp:lastModifiedBy>
  <cp:revision>1</cp:revision>
  <dcterms:created xsi:type="dcterms:W3CDTF">2013-12-23T23:15:00Z</dcterms:created>
  <dcterms:modified xsi:type="dcterms:W3CDTF">2013-12-23T23:15:00Z</dcterms:modified>
  <cp:category/>
</cp:coreProperties>
</file>