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SensoSpoon Design Reference</w:t>
      </w:r>
    </w:p>
    <w:p>
      <w:pPr>
        <w:pStyle w:val="Subtitle"/>
      </w:pPr>
      <w:r>
        <w:t>Conceptual Design and Detailed Design  |  14 September 2026</w:t>
      </w:r>
    </w:p>
    <w:p>
      <w:r>
        <w:t>SensoSpoon is a handheld eating utensil that uses active pitch and roll control to reduce tremor-related spoon motion. The current design combines a flexure gimbal, two handle-mounted voice-coil actuators, dual IMUs and optional EMG assistance. This document explains what we have selected, why we selected it and what the simulation currently supports.</w:t>
      </w:r>
    </w:p>
    <w:p>
      <w:pPr>
        <w:pStyle w:val="Heading1"/>
      </w:pPr>
      <w:r>
        <w:t>1 Conceptual Design</w:t>
      </w:r>
    </w:p>
    <w:p>
      <w:pPr>
        <w:pStyle w:val="Heading2"/>
      </w:pPr>
      <w:r>
        <w:t>The problem we are addressing</w:t>
      </w:r>
    </w:p>
    <w:p>
      <w:r>
        <w:t>The spoon needs to remain steady enough to carry food while still following the user’s intended movement toward the mouth. Simply opposing all handle movement would also resist normal eating. The system therefore needs both an estimate of intended motion and a mechanism that can produce rapid, controlled corrections.</w:t>
      </w:r>
    </w:p>
    <w:p>
      <w:r>
        <w:t>Our scope is two-axis angular stabilisation. Pitch raises or lowers the spoon tip; roll raises one side of the bowl and lowers the other. The initial evaluation band is 4–12 Hz. A useful nominal objective is at least 90% attitude RMS reduction in 1°-per-axis tests, while separately checking voluntary-motion tracking. These are engineering test conditions, not a claim that every user’s tremor fits this range.</w:t>
      </w:r>
    </w:p>
    <w:p>
      <w:pPr>
        <w:pStyle w:val="Heading2"/>
      </w:pPr>
      <w:r>
        <w:t>Why we selected this arrangement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736"/>
        <w:gridCol w:w="6840"/>
      </w:tblGrid>
      <w:tr>
        <w:trPr>
          <w:cantSplit/>
          <w:tblHeader/>
        </w:trPr>
        <w:tc>
          <w:tcPr>
            <w:tcW w:type="dxa" w:w="2736"/>
            <w:vAlign w:val="center"/>
            <w:tcMar>
              <w:top w:w="85" w:type="dxa"/>
              <w:left w:w="85" w:type="dxa"/>
              <w:bottom w:w="85" w:type="dxa"/>
              <w:right w:w="85" w:type="dxa"/>
            </w:tcMar>
            <w:shd w:fill="343A40"/>
          </w:tcPr>
          <w:p>
            <w:pPr>
              <w:spacing w:after="20" w:line="247" w:lineRule="auto"/>
            </w:pPr>
            <w:r>
              <w:rPr>
                <w:b/>
                <w:color w:val="FFFFFF"/>
                <w:sz w:val="19"/>
              </w:rPr>
              <w:t>Design choice</w:t>
            </w:r>
          </w:p>
        </w:tc>
        <w:tc>
          <w:tcPr>
            <w:tcW w:type="dxa" w:w="6840"/>
            <w:vAlign w:val="center"/>
            <w:tcMar>
              <w:top w:w="85" w:type="dxa"/>
              <w:left w:w="85" w:type="dxa"/>
              <w:bottom w:w="85" w:type="dxa"/>
              <w:right w:w="85" w:type="dxa"/>
            </w:tcMar>
            <w:shd w:fill="343A40"/>
          </w:tcPr>
          <w:p>
            <w:pPr>
              <w:spacing w:after="20" w:line="247" w:lineRule="auto"/>
            </w:pPr>
            <w:r>
              <w:rPr>
                <w:b/>
                <w:color w:val="FFFFFF"/>
                <w:sz w:val="19"/>
              </w:rPr>
              <w:t>Reason and tradeoff</w:t>
            </w:r>
          </w:p>
        </w:tc>
      </w:tr>
      <w:tr>
        <w:trPr>
          <w:cantSplit/>
        </w:trPr>
        <w:tc>
          <w:tcPr>
            <w:tcW w:type="dxa" w:w="2736"/>
            <w:vAlign w:val="center"/>
            <w:tcMar>
              <w:top w:w="85" w:type="dxa"/>
              <w:left w:w="85" w:type="dxa"/>
              <w:bottom w:w="85" w:type="dxa"/>
              <w:right w:w="85" w:type="dxa"/>
            </w:tcMar>
            <w:shd w:fill="FFFFFF"/>
          </w:tcPr>
          <w:p>
            <w:pPr>
              <w:spacing w:after="20" w:line="247" w:lineRule="auto"/>
            </w:pPr>
            <w:r>
              <w:rPr>
                <w:b w:val="0"/>
                <w:color w:val="000000"/>
                <w:sz w:val="19"/>
              </w:rPr>
              <w:t>Active correction rather than passive weighting</w:t>
            </w:r>
          </w:p>
        </w:tc>
        <w:tc>
          <w:tcPr>
            <w:tcW w:type="dxa" w:w="6840"/>
            <w:vAlign w:val="center"/>
            <w:tcMar>
              <w:top w:w="85" w:type="dxa"/>
              <w:left w:w="85" w:type="dxa"/>
              <w:bottom w:w="85" w:type="dxa"/>
              <w:right w:w="85" w:type="dxa"/>
            </w:tcMar>
            <w:shd w:fill="FFFFFF"/>
          </w:tcPr>
          <w:p>
            <w:pPr>
              <w:spacing w:after="20" w:line="247" w:lineRule="auto"/>
            </w:pPr>
            <w:r>
              <w:rPr>
                <w:b w:val="0"/>
                <w:color w:val="000000"/>
                <w:sz w:val="19"/>
              </w:rPr>
              <w:t>Allows the spoon attitude to be regulated from sensor feedback. This adds power, sensing and control requirements.</w:t>
            </w:r>
          </w:p>
        </w:tc>
      </w:tr>
      <w:tr>
        <w:trPr>
          <w:cantSplit/>
        </w:trPr>
        <w:tc>
          <w:tcPr>
            <w:tcW w:type="dxa" w:w="2736"/>
            <w:vAlign w:val="center"/>
            <w:tcMar>
              <w:top w:w="85" w:type="dxa"/>
              <w:left w:w="85" w:type="dxa"/>
              <w:bottom w:w="85" w:type="dxa"/>
              <w:right w:w="85" w:type="dxa"/>
            </w:tcMar>
            <w:shd w:fill="F2F4F6"/>
          </w:tcPr>
          <w:p>
            <w:pPr>
              <w:spacing w:after="20" w:line="247" w:lineRule="auto"/>
            </w:pPr>
            <w:r>
              <w:rPr>
                <w:b w:val="0"/>
                <w:color w:val="000000"/>
                <w:sz w:val="19"/>
              </w:rPr>
              <w:t>Voice coils fixed inside the handle</w:t>
            </w:r>
          </w:p>
        </w:tc>
        <w:tc>
          <w:tcPr>
            <w:tcW w:type="dxa" w:w="6840"/>
            <w:vAlign w:val="center"/>
            <w:tcMar>
              <w:top w:w="85" w:type="dxa"/>
              <w:left w:w="85" w:type="dxa"/>
              <w:bottom w:w="85" w:type="dxa"/>
              <w:right w:w="85" w:type="dxa"/>
            </w:tcMar>
            <w:shd w:fill="F2F4F6"/>
          </w:tcPr>
          <w:p>
            <w:pPr>
              <w:spacing w:after="20" w:line="247" w:lineRule="auto"/>
            </w:pPr>
            <w:r>
              <w:rPr>
                <w:b w:val="0"/>
                <w:color w:val="000000"/>
                <w:sz w:val="19"/>
              </w:rPr>
              <w:t>Provide bidirectional linear force without a geared rotary transmission. Their movers and rods still add inertia, and travel is limited.</w:t>
            </w:r>
          </w:p>
        </w:tc>
      </w:tr>
      <w:tr>
        <w:trPr>
          <w:cantSplit/>
        </w:trPr>
        <w:tc>
          <w:tcPr>
            <w:tcW w:type="dxa" w:w="2736"/>
            <w:vAlign w:val="center"/>
            <w:tcMar>
              <w:top w:w="85" w:type="dxa"/>
              <w:left w:w="85" w:type="dxa"/>
              <w:bottom w:w="85" w:type="dxa"/>
              <w:right w:w="85" w:type="dxa"/>
            </w:tcMar>
            <w:shd w:fill="FFFFFF"/>
          </w:tcPr>
          <w:p>
            <w:pPr>
              <w:spacing w:after="20" w:line="247" w:lineRule="auto"/>
            </w:pPr>
            <w:r>
              <w:rPr>
                <w:b w:val="0"/>
                <w:color w:val="000000"/>
                <w:sz w:val="19"/>
              </w:rPr>
              <w:t>Flexure gimbal with direct pushrods</w:t>
            </w:r>
          </w:p>
        </w:tc>
        <w:tc>
          <w:tcPr>
            <w:tcW w:type="dxa" w:w="6840"/>
            <w:vAlign w:val="center"/>
            <w:tcMar>
              <w:top w:w="85" w:type="dxa"/>
              <w:left w:w="85" w:type="dxa"/>
              <w:bottom w:w="85" w:type="dxa"/>
              <w:right w:w="85" w:type="dxa"/>
            </w:tcMar>
            <w:shd w:fill="FFFFFF"/>
          </w:tcPr>
          <w:p>
            <w:pPr>
              <w:spacing w:after="20" w:line="247" w:lineRule="auto"/>
            </w:pPr>
            <w:r>
              <w:rPr>
                <w:b w:val="0"/>
                <w:color w:val="000000"/>
                <w:sz w:val="19"/>
              </w:rPr>
              <w:t>Provides low-backlash rotational support and avoids a bellcrank. Restoring stiffness, rod angles and coupled torques must be included in control.</w:t>
            </w:r>
          </w:p>
        </w:tc>
      </w:tr>
      <w:tr>
        <w:trPr>
          <w:cantSplit/>
        </w:trPr>
        <w:tc>
          <w:tcPr>
            <w:tcW w:type="dxa" w:w="2736"/>
            <w:vAlign w:val="center"/>
            <w:tcMar>
              <w:top w:w="85" w:type="dxa"/>
              <w:left w:w="85" w:type="dxa"/>
              <w:bottom w:w="85" w:type="dxa"/>
              <w:right w:w="85" w:type="dxa"/>
            </w:tcMar>
            <w:shd w:fill="F2F4F6"/>
          </w:tcPr>
          <w:p>
            <w:pPr>
              <w:spacing w:after="20" w:line="247" w:lineRule="auto"/>
            </w:pPr>
            <w:r>
              <w:rPr>
                <w:b w:val="0"/>
                <w:color w:val="000000"/>
                <w:sz w:val="19"/>
              </w:rPr>
              <w:t>Dual IMUs with optional EMG</w:t>
            </w:r>
          </w:p>
        </w:tc>
        <w:tc>
          <w:tcPr>
            <w:tcW w:type="dxa" w:w="6840"/>
            <w:vAlign w:val="center"/>
            <w:tcMar>
              <w:top w:w="85" w:type="dxa"/>
              <w:left w:w="85" w:type="dxa"/>
              <w:bottom w:w="85" w:type="dxa"/>
              <w:right w:w="85" w:type="dxa"/>
            </w:tcMar>
            <w:shd w:fill="F2F4F6"/>
          </w:tcPr>
          <w:p>
            <w:pPr>
              <w:spacing w:after="20" w:line="247" w:lineRule="auto"/>
            </w:pPr>
            <w:r>
              <w:rPr>
                <w:b w:val="0"/>
                <w:color w:val="000000"/>
                <w:sz w:val="19"/>
              </w:rPr>
              <w:t>IMUs measure actual motion; EMG can add information about muscle activation. EMG needs individual calibration and may contain tremor and noise.</w:t>
            </w:r>
          </w:p>
        </w:tc>
      </w:tr>
    </w:tbl>
    <w:p/>
    <w:p>
      <w:pPr>
        <w:pStyle w:val="Heading2"/>
      </w:pPr>
      <w:r>
        <w:t>How the system works as a whole</w:t>
      </w:r>
    </w:p>
    <w:p>
      <w:r>
        <w:t>The handle IMU measures incoming motion, while the spoon IMU measures the resulting bowl motion. The controller estimates the motion that should be preserved and commands the two coils to reduce the remaining attitude error. The user still decides the eating path; the spoon does not autonomously plan a route to the mouth.</w:t>
      </w:r>
    </w:p>
    <w:p>
      <w:r>
        <w:t>The handle contains the fixed electronics and actuator housings. The detachable spoon is carried by a custom two-axis mechanism inside a spherical front cover. This keeps the overall form close to an ordinary powered utensil, although grip comfort and cleaning still need physical testing. The combined architecture is the proposed design contribution; novelty requires comparison with the literature, rather than a claim based only on the appearance.</w:t>
      </w:r>
    </w:p>
    <w:p>
      <w:r>
        <w:br w:type="page"/>
      </w:r>
    </w:p>
    <w:p>
      <w:pPr>
        <w:pStyle w:val="Heading1"/>
      </w:pPr>
      <w:r>
        <w:t>2 Detailed Design</w:t>
      </w:r>
    </w:p>
    <w:p>
      <w:pPr>
        <w:pStyle w:val="Heading2"/>
      </w:pPr>
      <w:r>
        <w:t>Mechanical layout</w:t>
      </w:r>
    </w:p>
    <w:p>
      <w:r>
        <w:t>Two C-Flex B-10 flexure pivots support pitch, and one D-10 pivot supports roll. The spherical moving carrier follows these constrained axes; it is not a free ball-and-socket bearing. The pivots are catalogue components, while the carrier, frames, rod ends, quick release and enclosure are custom parts.</w:t>
      </w:r>
    </w:p>
    <w:p>
      <w:pPr>
        <w:keepNext/>
      </w:pPr>
      <w:r>
        <w:drawing>
          <wp:inline xmlns:a="http://schemas.openxmlformats.org/drawingml/2006/main" xmlns:pic="http://schemas.openxmlformats.org/drawingml/2006/picture">
            <wp:extent cx="6080760" cy="1722882"/>
            <wp:docPr id="1" name="Picture 1"/>
            <wp:cNvGraphicFramePr>
              <a:graphicFrameLocks noChangeAspect="1"/>
            </wp:cNvGraphicFramePr>
            <a:graphic>
              <a:graphicData uri="http://schemas.openxmlformats.org/drawingml/2006/picture">
                <pic:pic>
                  <pic:nvPicPr>
                    <pic:cNvPr id="0" name="mechanism.png"/>
                    <pic:cNvPicPr/>
                  </pic:nvPicPr>
                  <pic:blipFill>
                    <a:blip r:embed="rId10"/>
                    <a:stretch>
                      <a:fillRect/>
                    </a:stretch>
                  </pic:blipFill>
                  <pic:spPr>
                    <a:xfrm>
                      <a:off x="0" y="0"/>
                      <a:ext cx="6080760" cy="1722882"/>
                    </a:xfrm>
                    <a:prstGeom prst="rect"/>
                  </pic:spPr>
                </pic:pic>
              </a:graphicData>
            </a:graphic>
          </wp:inline>
        </w:drawing>
      </w:r>
    </w:p>
    <w:p>
      <w:pPr>
        <w:pStyle w:val="Caption"/>
      </w:pPr>
      <w:r>
        <w:t>Figure 1. Current MATLAB geometry: assembled view and cutaway. These are model renders, not prototype photographs.</w:t>
      </w:r>
    </w:p>
    <w:p>
      <w:pPr>
        <w:pStyle w:val="Heading2"/>
      </w:pPr>
      <w:r>
        <w:t>How the coils create pitch and roll</w:t>
      </w:r>
    </w:p>
    <w:p>
      <w:r>
        <w:t>The selected Moticont GVCM-016-019-01M is a guided linear voice-coil motor. Current produces force in one direction; reversing current reverses that force. Its housing stays fixed, while the moving assembly drives a pushrod. Each actuator has 12.7 mm total travel, 1.5 N continuous force and 4.6 N intermittent force at 10% duty. The intermittent value is not continuous operating authority.</w:t>
      </w:r>
    </w:p>
    <w:p>
      <w:r>
        <w:t>Both rods contribute to both axes. Pitch comes from moments about the transverse axis. Roll comes from transverse force components acting at offset attachment points around the spoon’s lengthwise axis. Offset alone is not enough if the applied force is exactly parallel to that axis. The rods can be straight, but their installed directions must be inclined; they do not need a right-angle bend.</w:t>
      </w:r>
    </w:p>
    <w:p>
      <w:r>
        <w:t>The linkage geometry changes with joint angle. The model solves the fixed rod lengths to obtain actuator displacement and uses the transmission Jacobian to map rod forces into pitch and roll torque. This is why the controller coordinates both coils rather than treating them as independent pitch and roll motors.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7488"/>
      </w:tblGrid>
      <w:tr>
        <w:trPr>
          <w:cantSplit/>
          <w:tblHeader/>
        </w:trPr>
        <w:tc>
          <w:tcPr>
            <w:tcW w:type="dxa" w:w="2088"/>
            <w:vAlign w:val="center"/>
            <w:tcMar>
              <w:top w:w="85" w:type="dxa"/>
              <w:left w:w="85" w:type="dxa"/>
              <w:bottom w:w="85" w:type="dxa"/>
              <w:right w:w="85" w:type="dxa"/>
            </w:tcMar>
            <w:shd w:fill="343A40"/>
          </w:tcPr>
          <w:p>
            <w:pPr>
              <w:spacing w:after="20" w:line="247" w:lineRule="auto"/>
            </w:pPr>
            <w:r>
              <w:rPr>
                <w:b/>
                <w:color w:val="FFFFFF"/>
                <w:sz w:val="19"/>
              </w:rPr>
              <w:t>Feature</w:t>
            </w:r>
          </w:p>
        </w:tc>
        <w:tc>
          <w:tcPr>
            <w:tcW w:type="dxa" w:w="7488"/>
            <w:vAlign w:val="center"/>
            <w:tcMar>
              <w:top w:w="85" w:type="dxa"/>
              <w:left w:w="85" w:type="dxa"/>
              <w:bottom w:w="85" w:type="dxa"/>
              <w:right w:w="85" w:type="dxa"/>
            </w:tcMar>
            <w:shd w:fill="343A40"/>
          </w:tcPr>
          <w:p>
            <w:pPr>
              <w:spacing w:after="20" w:line="247" w:lineRule="auto"/>
            </w:pPr>
            <w:r>
              <w:rPr>
                <w:b/>
                <w:color w:val="FFFFFF"/>
                <w:sz w:val="19"/>
              </w:rPr>
              <w:t>Current value</w:t>
            </w:r>
          </w:p>
        </w:tc>
      </w:tr>
      <w:tr>
        <w:trPr>
          <w:cantSplit/>
        </w:trPr>
        <w:tc>
          <w:tcPr>
            <w:tcW w:type="dxa" w:w="2088"/>
            <w:vAlign w:val="center"/>
            <w:tcMar>
              <w:top w:w="85" w:type="dxa"/>
              <w:left w:w="85" w:type="dxa"/>
              <w:bottom w:w="85" w:type="dxa"/>
              <w:right w:w="85" w:type="dxa"/>
            </w:tcMar>
            <w:shd w:fill="FFFFFF"/>
          </w:tcPr>
          <w:p>
            <w:pPr>
              <w:spacing w:after="20" w:line="247" w:lineRule="auto"/>
            </w:pPr>
            <w:r>
              <w:rPr>
                <w:b w:val="0"/>
                <w:color w:val="000000"/>
                <w:sz w:val="19"/>
              </w:rPr>
              <w:t>Spoon and neck</w:t>
            </w:r>
          </w:p>
        </w:tc>
        <w:tc>
          <w:tcPr>
            <w:tcW w:type="dxa" w:w="7488"/>
            <w:vAlign w:val="center"/>
            <w:tcMar>
              <w:top w:w="85" w:type="dxa"/>
              <w:left w:w="85" w:type="dxa"/>
              <w:bottom w:w="85" w:type="dxa"/>
              <w:right w:w="85" w:type="dxa"/>
            </w:tcMar>
            <w:shd w:fill="FFFFFF"/>
          </w:tcPr>
          <w:p>
            <w:pPr>
              <w:spacing w:after="20" w:line="247" w:lineRule="auto"/>
            </w:pPr>
            <w:r>
              <w:rPr>
                <w:b w:val="0"/>
                <w:color w:val="000000"/>
                <w:sz w:val="19"/>
              </w:rPr>
              <w:t>62 × 40 × 12 mm bowl; 31 mm curved neck; 1.2 mm rim and 1.8 mm bottom thickness.</w:t>
            </w:r>
          </w:p>
        </w:tc>
      </w:tr>
      <w:tr>
        <w:trPr>
          <w:cantSplit/>
        </w:trPr>
        <w:tc>
          <w:tcPr>
            <w:tcW w:type="dxa" w:w="2088"/>
            <w:vAlign w:val="center"/>
            <w:tcMar>
              <w:top w:w="85" w:type="dxa"/>
              <w:left w:w="85" w:type="dxa"/>
              <w:bottom w:w="85" w:type="dxa"/>
              <w:right w:w="85" w:type="dxa"/>
            </w:tcMar>
            <w:shd w:fill="F2F4F6"/>
          </w:tcPr>
          <w:p>
            <w:pPr>
              <w:spacing w:after="20" w:line="247" w:lineRule="auto"/>
            </w:pPr>
            <w:r>
              <w:rPr>
                <w:b w:val="0"/>
                <w:color w:val="000000"/>
                <w:sz w:val="19"/>
              </w:rPr>
              <w:t>Packaging</w:t>
            </w:r>
          </w:p>
        </w:tc>
        <w:tc>
          <w:tcPr>
            <w:tcW w:type="dxa" w:w="7488"/>
            <w:vAlign w:val="center"/>
            <w:tcMar>
              <w:top w:w="85" w:type="dxa"/>
              <w:left w:w="85" w:type="dxa"/>
              <w:bottom w:w="85" w:type="dxa"/>
              <w:right w:w="85" w:type="dxa"/>
            </w:tcMar>
            <w:shd w:fill="F2F4F6"/>
          </w:tcPr>
          <w:p>
            <w:pPr>
              <w:spacing w:after="20" w:line="247" w:lineRule="auto"/>
            </w:pPr>
            <w:r>
              <w:rPr>
                <w:b w:val="0"/>
                <w:color w:val="000000"/>
                <w:sz w:val="19"/>
              </w:rPr>
              <w:t>271 mm overall; typical grip sections approximately 33 × 28 to 34.4 × 30 mm.</w:t>
            </w:r>
          </w:p>
        </w:tc>
      </w:tr>
      <w:tr>
        <w:trPr>
          <w:cantSplit/>
        </w:trPr>
        <w:tc>
          <w:tcPr>
            <w:tcW w:type="dxa" w:w="2088"/>
            <w:vAlign w:val="center"/>
            <w:tcMar>
              <w:top w:w="85" w:type="dxa"/>
              <w:left w:w="85" w:type="dxa"/>
              <w:bottom w:w="85" w:type="dxa"/>
              <w:right w:w="85" w:type="dxa"/>
            </w:tcMar>
            <w:shd w:fill="FFFFFF"/>
          </w:tcPr>
          <w:p>
            <w:pPr>
              <w:spacing w:after="20" w:line="247" w:lineRule="auto"/>
            </w:pPr>
            <w:r>
              <w:rPr>
                <w:b w:val="0"/>
                <w:color w:val="000000"/>
                <w:sz w:val="19"/>
              </w:rPr>
              <w:t>Gimbal and travel</w:t>
            </w:r>
          </w:p>
        </w:tc>
        <w:tc>
          <w:tcPr>
            <w:tcW w:type="dxa" w:w="7488"/>
            <w:vAlign w:val="center"/>
            <w:tcMar>
              <w:top w:w="85" w:type="dxa"/>
              <w:left w:w="85" w:type="dxa"/>
              <w:bottom w:w="85" w:type="dxa"/>
              <w:right w:w="85" w:type="dxa"/>
            </w:tcMar>
            <w:shd w:fill="FFFFFF"/>
          </w:tcPr>
          <w:p>
            <w:pPr>
              <w:spacing w:after="20" w:line="247" w:lineRule="auto"/>
            </w:pPr>
            <w:r>
              <w:rPr>
                <w:b w:val="0"/>
                <w:color w:val="000000"/>
                <w:sz w:val="19"/>
              </w:rPr>
              <w:t>42 mm maximum front-bezel diameter; 34 mm moving carrier; modelled joint stops at ±15°.</w:t>
            </w:r>
          </w:p>
        </w:tc>
      </w:tr>
      <w:tr>
        <w:trPr>
          <w:cantSplit/>
        </w:trPr>
        <w:tc>
          <w:tcPr>
            <w:tcW w:type="dxa" w:w="2088"/>
            <w:vAlign w:val="center"/>
            <w:tcMar>
              <w:top w:w="85" w:type="dxa"/>
              <w:left w:w="85" w:type="dxa"/>
              <w:bottom w:w="85" w:type="dxa"/>
              <w:right w:w="85" w:type="dxa"/>
            </w:tcMar>
            <w:shd w:fill="F2F4F6"/>
          </w:tcPr>
          <w:p>
            <w:pPr>
              <w:spacing w:after="20" w:line="247" w:lineRule="auto"/>
            </w:pPr>
            <w:r>
              <w:rPr>
                <w:b w:val="0"/>
                <w:color w:val="000000"/>
                <w:sz w:val="19"/>
              </w:rPr>
              <w:t>Actuator layout</w:t>
            </w:r>
          </w:p>
        </w:tc>
        <w:tc>
          <w:tcPr>
            <w:tcW w:type="dxa" w:w="7488"/>
            <w:vAlign w:val="center"/>
            <w:tcMar>
              <w:top w:w="85" w:type="dxa"/>
              <w:left w:w="85" w:type="dxa"/>
              <w:bottom w:w="85" w:type="dxa"/>
              <w:right w:w="85" w:type="dxa"/>
            </w:tcMar>
            <w:shd w:fill="F2F4F6"/>
          </w:tcPr>
          <w:p>
            <w:pPr>
              <w:spacing w:after="20" w:line="247" w:lineRule="auto"/>
            </w:pPr>
            <w:r>
              <w:rPr>
                <w:b w:val="0"/>
                <w:color w:val="000000"/>
                <w:sz w:val="19"/>
              </w:rPr>
              <w:t>Two staggered 15.9 mm diameter actuators; rear unit uses a 32 mm long, 3 mm diameter extension.</w:t>
            </w:r>
          </w:p>
        </w:tc>
      </w:tr>
    </w:tbl>
    <w:p/>
    <w:p>
      <w:r>
        <w:t>Staggering trades additional length for a narrower grip. The extension has about 0.55 mm nominal clearance past the front actuator, but tolerances, bending and fatigue are not yet verified. The C-Flex ±15° indefinite-life statement is conditional on zero load. Loaded life still needs checking. The current joint centre is an equivalent local centre, not a verified remote centre of motion.</w:t>
      </w:r>
    </w:p>
    <w:p>
      <w:r>
        <w:br w:type="page"/>
      </w:r>
    </w:p>
    <w:p>
      <w:pPr>
        <w:pStyle w:val="Heading1"/>
      </w:pPr>
      <w:r>
        <w:t>Electronics and motion control</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04"/>
        <w:gridCol w:w="7272"/>
      </w:tblGrid>
      <w:tr>
        <w:trPr>
          <w:cantSplit/>
          <w:tblHeader/>
        </w:trPr>
        <w:tc>
          <w:tcPr>
            <w:tcW w:type="dxa" w:w="2304"/>
            <w:vAlign w:val="center"/>
            <w:tcMar>
              <w:top w:w="85" w:type="dxa"/>
              <w:left w:w="85" w:type="dxa"/>
              <w:bottom w:w="85" w:type="dxa"/>
              <w:right w:w="85" w:type="dxa"/>
            </w:tcMar>
            <w:shd w:fill="343A40"/>
          </w:tcPr>
          <w:p>
            <w:pPr>
              <w:spacing w:after="20" w:line="247" w:lineRule="auto"/>
            </w:pPr>
            <w:r>
              <w:rPr>
                <w:b/>
                <w:color w:val="FFFFFF"/>
                <w:sz w:val="19"/>
              </w:rPr>
              <w:t>Part or setting</w:t>
            </w:r>
          </w:p>
        </w:tc>
        <w:tc>
          <w:tcPr>
            <w:tcW w:type="dxa" w:w="7272"/>
            <w:vAlign w:val="center"/>
            <w:tcMar>
              <w:top w:w="85" w:type="dxa"/>
              <w:left w:w="85" w:type="dxa"/>
              <w:bottom w:w="85" w:type="dxa"/>
              <w:right w:w="85" w:type="dxa"/>
            </w:tcMar>
            <w:shd w:fill="343A40"/>
          </w:tcPr>
          <w:p>
            <w:pPr>
              <w:spacing w:after="20" w:line="247" w:lineRule="auto"/>
            </w:pPr>
            <w:r>
              <w:rPr>
                <w:b/>
                <w:color w:val="FFFFFF"/>
                <w:sz w:val="19"/>
              </w:rPr>
              <w:t>Current implementation</w:t>
            </w:r>
          </w:p>
        </w:tc>
      </w:tr>
      <w:tr>
        <w:trPr>
          <w:cantSplit/>
        </w:trPr>
        <w:tc>
          <w:tcPr>
            <w:tcW w:type="dxa" w:w="2304"/>
            <w:vAlign w:val="center"/>
            <w:tcMar>
              <w:top w:w="85" w:type="dxa"/>
              <w:left w:w="85" w:type="dxa"/>
              <w:bottom w:w="85" w:type="dxa"/>
              <w:right w:w="85" w:type="dxa"/>
            </w:tcMar>
            <w:shd w:fill="FFFFFF"/>
          </w:tcPr>
          <w:p>
            <w:pPr>
              <w:spacing w:after="20" w:line="247" w:lineRule="auto"/>
            </w:pPr>
            <w:r>
              <w:rPr>
                <w:b w:val="0"/>
                <w:color w:val="000000"/>
                <w:sz w:val="19"/>
              </w:rPr>
              <w:t>Motion sensing</w:t>
            </w:r>
          </w:p>
        </w:tc>
        <w:tc>
          <w:tcPr>
            <w:tcW w:type="dxa" w:w="7272"/>
            <w:vAlign w:val="center"/>
            <w:tcMar>
              <w:top w:w="85" w:type="dxa"/>
              <w:left w:w="85" w:type="dxa"/>
              <w:bottom w:w="85" w:type="dxa"/>
              <w:right w:w="85" w:type="dxa"/>
            </w:tcMar>
            <w:shd w:fill="FFFFFF"/>
          </w:tcPr>
          <w:p>
            <w:pPr>
              <w:spacing w:after="20" w:line="247" w:lineRule="auto"/>
            </w:pPr>
            <w:r>
              <w:rPr>
                <w:b w:val="0"/>
                <w:color w:val="000000"/>
                <w:sz w:val="19"/>
              </w:rPr>
              <w:t>2 × Bosch BMI270; one on the handle and one on the spoon carrier. Model sampling: 800 Hz, ±500°/s and ±8 g.</w:t>
            </w:r>
          </w:p>
        </w:tc>
      </w:tr>
      <w:tr>
        <w:trPr>
          <w:cantSplit/>
        </w:trPr>
        <w:tc>
          <w:tcPr>
            <w:tcW w:type="dxa" w:w="2304"/>
            <w:vAlign w:val="center"/>
            <w:tcMar>
              <w:top w:w="85" w:type="dxa"/>
              <w:left w:w="85" w:type="dxa"/>
              <w:bottom w:w="85" w:type="dxa"/>
              <w:right w:w="85" w:type="dxa"/>
            </w:tcMar>
            <w:shd w:fill="F2F4F6"/>
          </w:tcPr>
          <w:p>
            <w:pPr>
              <w:spacing w:after="20" w:line="247" w:lineRule="auto"/>
            </w:pPr>
            <w:r>
              <w:rPr>
                <w:b w:val="0"/>
                <w:color w:val="000000"/>
                <w:sz w:val="19"/>
              </w:rPr>
              <w:t>Drivers and controller</w:t>
            </w:r>
          </w:p>
        </w:tc>
        <w:tc>
          <w:tcPr>
            <w:tcW w:type="dxa" w:w="7272"/>
            <w:vAlign w:val="center"/>
            <w:tcMar>
              <w:top w:w="85" w:type="dxa"/>
              <w:left w:w="85" w:type="dxa"/>
              <w:bottom w:w="85" w:type="dxa"/>
              <w:right w:w="85" w:type="dxa"/>
            </w:tcMar>
            <w:shd w:fill="F2F4F6"/>
          </w:tcPr>
          <w:p>
            <w:pPr>
              <w:spacing w:after="20" w:line="247" w:lineRule="auto"/>
            </w:pPr>
            <w:r>
              <w:rPr>
                <w:b w:val="0"/>
                <w:color w:val="000000"/>
                <w:sz w:val="19"/>
              </w:rPr>
              <w:t>2 × TI DRV8876PWPR; STM32G431CBT6 MCU selected. Main PCB target 45 × 16 mm; routing and firmware timing remain unfinished.</w:t>
            </w:r>
          </w:p>
        </w:tc>
      </w:tr>
      <w:tr>
        <w:trPr>
          <w:cantSplit/>
        </w:trPr>
        <w:tc>
          <w:tcPr>
            <w:tcW w:type="dxa" w:w="2304"/>
            <w:vAlign w:val="center"/>
            <w:tcMar>
              <w:top w:w="85" w:type="dxa"/>
              <w:left w:w="85" w:type="dxa"/>
              <w:bottom w:w="85" w:type="dxa"/>
              <w:right w:w="85" w:type="dxa"/>
            </w:tcMar>
            <w:shd w:fill="FFFFFF"/>
          </w:tcPr>
          <w:p>
            <w:pPr>
              <w:spacing w:after="20" w:line="247" w:lineRule="auto"/>
            </w:pPr>
            <w:r>
              <w:rPr>
                <w:b w:val="0"/>
                <w:color w:val="000000"/>
                <w:sz w:val="19"/>
              </w:rPr>
              <w:t>Power and limits</w:t>
            </w:r>
          </w:p>
        </w:tc>
        <w:tc>
          <w:tcPr>
            <w:tcW w:type="dxa" w:w="7272"/>
            <w:vAlign w:val="center"/>
            <w:tcMar>
              <w:top w:w="85" w:type="dxa"/>
              <w:left w:w="85" w:type="dxa"/>
              <w:bottom w:w="85" w:type="dxa"/>
              <w:right w:w="85" w:type="dxa"/>
            </w:tcMar>
            <w:shd w:fill="FFFFFF"/>
          </w:tcPr>
          <w:p>
            <w:pPr>
              <w:spacing w:after="20" w:line="247" w:lineRule="auto"/>
            </w:pPr>
            <w:r>
              <w:rPr>
                <w:b w:val="0"/>
                <w:color w:val="000000"/>
                <w:sz w:val="19"/>
              </w:rPr>
              <w:t>7.4 V, 400 mAh model supply; 1.5 A design current limit; actuator stroke ±6.35 mm; commanded relative joint angle ±14°.</w:t>
            </w:r>
          </w:p>
        </w:tc>
      </w:tr>
      <w:tr>
        <w:trPr>
          <w:cantSplit/>
        </w:trPr>
        <w:tc>
          <w:tcPr>
            <w:tcW w:type="dxa" w:w="2304"/>
            <w:vAlign w:val="center"/>
            <w:tcMar>
              <w:top w:w="85" w:type="dxa"/>
              <w:left w:w="85" w:type="dxa"/>
              <w:bottom w:w="85" w:type="dxa"/>
              <w:right w:w="85" w:type="dxa"/>
            </w:tcMar>
            <w:shd w:fill="F2F4F6"/>
          </w:tcPr>
          <w:p>
            <w:pPr>
              <w:spacing w:after="20" w:line="247" w:lineRule="auto"/>
            </w:pPr>
            <w:r>
              <w:rPr>
                <w:b w:val="0"/>
                <w:color w:val="000000"/>
                <w:sz w:val="19"/>
              </w:rPr>
              <w:t>Coil model</w:t>
            </w:r>
          </w:p>
        </w:tc>
        <w:tc>
          <w:tcPr>
            <w:tcW w:type="dxa" w:w="7272"/>
            <w:vAlign w:val="center"/>
            <w:tcMar>
              <w:top w:w="85" w:type="dxa"/>
              <w:left w:w="85" w:type="dxa"/>
              <w:bottom w:w="85" w:type="dxa"/>
              <w:right w:w="85" w:type="dxa"/>
            </w:tcMar>
            <w:shd w:fill="F2F4F6"/>
          </w:tcPr>
          <w:p>
            <w:pPr>
              <w:spacing w:after="20" w:line="247" w:lineRule="auto"/>
            </w:pPr>
            <w:r>
              <w:rPr>
                <w:b w:val="0"/>
                <w:color w:val="000000"/>
                <w:sz w:val="19"/>
              </w:rPr>
              <w:t>4.6 Ω resistance, 0.8 mH inductance and nominal force constant 1.5 N/A; back-EMF, driver resistance and temperature are included.</w:t>
            </w:r>
          </w:p>
        </w:tc>
      </w:tr>
    </w:tbl>
    <w:p/>
    <w:p>
      <w:pPr>
        <w:pStyle w:val="Heading2"/>
      </w:pPr>
      <w:r>
        <w:t>The baseline control loop</w:t>
      </w:r>
    </w:p>
    <w:p>
      <w:r>
        <w:t>The IMUs provide angular rate and acceleration with modelled bias, noise, quantisation, filtering and delay. Gyroscope integration is corrected slowly using acceleration. Startup assumes two seconds of calibration in a stationary, level fixture; operation from an arbitrary uncalibrated pose is not established.</w:t>
      </w:r>
    </w:p>
    <w:p>
      <w:r>
        <w:t>A fixed filter chain removes selected tremor-frequency components from the handle attitude to estimate intended movement. It uses notches at 4, 6, 8, 10 and 12 Hz, phase-lead compensation and a 10 Hz low-pass filter. Voluntary motion and tremor can overlap in frequency, so this estimate is imperfect.</w:t>
      </w:r>
    </w:p>
    <w:p>
      <w:r>
        <w:t>An 800 Hz attitude PID loop calculates corrective torque, with nominal gravity, flexure and dynamic compensation. A bounded allocator maps torque to the two coil-current references. A 10 kHz current PI loop then commands bridge voltage. Anti-windup and current allocation limit excessive commands; estimated copper loss and shaft side load also constrain the allocation. The 35 Hz attitude tuning setting is not a measured hardware bandwidth.</w:t>
      </w:r>
    </w:p>
    <w:p>
      <w:pPr>
        <w:pStyle w:val="Heading2"/>
      </w:pPr>
      <w:r>
        <w:t>What EMG adds</w:t>
      </w:r>
    </w:p>
    <w:p>
      <w:r>
        <w:t>The optional wristband measures forearm muscle activity to help distinguish intended movement from unwanted motion. It is a sensor, not a wrist actuator or electrical stimulator. Four differential channels are sampled at an assumed 2 kHz, filtered causally at 20–450 Hz, rectified and smoothed into a 4 Hz envelope. The simulated transport delay is 20 ms.</w:t>
      </w:r>
    </w:p>
    <w:p>
      <w:r>
        <w:t>A separate labelled calibration maps opposing channel envelopes into pitch and roll rate estimates. The controller adds a small rate-based correction to the IMU reference, capped at ±2°. EMG is disabled by default. Invalid contact or clipped measurements remove its contribution; reconnecting requires a 150 ms recovery period.</w:t>
      </w:r>
    </w:p>
    <w:p>
      <w:r>
        <w:t>The present trials use synthetic EMG with noise, cross-talk and tremor contamination. Actual electrode placement, especially for forearm roll, and cross-session calibration remain open tasks. The interface accepts recorded EMG, but the wearable electronics and radio are not yet selected.</w:t>
      </w:r>
    </w:p>
    <w:p>
      <w:pPr>
        <w:pStyle w:val="Heading2"/>
      </w:pPr>
      <w:r>
        <w:t>What is actually simulated</w:t>
      </w:r>
    </w:p>
    <w:p>
      <w:r>
        <w:t>The native Simulink model solves joint angles, velocities, coil currents and temperature rises. Gravity, base motion, moving inertia, flexure stiffness, friction and compliant stops affect the result. Animation follows the solved states. Thermal behaviour, some friction and custom-part properties still use assumptions; the model is an analytical development platform rather than a calibrated physical prototype.</w:t>
      </w:r>
    </w:p>
    <w:p>
      <w:r>
        <w:br w:type="page"/>
      </w:r>
    </w:p>
    <w:p>
      <w:pPr>
        <w:pStyle w:val="Heading1"/>
      </w:pPr>
      <w:r>
        <w:t>Safety and validation</w:t>
      </w:r>
    </w:p>
    <w:p>
      <w:pPr>
        <w:pStyle w:val="Heading2"/>
      </w:pPr>
      <w:r>
        <w:t>Safety design to carry into the prototype</w:t>
      </w:r>
    </w:p>
    <w:p>
      <w:r>
        <w:t>For water protection, seal the shell joints, buttons and charging port, and develop a flexible seal around the moving spoon connection. The seal must not restrict travel or add excessive friction. The detachable food-contact spoon should be cleaned separately; the powered handle should not be immersed. These are design intentions: no waterproof or IP rating has been verified.</w:t>
      </w:r>
    </w:p>
    <w:p>
      <w:r>
        <w:t>For electrical safety, insulate the battery, PCB and wiring from the metal spoon and moisture. Add battery overcharge, over-discharge and short-circuit protection, and prevent operation while charging. The EMG band should run from battery power while worn, without a wired charging connection. Low operating voltage does not establish acceptable leakage current; insulation, leakage and wet-condition fault tests are still required.</w:t>
      </w:r>
    </w:p>
    <w:p>
      <w:r>
        <w:t>The chosen driver includes overcurrent and thermal protection, but whole-product safety also needs a tested response to sensor loss, jamming and low battery. Guard pinch points around the gimbal and verify loaded stops and flexures. These physical safety functions are not fully represented by the current simulation.</w:t>
      </w:r>
    </w:p>
    <w:p>
      <w:pPr>
        <w:pStyle w:val="Heading2"/>
      </w:pPr>
      <w:r>
        <w:t>Results that can support the final report</w:t>
      </w:r>
    </w:p>
    <w:p>
      <w:r>
        <w:t>The comparisons use the same handle input on both sides. The uncontrolled baseline locks the spoon to the handle. Attitude-error RMS is measured against the intended orientation, with steady scoring from 1.5 s. Keep the test conditions attached to each reported result.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6696"/>
      </w:tblGrid>
      <w:tr>
        <w:trPr>
          <w:cantSplit/>
          <w:tblHeader/>
        </w:trPr>
        <w:tc>
          <w:tcPr>
            <w:tcW w:type="dxa" w:w="2880"/>
            <w:vAlign w:val="center"/>
            <w:tcMar>
              <w:top w:w="85" w:type="dxa"/>
              <w:left w:w="85" w:type="dxa"/>
              <w:bottom w:w="85" w:type="dxa"/>
              <w:right w:w="85" w:type="dxa"/>
            </w:tcMar>
            <w:shd w:fill="343A40"/>
          </w:tcPr>
          <w:p>
            <w:pPr>
              <w:spacing w:after="20" w:line="247" w:lineRule="auto"/>
            </w:pPr>
            <w:r>
              <w:rPr>
                <w:b/>
                <w:color w:val="FFFFFF"/>
                <w:sz w:val="19"/>
              </w:rPr>
              <w:t>Native Simulink test</w:t>
            </w:r>
          </w:p>
        </w:tc>
        <w:tc>
          <w:tcPr>
            <w:tcW w:type="dxa" w:w="6696"/>
            <w:vAlign w:val="center"/>
            <w:tcMar>
              <w:top w:w="85" w:type="dxa"/>
              <w:left w:w="85" w:type="dxa"/>
              <w:bottom w:w="85" w:type="dxa"/>
              <w:right w:w="85" w:type="dxa"/>
            </w:tcMar>
            <w:shd w:fill="343A40"/>
          </w:tcPr>
          <w:p>
            <w:pPr>
              <w:spacing w:after="20" w:line="247" w:lineRule="auto"/>
            </w:pPr>
            <w:r>
              <w:rPr>
                <w:b/>
                <w:color w:val="FFFFFF"/>
                <w:sz w:val="19"/>
              </w:rPr>
              <w:t>Result and interpretation</w:t>
            </w:r>
          </w:p>
        </w:tc>
      </w:tr>
      <w:tr>
        <w:trPr>
          <w:cantSplit/>
        </w:trPr>
        <w:tc>
          <w:tcPr>
            <w:tcW w:type="dxa" w:w="2880"/>
            <w:vAlign w:val="center"/>
            <w:tcMar>
              <w:top w:w="85" w:type="dxa"/>
              <w:left w:w="85" w:type="dxa"/>
              <w:bottom w:w="85" w:type="dxa"/>
              <w:right w:w="85" w:type="dxa"/>
            </w:tcMar>
            <w:shd w:fill="FFFFFF"/>
          </w:tcPr>
          <w:p>
            <w:pPr>
              <w:spacing w:after="20" w:line="247" w:lineRule="auto"/>
            </w:pPr>
            <w:r>
              <w:rPr>
                <w:b w:val="0"/>
                <w:color w:val="000000"/>
                <w:sz w:val="19"/>
              </w:rPr>
              <w:t>8 Hz, 1° per axis, 5 g, 2 s</w:t>
            </w:r>
          </w:p>
        </w:tc>
        <w:tc>
          <w:tcPr>
            <w:tcW w:type="dxa" w:w="6696"/>
            <w:vAlign w:val="center"/>
            <w:tcMar>
              <w:top w:w="85" w:type="dxa"/>
              <w:left w:w="85" w:type="dxa"/>
              <w:bottom w:w="85" w:type="dxa"/>
              <w:right w:w="85" w:type="dxa"/>
            </w:tcMar>
            <w:shd w:fill="FFFFFF"/>
          </w:tcPr>
          <w:p>
            <w:pPr>
              <w:spacing w:after="20" w:line="247" w:lineRule="auto"/>
            </w:pPr>
            <w:r>
              <w:rPr>
                <w:b w:val="0"/>
                <w:color w:val="000000"/>
                <w:sz w:val="19"/>
              </w:rPr>
              <w:t>96.61% attitude reduction; 0.0339° RMS. Evidence for this nominal case, not universal performance.</w:t>
            </w:r>
          </w:p>
        </w:tc>
      </w:tr>
      <w:tr>
        <w:trPr>
          <w:cantSplit/>
        </w:trPr>
        <w:tc>
          <w:tcPr>
            <w:tcW w:type="dxa" w:w="2880"/>
            <w:vAlign w:val="center"/>
            <w:tcMar>
              <w:top w:w="85" w:type="dxa"/>
              <w:left w:w="85" w:type="dxa"/>
              <w:bottom w:w="85" w:type="dxa"/>
              <w:right w:w="85" w:type="dxa"/>
            </w:tcMar>
            <w:shd w:fill="F2F4F6"/>
          </w:tcPr>
          <w:p>
            <w:pPr>
              <w:spacing w:after="20" w:line="247" w:lineRule="auto"/>
            </w:pPr>
            <w:r>
              <w:rPr>
                <w:b w:val="0"/>
                <w:color w:val="000000"/>
                <w:sz w:val="19"/>
              </w:rPr>
              <w:t>4 Hz, 5° per axis, 8 mL, 4 s</w:t>
            </w:r>
          </w:p>
        </w:tc>
        <w:tc>
          <w:tcPr>
            <w:tcW w:type="dxa" w:w="6696"/>
            <w:vAlign w:val="center"/>
            <w:tcMar>
              <w:top w:w="85" w:type="dxa"/>
              <w:left w:w="85" w:type="dxa"/>
              <w:bottom w:w="85" w:type="dxa"/>
              <w:right w:w="85" w:type="dxa"/>
            </w:tcMar>
            <w:shd w:fill="F2F4F6"/>
          </w:tcPr>
          <w:p>
            <w:pPr>
              <w:spacing w:after="20" w:line="247" w:lineRule="auto"/>
            </w:pPr>
            <w:r>
              <w:rPr>
                <w:b w:val="0"/>
                <w:color w:val="000000"/>
                <w:sz w:val="19"/>
              </w:rPr>
              <w:t>92.58% attitude reduction. Estimated spill: 2.728 mL without control and zero with control. Spoon-position RMS still 4.06 mm.</w:t>
            </w:r>
          </w:p>
        </w:tc>
      </w:tr>
      <w:tr>
        <w:trPr>
          <w:cantSplit/>
        </w:trPr>
        <w:tc>
          <w:tcPr>
            <w:tcW w:type="dxa" w:w="2880"/>
            <w:vAlign w:val="center"/>
            <w:tcMar>
              <w:top w:w="85" w:type="dxa"/>
              <w:left w:w="85" w:type="dxa"/>
              <w:bottom w:w="85" w:type="dxa"/>
              <w:right w:w="85" w:type="dxa"/>
            </w:tcMar>
            <w:shd w:fill="FFFFFF"/>
          </w:tcPr>
          <w:p>
            <w:pPr>
              <w:spacing w:after="20" w:line="247" w:lineRule="auto"/>
            </w:pPr>
            <w:r>
              <w:rPr>
                <w:b w:val="0"/>
                <w:color w:val="000000"/>
                <w:sz w:val="19"/>
              </w:rPr>
              <w:t>Voluntary motion plus 8 Hz tremor, 4 s</w:t>
            </w:r>
          </w:p>
        </w:tc>
        <w:tc>
          <w:tcPr>
            <w:tcW w:type="dxa" w:w="6696"/>
            <w:vAlign w:val="center"/>
            <w:tcMar>
              <w:top w:w="85" w:type="dxa"/>
              <w:left w:w="85" w:type="dxa"/>
              <w:bottom w:w="85" w:type="dxa"/>
              <w:right w:w="85" w:type="dxa"/>
            </w:tcMar>
            <w:shd w:fill="FFFFFF"/>
          </w:tcPr>
          <w:p>
            <w:pPr>
              <w:spacing w:after="20" w:line="247" w:lineRule="auto"/>
            </w:pPr>
            <w:r>
              <w:rPr>
                <w:b w:val="0"/>
                <w:color w:val="000000"/>
                <w:sz w:val="19"/>
              </w:rPr>
              <w:t>Synthetic EMG reduces RMS from 0.498° to 0.418°; peak current rises from 0.80 A to 1.33 A. Better tracking has an actuator cost.</w:t>
            </w:r>
          </w:p>
        </w:tc>
      </w:tr>
    </w:tbl>
    <w:p/>
    <w:p>
      <w:r>
        <w:t>Twelve verification groups pass, covering the implemented geometry, dynamics, sensors, control, fluid and EMG interfaces. Separate fast-integrator boundary tests fail under 20 Hz or large stepped disturbances. Passing implementation checks does not mean every disturbance is controlled successfully.</w:t>
      </w:r>
    </w:p>
    <w:p>
      <w:r>
        <w:t>The liquid model uses simplified slosh and overflow driven by the solved spoon motion. Fluid reaction forces and changing payload after a spill do not feed back into the mechanism. Grid refinement changes uncontrolled spill from 2.728 to 2.682 mL in the strong case. This supports numerical consistency, not a guarantee that real soup will never spill.</w:t>
      </w:r>
    </w:p>
    <w:p>
      <w:pPr>
        <w:pStyle w:val="Heading2"/>
      </w:pPr>
      <w:r>
        <w:t>Next work and source files</w:t>
      </w:r>
    </w:p>
    <w:p>
      <w:r>
        <w:t>Priorities are rod-end and extension validation, PCB and protection circuitry, sealing, bench identification and real EMG testing. Use docs/HARDWARE_BOM.md for manufacturer links and assumptions; docs/CONTROL.md, docs/LIQUID_MODEL.md and docs/EMG_WRISTBAND.md for methods. Detailed results are in output/results/CONTROL_RESULTS.md and emg_comparison.csv. These are the source records to check when writing the final report.</w:t>
      </w:r>
    </w:p>
    <w:sectPr w:rsidR="00FC693F" w:rsidRPr="0006063C" w:rsidSect="00034616">
      <w:footerReference w:type="default" r:id="rId9"/>
      <w:pgSz w:w="11909" w:h="16834"/>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SensoSpoon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line="259" w:lineRule="auto"/>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heme="majorHAnsi" w:eastAsiaTheme="majorEastAsia" w:hAnsiTheme="majorHAnsi" w:cstheme="majorBidi" w:ascii="Calibri" w:hAnsi="Calibri"/>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heme="majorHAnsi" w:eastAsiaTheme="majorEastAsia" w:hAnsiTheme="majorHAnsi" w:cstheme="majorBidi" w:ascii="Calibri" w:hAnsi="Calibri"/>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line="259" w:lineRule="auto"/>
    </w:pPr>
    <w:rPr>
      <w:rFonts w:asciiTheme="majorHAnsi" w:eastAsiaTheme="majorEastAsia" w:hAnsiTheme="majorHAnsi" w:cstheme="majorBidi" w:ascii="Calibri" w:hAnsi="Calibri"/>
      <w:b w:val="0"/>
      <w:i w:val="0"/>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9" w:lineRule="auto" w:after="120"/>
    </w:pPr>
    <w:rPr>
      <w:rFonts w:ascii="Calibri" w:hAnsi="Calibri"/>
      <w:b w:val="0"/>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SensoSpoon Design Reference</dc:title>
  <dc:subject/>
  <dc:creator>youngskylty</dc:creator>
  <cp:keywords/>
  <dc:description>generated by python-docx</dc:description>
  <cp:lastModifiedBy>youngskylty</cp:lastModifiedBy>
  <cp:revision>1</cp:revision>
  <dcterms:created xsi:type="dcterms:W3CDTF">2013-12-23T23:15:00Z</dcterms:created>
  <dcterms:modified xsi:type="dcterms:W3CDTF">2013-12-23T23:15:00Z</dcterms:modified>
  <cp:category/>
</cp:coreProperties>
</file>