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before="0"/>
      </w:pPr>
      <w:r>
        <w:rPr>
          <w:rFonts w:ascii="Calibri" w:cs="Calibri" w:eastAsia="Calibri" w:hAnsi="Calibri"/>
          <w:color w:val="1A1A1A"/>
          <w:sz w:val="40"/>
          <w:szCs w:val="40"/>
        </w:rPr>
        <w:t xml:space="preserve">Control Improvement Progress Report V3</w:t>
      </w:r>
    </w:p>
    <w:p>
      <w:pPr>
        <w:pStyle w:val="Heading2"/>
        <w:spacing w:after="100" w:before="240"/>
      </w:pPr>
      <w:r>
        <w:rPr>
          <w:rFonts w:ascii="Calibri" w:cs="Calibri" w:eastAsia="Calibri" w:hAnsi="Calibri"/>
          <w:color w:val="1A1A1A"/>
          <w:sz w:val="23"/>
          <w:szCs w:val="23"/>
        </w:rPr>
        <w:t xml:space="preserve">sEMG + IMU fusion, and the final benchmark</w:t>
      </w:r>
    </w:p>
    <w:p>
      <w:pPr>
        <w:spacing w:after="140" w:before="60" w:line="276"/>
      </w:pPr>
      <w:r>
        <w:rPr>
          <w:rFonts w:ascii="Calibri" w:cs="Calibri" w:eastAsia="Calibri" w:hAnsi="Calibri"/>
          <w:color w:val="1A1A1A"/>
          <w:sz w:val="21"/>
          <w:szCs w:val="21"/>
        </w:rPr>
        <w:t xml:space="preserve">Date: 17 September 2026 (revised — the fusion is built, benchmarked and shipped)</w:t>
      </w:r>
    </w:p>
    <w:p>
      <w:pPr>
        <w:spacing w:after="140" w:before="60" w:line="276"/>
      </w:pPr>
      <w:r>
        <w:rPr>
          <w:rFonts w:ascii="Calibri" w:cs="Calibri" w:eastAsia="Calibri" w:hAnsi="Calibri"/>
          <w:color w:val="1A1A1A"/>
          <w:sz w:val="21"/>
          <w:szCs w:val="21"/>
        </w:rPr>
        <w:t xml:space="preserve">This is an internal status note, not a polished deliverable. It summarises where the "smarter tremor control" work stands: what's built, what's still open, and what tripped us up. Kept light on the maths on purpose — the technical detail lives in </w:t>
      </w:r>
      <w:r>
        <w:rPr>
          <w:rFonts w:ascii="Consolas" w:cs="Consolas" w:eastAsia="Consolas" w:hAnsi="Consolas"/>
          <w:color w:val="0B5A66"/>
          <w:sz w:val="19"/>
          <w:szCs w:val="19"/>
        </w:rPr>
        <w:t xml:space="preserve">docs/SEMG_INTENT_FUSION.md</w:t>
      </w:r>
      <w:r>
        <w:rPr>
          <w:rFonts w:ascii="Calibri" w:cs="Calibri" w:eastAsia="Calibri" w:hAnsi="Calibri"/>
          <w:color w:val="1A1A1A"/>
          <w:sz w:val="21"/>
          <w:szCs w:val="21"/>
        </w:rPr>
        <w:t xml:space="preserve"> (new, and the main reference for this revision), </w:t>
      </w:r>
      <w:r>
        <w:rPr>
          <w:rFonts w:ascii="Consolas" w:cs="Consolas" w:eastAsia="Consolas" w:hAnsi="Consolas"/>
          <w:color w:val="0B5A66"/>
          <w:sz w:val="19"/>
          <w:szCs w:val="19"/>
        </w:rPr>
        <w:t xml:space="preserve">docs/CONTROL_IMPROVEMENT_PLAN.md</w:t>
      </w:r>
      <w:r>
        <w:rPr>
          <w:rFonts w:ascii="Calibri" w:cs="Calibri" w:eastAsia="Calibri" w:hAnsi="Calibri"/>
          <w:color w:val="1A1A1A"/>
          <w:sz w:val="21"/>
          <w:szCs w:val="21"/>
        </w:rPr>
        <w:t xml:space="preserve">, </w:t>
      </w:r>
      <w:r>
        <w:rPr>
          <w:rFonts w:ascii="Consolas" w:cs="Consolas" w:eastAsia="Consolas" w:hAnsi="Consolas"/>
          <w:color w:val="0B5A66"/>
          <w:sz w:val="19"/>
          <w:szCs w:val="19"/>
        </w:rPr>
        <w:t xml:space="preserve">docs/SEMG_IMPLEMENTATION.md</w:t>
      </w:r>
      <w:r>
        <w:rPr>
          <w:rFonts w:ascii="Calibri" w:cs="Calibri" w:eastAsia="Calibri" w:hAnsi="Calibri"/>
          <w:color w:val="1A1A1A"/>
          <w:sz w:val="21"/>
          <w:szCs w:val="21"/>
        </w:rPr>
        <w:t xml:space="preserve"> and </w:t>
      </w:r>
      <w:r>
        <w:rPr>
          <w:rFonts w:ascii="Consolas" w:cs="Consolas" w:eastAsia="Consolas" w:hAnsi="Consolas"/>
          <w:color w:val="0B5A66"/>
          <w:sz w:val="19"/>
          <w:szCs w:val="19"/>
        </w:rPr>
        <w:t xml:space="preserve">docs/SEMG_DATASET.md</w:t>
      </w:r>
      <w:r>
        <w:rPr>
          <w:rFonts w:ascii="Calibri" w:cs="Calibri" w:eastAsia="Calibri" w:hAnsi="Calibri"/>
          <w:color w:val="1A1A1A"/>
          <w:sz w:val="21"/>
          <w:szCs w:val="21"/>
        </w:rPr>
        <w:t xml:space="preserve">.</w:t>
      </w:r>
    </w:p>
    <w:p>
      <w:pPr>
        <w:spacing w:after="140" w:before="60" w:line="276"/>
      </w:pPr>
      <w:r>
        <w:rPr>
          <w:rFonts w:ascii="Calibri" w:cs="Calibri" w:eastAsia="Calibri" w:hAnsi="Calibri"/>
          <w:b/>
          <w:bCs/>
          <w:color w:val="1A1A1A"/>
          <w:sz w:val="21"/>
          <w:szCs w:val="21"/>
        </w:rPr>
        <w:t xml:space="preserve">What changed in this revision.</w:t>
      </w:r>
      <w:r>
        <w:rPr>
          <w:rFonts w:ascii="Calibri" w:cs="Calibri" w:eastAsia="Calibri" w:hAnsi="Calibri"/>
          <w:color w:val="1A1A1A"/>
          <w:sz w:val="21"/>
          <w:szCs w:val="21"/>
        </w:rPr>
        <w:t xml:space="preserve"> V2 ended with sEMG validated as a signal source but not connected to the control loop at all, and with the EKF not recommended as a replacement on the evidence then available. Both of those have changed. sEMG is now fused into the estimator, the combined system is the best arm on the benchmark by every measure we track, and the fusion works through a mechanism V2 did not anticipate. Sections 3–6 are new. Section 2 closes out V2's pending list item by item. Section 7 is an honest account of a new failure we introduced, found, partly fixed, and have </w:t>
      </w:r>
      <w:r>
        <w:rPr>
          <w:rFonts w:ascii="Calibri" w:cs="Calibri" w:eastAsia="Calibri" w:hAnsi="Calibri"/>
          <w:b/>
          <w:bCs/>
          <w:color w:val="1A1A1A"/>
          <w:sz w:val="21"/>
          <w:szCs w:val="21"/>
        </w:rPr>
        <w:t xml:space="preserve">not</w:t>
      </w:r>
      <w:r>
        <w:rPr>
          <w:rFonts w:ascii="Calibri" w:cs="Calibri" w:eastAsia="Calibri" w:hAnsi="Calibri"/>
          <w:color w:val="1A1A1A"/>
          <w:sz w:val="21"/>
          <w:szCs w:val="21"/>
        </w:rPr>
        <w:t xml:space="preserve"> fully solved.</w:t>
      </w:r>
    </w:p>
    <w:p>
      <w:pPr>
        <w:spacing w:after="140" w:before="60" w:line="276"/>
      </w:pPr>
      <w:r>
        <w:rPr>
          <w:rFonts w:ascii="Calibri" w:cs="Calibri" w:eastAsia="Calibri" w:hAnsi="Calibri"/>
          <w:b/>
          <w:bCs/>
          <w:color w:val="1A1A1A"/>
          <w:sz w:val="21"/>
          <w:szCs w:val="21"/>
        </w:rPr>
        <w:t xml:space="preserve">One-line summary.</w:t>
      </w:r>
      <w:r>
        <w:rPr>
          <w:rFonts w:ascii="Calibri" w:cs="Calibri" w:eastAsia="Calibri" w:hAnsi="Calibri"/>
          <w:color w:val="1A1A1A"/>
          <w:sz w:val="21"/>
          <w:szCs w:val="21"/>
        </w:rPr>
        <w:t xml:space="preserve"> The corrected IMU-only estimator averaged 92.1% cancellation on the scenarios the hardware can actually serve, and met the 90% target on 11 of 16. Adding sEMG takes that to </w:t>
      </w:r>
      <w:r>
        <w:rPr>
          <w:rFonts w:ascii="Calibri" w:cs="Calibri" w:eastAsia="Calibri" w:hAnsi="Calibri"/>
          <w:b/>
          <w:bCs/>
          <w:color w:val="1A1A1A"/>
          <w:sz w:val="21"/>
          <w:szCs w:val="21"/>
        </w:rPr>
        <w:t xml:space="preserve">93.0% and 15 of 16</w:t>
      </w:r>
      <w:r>
        <w:rPr>
          <w:rFonts w:ascii="Calibri" w:cs="Calibri" w:eastAsia="Calibri" w:hAnsi="Calibri"/>
          <w:color w:val="1A1A1A"/>
          <w:sz w:val="21"/>
          <w:szCs w:val="21"/>
        </w:rPr>
        <w:t xml:space="preserve">, while keeping voluntary-motion error at 0.207° (against 0.458° for the original controller) — and we can show by direct ablation that the sensor, not the mechanism, is what buys it.</w:t>
      </w:r>
    </w:p>
    <w:p>
      <w:pPr>
        <w:pBdr>
          <w:bottom w:val="single" w:color="BFBFBF" w:sz="6" w:space="6"/>
        </w:pBdr>
        <w:spacing w:after="200" w:before="120"/>
      </w:pPr>
      <w:r>
        <w:t xml:space="preserve"/>
      </w:r>
    </w:p>
    <w:p>
      <w:pPr>
        <w:pStyle w:val="Heading1"/>
        <w:pBdr>
          <w:bottom w:val="single" w:color="BFBFBF" w:sz="4" w:space="4"/>
        </w:pBdr>
        <w:spacing w:after="120" w:before="320"/>
      </w:pPr>
      <w:r>
        <w:rPr>
          <w:rFonts w:ascii="Calibri" w:cs="Calibri" w:eastAsia="Calibri" w:hAnsi="Calibri"/>
          <w:color w:val="1A1A1A"/>
          <w:sz w:val="27"/>
          <w:szCs w:val="27"/>
        </w:rPr>
        <w:t xml:space="preserve">1. The problem, restated</w:t>
      </w:r>
    </w:p>
    <w:p>
      <w:pPr>
        <w:spacing w:after="140" w:before="60" w:line="276"/>
      </w:pPr>
      <w:r>
        <w:rPr>
          <w:rFonts w:ascii="Calibri" w:cs="Calibri" w:eastAsia="Calibri" w:hAnsi="Calibri"/>
          <w:color w:val="1A1A1A"/>
          <w:sz w:val="21"/>
          <w:szCs w:val="21"/>
        </w:rPr>
        <w:t xml:space="preserve">Two things had to be true at once for this project to succeed, and they pull against each other:</w:t>
      </w:r>
    </w:p>
    <w:p>
      <w:pPr>
        <w:pStyle w:val="ListParagraph"/>
        <w:numPr>
          <w:ilvl w:val="0"/>
          <w:numId w:val="2"/>
        </w:numPr>
        <w:spacing w:after="80" w:before="40" w:line="276"/>
      </w:pPr>
      <w:r>
        <w:rPr>
          <w:rFonts w:ascii="Calibri" w:cs="Calibri" w:eastAsia="Calibri" w:hAnsi="Calibri"/>
          <w:b/>
          <w:bCs/>
          <w:color w:val="1A1A1A"/>
          <w:sz w:val="21"/>
          <w:szCs w:val="21"/>
        </w:rPr>
        <w:t xml:space="preserve">Cancel the tremor.</w:t>
      </w:r>
      <w:r>
        <w:rPr>
          <w:rFonts w:ascii="Calibri" w:cs="Calibri" w:eastAsia="Calibri" w:hAnsi="Calibri"/>
          <w:color w:val="1A1A1A"/>
          <w:sz w:val="21"/>
          <w:szCs w:val="21"/>
        </w:rPr>
        <w:t xml:space="preserve"> Hold the spoon level against 4–20 Hz involuntary motion.</w:t>
      </w:r>
    </w:p>
    <w:p>
      <w:pPr>
        <w:pStyle w:val="ListParagraph"/>
        <w:numPr>
          <w:ilvl w:val="0"/>
          <w:numId w:val="2"/>
        </w:numPr>
        <w:spacing w:after="80" w:before="40" w:line="276"/>
      </w:pPr>
      <w:r>
        <w:rPr>
          <w:rFonts w:ascii="Calibri" w:cs="Calibri" w:eastAsia="Calibri" w:hAnsi="Calibri"/>
          <w:b/>
          <w:bCs/>
          <w:color w:val="1A1A1A"/>
          <w:sz w:val="21"/>
          <w:szCs w:val="21"/>
        </w:rPr>
        <w:t xml:space="preserve">Don't cancel the person.</w:t>
      </w:r>
      <w:r>
        <w:rPr>
          <w:rFonts w:ascii="Calibri" w:cs="Calibri" w:eastAsia="Calibri" w:hAnsi="Calibri"/>
          <w:color w:val="1A1A1A"/>
          <w:sz w:val="21"/>
          <w:szCs w:val="21"/>
        </w:rPr>
        <w:t xml:space="preserve"> When the user deliberately moves their hand, the spoon must follow, not fight.</w:t>
      </w:r>
    </w:p>
    <w:p>
      <w:pPr>
        <w:spacing w:after="140" w:before="60" w:line="276"/>
      </w:pPr>
      <w:r>
        <w:rPr>
          <w:rFonts w:ascii="Calibri" w:cs="Calibri" w:eastAsia="Calibri" w:hAnsi="Calibri"/>
          <w:color w:val="1A1A1A"/>
          <w:sz w:val="21"/>
          <w:szCs w:val="21"/>
        </w:rPr>
        <w:t xml:space="preserve">The original controller (</w:t>
      </w:r>
      <w:r>
        <w:rPr>
          <w:rFonts w:ascii="Consolas" w:cs="Consolas" w:eastAsia="Consolas" w:hAnsi="Consolas"/>
          <w:color w:val="0B5A66"/>
          <w:sz w:val="19"/>
          <w:szCs w:val="19"/>
        </w:rPr>
        <w:t xml:space="preserve">simple_pid</w:t>
      </w:r>
      <w:r>
        <w:rPr>
          <w:rFonts w:ascii="Calibri" w:cs="Calibri" w:eastAsia="Calibri" w:hAnsi="Calibri"/>
          <w:color w:val="1A1A1A"/>
          <w:sz w:val="21"/>
          <w:szCs w:val="21"/>
        </w:rPr>
        <w:t xml:space="preserve">) does (1) well and (2) badly: it averages 90.2% on the feasible scenarios but collapses to 51.5% when deliberate movement and tremor happen together, and it carries 0.458° of error on a movement-only scenario.</w:t>
      </w:r>
    </w:p>
    <w:p>
      <w:pPr>
        <w:spacing w:after="140" w:before="60" w:line="276"/>
      </w:pPr>
      <w:r>
        <w:rPr>
          <w:rFonts w:ascii="Calibri" w:cs="Calibri" w:eastAsia="Calibri" w:hAnsi="Calibri"/>
          <w:color w:val="1A1A1A"/>
          <w:sz w:val="21"/>
          <w:szCs w:val="21"/>
        </w:rPr>
        <w:t xml:space="preserve">The EKF was introduced to do both, by estimating the voluntary and tremor parts of the motion separately rather than filtering a fixed frequency band. V2 showed it fixed (2) convincingly — the movement-only error dropped to 0.201° — but that it </w:t>
      </w:r>
      <w:r>
        <w:rPr>
          <w:rFonts w:ascii="Calibri" w:cs="Calibri" w:eastAsia="Calibri" w:hAnsi="Calibri"/>
          <w:i/>
          <w:iCs/>
          <w:color w:val="1A1A1A"/>
          <w:sz w:val="21"/>
          <w:szCs w:val="21"/>
        </w:rPr>
        <w:t xml:space="preserve">lost ground on (1)</w:t>
      </w:r>
      <w:r>
        <w:rPr>
          <w:rFonts w:ascii="Calibri" w:cs="Calibri" w:eastAsia="Calibri" w:hAnsi="Calibri"/>
          <w:color w:val="1A1A1A"/>
          <w:sz w:val="21"/>
          <w:szCs w:val="21"/>
        </w:rPr>
        <w:t xml:space="preserve"> in a specific way, and V2's Section 6 traced why.</w:t>
      </w:r>
    </w:p>
    <w:p>
      <w:pPr>
        <w:pBdr>
          <w:bottom w:val="single" w:color="BFBFBF" w:sz="6" w:space="6"/>
        </w:pBdr>
        <w:spacing w:after="200" w:before="120"/>
      </w:pPr>
      <w:r>
        <w:t xml:space="preserve"/>
      </w:r>
    </w:p>
    <w:p>
      <w:pPr>
        <w:pStyle w:val="Heading1"/>
        <w:pBdr>
          <w:bottom w:val="single" w:color="BFBFBF" w:sz="4" w:space="4"/>
        </w:pBdr>
        <w:spacing w:after="120" w:before="320"/>
      </w:pPr>
      <w:r>
        <w:rPr>
          <w:rFonts w:ascii="Calibri" w:cs="Calibri" w:eastAsia="Calibri" w:hAnsi="Calibri"/>
          <w:color w:val="1A1A1A"/>
          <w:sz w:val="27"/>
          <w:szCs w:val="27"/>
        </w:rPr>
        <w:t xml:space="preserve">2. Closing out V2's pending list</w:t>
      </w:r>
    </w:p>
    <w:p>
      <w:pPr>
        <w:spacing w:after="140" w:before="60" w:line="276"/>
      </w:pPr>
      <w:r>
        <w:rPr>
          <w:rFonts w:ascii="Calibri" w:cs="Calibri" w:eastAsia="Calibri" w:hAnsi="Calibri"/>
          <w:color w:val="1A1A1A"/>
          <w:sz w:val="21"/>
          <w:szCs w:val="21"/>
        </w:rPr>
        <w:t xml:space="preserve">V2 Section 8 listed seven open items. Where each now stands: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none"/>
              <w:bottom w:val="single" w:color="BFBFBF" w:sz="2"/>
              <w:right w:val="none"/>
            </w:tcBorders>
            <w:shd w:fill="EDF2F7" w:color="auto" w:val="clear"/>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V2 pending item</w:t>
            </w:r>
          </w:p>
        </w:tc>
        <w:tc>
          <w:tcPr>
            <w:tcW w:type="dxa" w:w="4680"/>
            <w:tcBorders>
              <w:top w:val="single" w:color="BFBFBF" w:sz="2"/>
              <w:left w:val="none"/>
              <w:bottom w:val="single" w:color="BFBFBF" w:sz="2"/>
              <w:right w:val="none"/>
            </w:tcBorders>
            <w:shd w:fill="EDF2F7" w:color="auto" w:val="clear"/>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Status</w:t>
            </w:r>
          </w:p>
        </w:tc>
      </w:tr>
      <w:tr>
        <w:tc>
          <w:tcPr>
            <w:tcW w:type="dxa" w:w="4680"/>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Decide whether the EKF replaces the current controller</w:t>
            </w:r>
          </w:p>
        </w:tc>
        <w:tc>
          <w:tcPr>
            <w:tcW w:type="dxa" w:w="4680"/>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b/>
                <w:bCs/>
                <w:color w:val="1A1A1A"/>
                <w:sz w:val="19"/>
                <w:szCs w:val="19"/>
              </w:rPr>
              <w:t xml:space="preserve">Resolved — yes, with sEMG.</w:t>
            </w:r>
            <w:r>
              <w:rPr>
                <w:rFonts w:ascii="Calibri" w:cs="Calibri" w:eastAsia="Calibri" w:hAnsi="Calibri"/>
                <w:color w:val="1A1A1A"/>
                <w:sz w:val="19"/>
                <w:szCs w:val="19"/>
              </w:rPr>
              <w:t xml:space="preserve"> Section 5</w:t>
            </w:r>
          </w:p>
        </w:tc>
      </w:tr>
      <w:tr>
        <w:tc>
          <w:tcPr>
            <w:tcW w:type="dxa" w:w="4680"/>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Decide how to score scenarios outside the hardware envelope</w:t>
            </w:r>
          </w:p>
        </w:tc>
        <w:tc>
          <w:tcPr>
            <w:tcW w:type="dxa" w:w="4680"/>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b/>
                <w:bCs/>
                <w:color w:val="1A1A1A"/>
                <w:sz w:val="19"/>
                <w:szCs w:val="19"/>
              </w:rPr>
              <w:t xml:space="preserve">Resolved and implemented.</w:t>
            </w:r>
            <w:r>
              <w:rPr>
                <w:rFonts w:ascii="Calibri" w:cs="Calibri" w:eastAsia="Calibri" w:hAnsi="Calibri"/>
                <w:color w:val="1A1A1A"/>
                <w:sz w:val="19"/>
                <w:szCs w:val="19"/>
              </w:rPr>
              <w:t xml:space="preserve"> Section 4</w:t>
            </w:r>
          </w:p>
        </w:tc>
      </w:tr>
      <w:tr>
        <w:tc>
          <w:tcPr>
            <w:tcW w:type="dxa" w:w="4680"/>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Fix the inoperative joint-travel check in the authority limiter</w:t>
            </w:r>
          </w:p>
        </w:tc>
        <w:tc>
          <w:tcPr>
            <w:tcW w:type="dxa" w:w="4680"/>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b/>
                <w:bCs/>
                <w:color w:val="1A1A1A"/>
                <w:sz w:val="19"/>
                <w:szCs w:val="19"/>
              </w:rPr>
              <w:t xml:space="preserve">STILL OPEN — not attempted this revision.</w:t>
            </w:r>
            <w:r>
              <w:rPr>
                <w:rFonts w:ascii="Calibri" w:cs="Calibri" w:eastAsia="Calibri" w:hAnsi="Calibri"/>
                <w:color w:val="1A1A1A"/>
                <w:sz w:val="19"/>
                <w:szCs w:val="19"/>
              </w:rPr>
              <w:t xml:space="preserve"> Section 8</w:t>
            </w:r>
          </w:p>
        </w:tc>
      </w:tr>
      <w:tr>
        <w:tc>
          <w:tcPr>
            <w:tcW w:type="dxa" w:w="4680"/>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Decide what to do about the single-frequency limitation</w:t>
            </w:r>
          </w:p>
        </w:tc>
        <w:tc>
          <w:tcPr>
            <w:tcW w:type="dxa" w:w="4680"/>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b/>
                <w:bCs/>
                <w:color w:val="1A1A1A"/>
                <w:sz w:val="19"/>
                <w:szCs w:val="19"/>
              </w:rPr>
              <w:t xml:space="preserve">Resolved.</w:t>
            </w:r>
            <w:r>
              <w:rPr>
                <w:rFonts w:ascii="Calibri" w:cs="Calibri" w:eastAsia="Calibri" w:hAnsi="Calibri"/>
                <w:color w:val="1A1A1A"/>
                <w:sz w:val="19"/>
                <w:szCs w:val="19"/>
              </w:rPr>
              <w:t xml:space="preserve"> The answer is not more oscillators; it is a second sensor. Section 3</w:t>
            </w:r>
          </w:p>
        </w:tc>
      </w:tr>
      <w:tr>
        <w:tc>
          <w:tcPr>
            <w:tcW w:type="dxa" w:w="4680"/>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sEMG validated but not fused into the control loop</w:t>
            </w:r>
          </w:p>
        </w:tc>
        <w:tc>
          <w:tcPr>
            <w:tcW w:type="dxa" w:w="4680"/>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b/>
                <w:bCs/>
                <w:color w:val="1A1A1A"/>
                <w:sz w:val="19"/>
                <w:szCs w:val="19"/>
              </w:rPr>
              <w:t xml:space="preserve">Resolved.</w:t>
            </w:r>
            <w:r>
              <w:rPr>
                <w:rFonts w:ascii="Calibri" w:cs="Calibri" w:eastAsia="Calibri" w:hAnsi="Calibri"/>
                <w:color w:val="1A1A1A"/>
                <w:sz w:val="19"/>
                <w:szCs w:val="19"/>
              </w:rPr>
              <w:t xml:space="preserve"> Sections 3 and 5</w:t>
            </w:r>
          </w:p>
        </w:tc>
      </w:tr>
      <w:tr>
        <w:tc>
          <w:tcPr>
            <w:tcW w:type="dxa" w:w="4680"/>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Three of six real-data sEMG checks unanswered</w:t>
            </w:r>
          </w:p>
        </w:tc>
        <w:tc>
          <w:tcPr>
            <w:tcW w:type="dxa" w:w="4680"/>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b/>
                <w:bCs/>
                <w:color w:val="1A1A1A"/>
                <w:sz w:val="19"/>
                <w:szCs w:val="19"/>
              </w:rPr>
              <w:t xml:space="preserve">STILL OPEN — unchanged.</w:t>
            </w:r>
            <w:r>
              <w:rPr>
                <w:rFonts w:ascii="Calibri" w:cs="Calibri" w:eastAsia="Calibri" w:hAnsi="Calibri"/>
                <w:color w:val="1A1A1A"/>
                <w:sz w:val="19"/>
                <w:szCs w:val="19"/>
              </w:rPr>
              <w:t xml:space="preserve"> Section 8</w:t>
            </w:r>
          </w:p>
        </w:tc>
      </w:tr>
      <w:tr>
        <w:tc>
          <w:tcPr>
            <w:tcW w:type="dxa" w:w="4680"/>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Final side-by-side comparison report</w:t>
            </w:r>
          </w:p>
        </w:tc>
        <w:tc>
          <w:tcPr>
            <w:tcW w:type="dxa" w:w="4680"/>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b/>
                <w:bCs/>
                <w:color w:val="1A1A1A"/>
                <w:sz w:val="19"/>
                <w:szCs w:val="19"/>
              </w:rPr>
              <w:t xml:space="preserve">Done.</w:t>
            </w:r>
            <w:r>
              <w:rPr>
                <w:rFonts w:ascii="Calibri" w:cs="Calibri" w:eastAsia="Calibri" w:hAnsi="Calibri"/>
                <w:color w:val="1A1A1A"/>
                <w:sz w:val="19"/>
                <w:szCs w:val="19"/>
              </w:rPr>
              <w:t xml:space="preserve"> </w:t>
            </w:r>
            <w:r>
              <w:rPr>
                <w:rFonts w:ascii="Consolas" w:cs="Consolas" w:eastAsia="Consolas" w:hAnsi="Consolas"/>
                <w:color w:val="0B5A66"/>
                <w:sz w:val="17"/>
                <w:szCs w:val="17"/>
              </w:rPr>
              <w:t xml:space="preserve">output/results/CONTROL_RESULTS.md</w:t>
            </w:r>
            <w:r>
              <w:rPr>
                <w:rFonts w:ascii="Calibri" w:cs="Calibri" w:eastAsia="Calibri" w:hAnsi="Calibri"/>
                <w:color w:val="1A1A1A"/>
                <w:sz w:val="19"/>
                <w:szCs w:val="19"/>
              </w:rPr>
              <w:t xml:space="preserve">, figures, and this note</w:t>
            </w:r>
          </w:p>
        </w:tc>
      </w:tr>
    </w:tbl>
    <w:p>
      <w:pPr>
        <w:spacing w:after="200" w:before="0"/>
      </w:pPr>
      <w:r>
        <w:t xml:space="preserve"/>
      </w:r>
    </w:p>
    <w:p>
      <w:pPr>
        <w:spacing w:after="140" w:before="60" w:line="276"/>
      </w:pPr>
      <w:r>
        <w:rPr>
          <w:rFonts w:ascii="Calibri" w:cs="Calibri" w:eastAsia="Calibri" w:hAnsi="Calibri"/>
          <w:color w:val="1A1A1A"/>
          <w:sz w:val="21"/>
          <w:szCs w:val="21"/>
        </w:rPr>
        <w:t xml:space="preserve">Five of seven closed. The two that remain are the two that need something we did not have this revision: a small code repair plus a measurement campaign, and a real recording session.</w:t>
      </w:r>
    </w:p>
    <w:p>
      <w:pPr>
        <w:pBdr>
          <w:bottom w:val="single" w:color="BFBFBF" w:sz="6" w:space="6"/>
        </w:pBdr>
        <w:spacing w:after="200" w:before="120"/>
      </w:pPr>
      <w:r>
        <w:t xml:space="preserve"/>
      </w:r>
    </w:p>
    <w:p>
      <w:pPr>
        <w:pStyle w:val="Heading1"/>
        <w:pBdr>
          <w:bottom w:val="single" w:color="BFBFBF" w:sz="4" w:space="4"/>
        </w:pBdr>
        <w:spacing w:after="120" w:before="320"/>
      </w:pPr>
      <w:r>
        <w:rPr>
          <w:rFonts w:ascii="Calibri" w:cs="Calibri" w:eastAsia="Calibri" w:hAnsi="Calibri"/>
          <w:color w:val="1A1A1A"/>
          <w:sz w:val="27"/>
          <w:szCs w:val="27"/>
        </w:rPr>
        <w:t xml:space="preserve">3. The main result: what sEMG is actually for</w:t>
      </w:r>
    </w:p>
    <w:p>
      <w:pPr>
        <w:spacing w:after="140" w:before="60" w:line="276"/>
      </w:pPr>
      <w:r>
        <w:rPr>
          <w:rFonts w:ascii="Calibri" w:cs="Calibri" w:eastAsia="Calibri" w:hAnsi="Calibri"/>
          <w:color w:val="1A1A1A"/>
          <w:sz w:val="21"/>
          <w:szCs w:val="21"/>
        </w:rPr>
        <w:t xml:space="preserve">V2 Section 6 found the estimator's structural weakness. The tremor model carries </w:t>
      </w:r>
      <w:r>
        <w:rPr>
          <w:rFonts w:ascii="Calibri" w:cs="Calibri" w:eastAsia="Calibri" w:hAnsi="Calibri"/>
          <w:b/>
          <w:bCs/>
          <w:color w:val="1A1A1A"/>
          <w:sz w:val="21"/>
          <w:szCs w:val="21"/>
        </w:rPr>
        <w:t xml:space="preserve">one</w:t>
      </w:r>
      <w:r>
        <w:rPr>
          <w:rFonts w:ascii="Calibri" w:cs="Calibri" w:eastAsia="Calibri" w:hAnsi="Calibri"/>
          <w:color w:val="1A1A1A"/>
          <w:sz w:val="21"/>
          <w:szCs w:val="21"/>
        </w:rPr>
        <w:t xml:space="preserve"> frequency. When a dominant tremor component claims it, weaker components at other frequencies have nowhere to live — and the "voluntary movement" part of the model, which is deliberately flexible, absorbs them instead. Absorbed tremor is then passed through to the spoon as though the user had meant it. Measured open-loop, an 8 Hz dominant tremor with a 3 Hz companion had </w:t>
      </w:r>
      <w:r>
        <w:rPr>
          <w:rFonts w:ascii="Calibri" w:cs="Calibri" w:eastAsia="Calibri" w:hAnsi="Calibri"/>
          <w:b/>
          <w:bCs/>
          <w:color w:val="1A1A1A"/>
          <w:sz w:val="21"/>
          <w:szCs w:val="21"/>
        </w:rPr>
        <w:t xml:space="preserve">87.8%</w:t>
      </w:r>
      <w:r>
        <w:rPr>
          <w:rFonts w:ascii="Calibri" w:cs="Calibri" w:eastAsia="Calibri" w:hAnsi="Calibri"/>
          <w:color w:val="1A1A1A"/>
          <w:sz w:val="21"/>
          <w:szCs w:val="21"/>
        </w:rPr>
        <w:t xml:space="preserve"> of that companion mis-labelled as voluntary movement.</w:t>
      </w:r>
    </w:p>
    <w:p>
      <w:pPr>
        <w:spacing w:after="140" w:before="60" w:line="276"/>
      </w:pPr>
      <w:r>
        <w:rPr>
          <w:rFonts w:ascii="Calibri" w:cs="Calibri" w:eastAsia="Calibri" w:hAnsi="Calibri"/>
          <w:color w:val="1A1A1A"/>
          <w:sz w:val="21"/>
          <w:szCs w:val="21"/>
        </w:rPr>
        <w:t xml:space="preserve">The insidious part, and the reason this went unnoticed for so long: </w:t>
      </w:r>
      <w:r>
        <w:rPr>
          <w:rFonts w:ascii="Calibri" w:cs="Calibri" w:eastAsia="Calibri" w:hAnsi="Calibri"/>
          <w:b/>
          <w:bCs/>
          <w:color w:val="1A1A1A"/>
          <w:sz w:val="21"/>
          <w:szCs w:val="21"/>
        </w:rPr>
        <w:t xml:space="preserve">the model's own health signal looks perfect while this is happening.</w:t>
      </w:r>
      <w:r>
        <w:rPr>
          <w:rFonts w:ascii="Calibri" w:cs="Calibri" w:eastAsia="Calibri" w:hAnsi="Calibri"/>
          <w:color w:val="1A1A1A"/>
          <w:sz w:val="21"/>
          <w:szCs w:val="21"/>
        </w:rPr>
        <w:t xml:space="preserve"> The two parts still add up to the measured motion, so the mismatch statistic stays tiny. The estimator is confidently wrong. No amount of watching the IMU can detect it, because the IMU only ever sees the sum.</w:t>
      </w:r>
    </w:p>
    <w:p>
      <w:pPr>
        <w:pStyle w:val="Heading2"/>
        <w:spacing w:after="100" w:before="240"/>
      </w:pPr>
      <w:r>
        <w:rPr>
          <w:rFonts w:ascii="Calibri" w:cs="Calibri" w:eastAsia="Calibri" w:hAnsi="Calibri"/>
          <w:color w:val="1A1A1A"/>
          <w:sz w:val="23"/>
          <w:szCs w:val="23"/>
        </w:rPr>
        <w:t xml:space="preserve">3.1 The experiment that settled the design</w:t>
      </w:r>
    </w:p>
    <w:p>
      <w:pPr>
        <w:spacing w:after="140" w:before="60" w:line="276"/>
      </w:pPr>
      <w:r>
        <w:rPr>
          <w:rFonts w:ascii="Calibri" w:cs="Calibri" w:eastAsia="Calibri" w:hAnsi="Calibri"/>
          <w:color w:val="1A1A1A"/>
          <w:sz w:val="21"/>
          <w:szCs w:val="21"/>
        </w:rPr>
        <w:t xml:space="preserve">Before touching sEMG we ran a deliberately boring experiment (</w:t>
      </w:r>
      <w:r>
        <w:rPr>
          <w:rFonts w:ascii="Consolas" w:cs="Consolas" w:eastAsia="Consolas" w:hAnsi="Consolas"/>
          <w:color w:val="0B5A66"/>
          <w:sz w:val="19"/>
          <w:szCs w:val="19"/>
        </w:rPr>
        <w:t xml:space="preserve">run_intent_authority_experiment</w:t>
      </w:r>
      <w:r>
        <w:rPr>
          <w:rFonts w:ascii="Calibri" w:cs="Calibri" w:eastAsia="Calibri" w:hAnsi="Calibri"/>
          <w:color w:val="1A1A1A"/>
          <w:sz w:val="21"/>
          <w:szCs w:val="21"/>
        </w:rPr>
        <w:t xml:space="preserve">, no muscle signal involved anywhere). It turns one dial — how much freedom the estimator grants the "voluntary movement" part — and measures what happens.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27"/>
        <w:gridCol w:w="1056"/>
        <w:gridCol w:w="905"/>
        <w:gridCol w:w="905"/>
        <w:gridCol w:w="1056"/>
        <w:gridCol w:w="1211"/>
      </w:tblGrid>
      <w:tr>
        <w:trPr>
          <w:tblHeader/>
        </w:trPr>
        <w:tc>
          <w:tcPr>
            <w:tcW w:type="dxa" w:w="4227"/>
            <w:tcBorders>
              <w:top w:val="single" w:color="BFBFBF" w:sz="2"/>
              <w:left w:val="none"/>
              <w:bottom w:val="single" w:color="BFBFBF" w:sz="2"/>
              <w:right w:val="none"/>
            </w:tcBorders>
            <w:shd w:fill="EDF2F7" w:color="auto" w:val="clear"/>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Scenario</w:t>
            </w:r>
          </w:p>
        </w:tc>
        <w:tc>
          <w:tcPr>
            <w:tcW w:type="dxa" w:w="1056"/>
            <w:tcBorders>
              <w:top w:val="single" w:color="BFBFBF" w:sz="2"/>
              <w:left w:val="none"/>
              <w:bottom w:val="single" w:color="BFBFBF" w:sz="2"/>
              <w:right w:val="none"/>
            </w:tcBorders>
            <w:shd w:fill="EDF2F7" w:color="auto" w:val="clear"/>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dial ×1</w:t>
            </w:r>
          </w:p>
        </w:tc>
        <w:tc>
          <w:tcPr>
            <w:tcW w:type="dxa" w:w="905"/>
            <w:tcBorders>
              <w:top w:val="single" w:color="BFBFBF" w:sz="2"/>
              <w:left w:val="none"/>
              <w:bottom w:val="single" w:color="BFBFBF" w:sz="2"/>
              <w:right w:val="none"/>
            </w:tcBorders>
            <w:shd w:fill="EDF2F7" w:color="auto" w:val="clear"/>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×1/2</w:t>
            </w:r>
          </w:p>
        </w:tc>
        <w:tc>
          <w:tcPr>
            <w:tcW w:type="dxa" w:w="905"/>
            <w:tcBorders>
              <w:top w:val="single" w:color="BFBFBF" w:sz="2"/>
              <w:left w:val="none"/>
              <w:bottom w:val="single" w:color="BFBFBF" w:sz="2"/>
              <w:right w:val="none"/>
            </w:tcBorders>
            <w:shd w:fill="EDF2F7" w:color="auto" w:val="clear"/>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×1/8</w:t>
            </w:r>
          </w:p>
        </w:tc>
        <w:tc>
          <w:tcPr>
            <w:tcW w:type="dxa" w:w="1056"/>
            <w:tcBorders>
              <w:top w:val="single" w:color="BFBFBF" w:sz="2"/>
              <w:left w:val="none"/>
              <w:bottom w:val="single" w:color="BFBFBF" w:sz="2"/>
              <w:right w:val="none"/>
            </w:tcBorders>
            <w:shd w:fill="EDF2F7" w:color="auto" w:val="clear"/>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×1/64</w:t>
            </w:r>
          </w:p>
        </w:tc>
        <w:tc>
          <w:tcPr>
            <w:tcW w:type="dxa" w:w="1211"/>
            <w:tcBorders>
              <w:top w:val="single" w:color="BFBFBF" w:sz="2"/>
              <w:left w:val="none"/>
              <w:bottom w:val="single" w:color="BFBFBF" w:sz="2"/>
              <w:right w:val="none"/>
            </w:tcBorders>
            <w:shd w:fill="EDF2F7" w:color="auto" w:val="clear"/>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×1/512</w:t>
            </w:r>
          </w:p>
        </w:tc>
      </w:tr>
      <w:tr>
        <w:tc>
          <w:tcPr>
            <w:tcW w:type="dxa" w:w="4227"/>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messy tremor (</w:t>
            </w:r>
            <w:r>
              <w:rPr>
                <w:rFonts w:ascii="Consolas" w:cs="Consolas" w:eastAsia="Consolas" w:hAnsi="Consolas"/>
                <w:color w:val="0B5A66"/>
                <w:sz w:val="17"/>
                <w:szCs w:val="17"/>
              </w:rPr>
              <w:t xml:space="preserve">mixed</w:t>
            </w:r>
            <w:r>
              <w:rPr>
                <w:rFonts w:ascii="Calibri" w:cs="Calibri" w:eastAsia="Calibri" w:hAnsi="Calibri"/>
                <w:color w:val="1A1A1A"/>
                <w:sz w:val="19"/>
                <w:szCs w:val="19"/>
              </w:rPr>
              <w:t xml:space="preserve">)</w:t>
            </w:r>
          </w:p>
        </w:tc>
        <w:tc>
          <w:tcPr>
            <w:tcW w:type="dxa" w:w="1056"/>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87.99%</w:t>
            </w:r>
          </w:p>
        </w:tc>
        <w:tc>
          <w:tcPr>
            <w:tcW w:type="dxa" w:w="905"/>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89.41%</w:t>
            </w:r>
          </w:p>
        </w:tc>
        <w:tc>
          <w:tcPr>
            <w:tcW w:type="dxa" w:w="905"/>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91.46%</w:t>
            </w:r>
          </w:p>
        </w:tc>
        <w:tc>
          <w:tcPr>
            <w:tcW w:type="dxa" w:w="1056"/>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b/>
                <w:bCs/>
                <w:color w:val="1A1A1A"/>
                <w:sz w:val="19"/>
                <w:szCs w:val="19"/>
              </w:rPr>
              <w:t xml:space="preserve">93.00%</w:t>
            </w:r>
          </w:p>
        </w:tc>
        <w:tc>
          <w:tcPr>
            <w:tcW w:type="dxa" w:w="1211"/>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93.55%</w:t>
            </w:r>
          </w:p>
        </w:tc>
      </w:tr>
      <w:tr>
        <w:tc>
          <w:tcPr>
            <w:tcW w:type="dxa" w:w="4227"/>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messy tremor (</w:t>
            </w:r>
            <w:r>
              <w:rPr>
                <w:rFonts w:ascii="Consolas" w:cs="Consolas" w:eastAsia="Consolas" w:hAnsi="Consolas"/>
                <w:color w:val="0B5A66"/>
                <w:sz w:val="17"/>
                <w:szCs w:val="17"/>
              </w:rPr>
              <w:t xml:space="preserve">irregular</w:t>
            </w:r>
            <w:r>
              <w:rPr>
                <w:rFonts w:ascii="Calibri" w:cs="Calibri" w:eastAsia="Calibri" w:hAnsi="Calibri"/>
                <w:color w:val="1A1A1A"/>
                <w:sz w:val="19"/>
                <w:szCs w:val="19"/>
              </w:rPr>
              <w:t xml:space="preserve">)</w:t>
            </w:r>
          </w:p>
        </w:tc>
        <w:tc>
          <w:tcPr>
            <w:tcW w:type="dxa" w:w="1056"/>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87.81%</w:t>
            </w:r>
          </w:p>
        </w:tc>
        <w:tc>
          <w:tcPr>
            <w:tcW w:type="dxa" w:w="905"/>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89.26%</w:t>
            </w:r>
          </w:p>
        </w:tc>
        <w:tc>
          <w:tcPr>
            <w:tcW w:type="dxa" w:w="905"/>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91.32%</w:t>
            </w:r>
          </w:p>
        </w:tc>
        <w:tc>
          <w:tcPr>
            <w:tcW w:type="dxa" w:w="1056"/>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b/>
                <w:bCs/>
                <w:color w:val="1A1A1A"/>
                <w:sz w:val="19"/>
                <w:szCs w:val="19"/>
              </w:rPr>
              <w:t xml:space="preserve">92.85%</w:t>
            </w:r>
          </w:p>
        </w:tc>
        <w:tc>
          <w:tcPr>
            <w:tcW w:type="dxa" w:w="1211"/>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93.39%</w:t>
            </w:r>
          </w:p>
        </w:tc>
      </w:tr>
      <w:tr>
        <w:tc>
          <w:tcPr>
            <w:tcW w:type="dxa" w:w="4227"/>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movement + tremor (</w:t>
            </w:r>
            <w:r>
              <w:rPr>
                <w:rFonts w:ascii="Consolas" w:cs="Consolas" w:eastAsia="Consolas" w:hAnsi="Consolas"/>
                <w:color w:val="0B5A66"/>
                <w:sz w:val="17"/>
                <w:szCs w:val="17"/>
              </w:rPr>
              <w:t xml:space="preserve">combined</w:t>
            </w:r>
            <w:r>
              <w:rPr>
                <w:rFonts w:ascii="Calibri" w:cs="Calibri" w:eastAsia="Calibri" w:hAnsi="Calibri"/>
                <w:color w:val="1A1A1A"/>
                <w:sz w:val="19"/>
                <w:szCs w:val="19"/>
              </w:rPr>
              <w:t xml:space="preserve">)</w:t>
            </w:r>
          </w:p>
        </w:tc>
        <w:tc>
          <w:tcPr>
            <w:tcW w:type="dxa" w:w="1056"/>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b/>
                <w:bCs/>
                <w:color w:val="1A1A1A"/>
                <w:sz w:val="19"/>
                <w:szCs w:val="19"/>
              </w:rPr>
              <w:t xml:space="preserve">85.88%</w:t>
            </w:r>
          </w:p>
        </w:tc>
        <w:tc>
          <w:tcPr>
            <w:tcW w:type="dxa" w:w="905"/>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75.86%</w:t>
            </w:r>
          </w:p>
        </w:tc>
        <w:tc>
          <w:tcPr>
            <w:tcW w:type="dxa" w:w="905"/>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26.86%</w:t>
            </w:r>
          </w:p>
        </w:tc>
        <w:tc>
          <w:tcPr>
            <w:tcW w:type="dxa" w:w="1056"/>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−81.41%</w:t>
            </w:r>
          </w:p>
        </w:tc>
        <w:tc>
          <w:tcPr>
            <w:tcW w:type="dxa" w:w="1211"/>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−398.51%</w:t>
            </w:r>
          </w:p>
        </w:tc>
      </w:tr>
      <w:tr>
        <w:tc>
          <w:tcPr>
            <w:tcW w:type="dxa" w:w="4227"/>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movement only (</w:t>
            </w:r>
            <w:r>
              <w:rPr>
                <w:rFonts w:ascii="Consolas" w:cs="Consolas" w:eastAsia="Consolas" w:hAnsi="Consolas"/>
                <w:color w:val="0B5A66"/>
                <w:sz w:val="17"/>
                <w:szCs w:val="17"/>
              </w:rPr>
              <w:t xml:space="preserve">intent</w:t>
            </w:r>
            <w:r>
              <w:rPr>
                <w:rFonts w:ascii="Calibri" w:cs="Calibri" w:eastAsia="Calibri" w:hAnsi="Calibri"/>
                <w:color w:val="1A1A1A"/>
                <w:sz w:val="19"/>
                <w:szCs w:val="19"/>
              </w:rPr>
              <w:t xml:space="preserve">)</w:t>
            </w:r>
          </w:p>
        </w:tc>
        <w:tc>
          <w:tcPr>
            <w:tcW w:type="dxa" w:w="1056"/>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b/>
                <w:bCs/>
                <w:color w:val="1A1A1A"/>
                <w:sz w:val="19"/>
                <w:szCs w:val="19"/>
              </w:rPr>
              <w:t xml:space="preserve">0.201°</w:t>
            </w:r>
          </w:p>
        </w:tc>
        <w:tc>
          <w:tcPr>
            <w:tcW w:type="dxa" w:w="905"/>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0.689°</w:t>
            </w:r>
          </w:p>
        </w:tc>
        <w:tc>
          <w:tcPr>
            <w:tcW w:type="dxa" w:w="905"/>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1.430°</w:t>
            </w:r>
          </w:p>
        </w:tc>
        <w:tc>
          <w:tcPr>
            <w:tcW w:type="dxa" w:w="1056"/>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3.234°</w:t>
            </w:r>
          </w:p>
        </w:tc>
        <w:tc>
          <w:tcPr>
            <w:tcW w:type="dxa" w:w="1211"/>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5.607°</w:t>
            </w:r>
          </w:p>
        </w:tc>
      </w:tr>
    </w:tbl>
    <w:p>
      <w:pPr>
        <w:spacing w:after="200" w:before="0"/>
      </w:pPr>
      <w:r>
        <w:t xml:space="preserve"/>
      </w:r>
    </w:p>
    <w:p>
      <w:pPr>
        <w:spacing w:after="140" w:before="60" w:line="276"/>
      </w:pPr>
      <w:r>
        <w:rPr>
          <w:rFonts w:ascii="Calibri" w:cs="Calibri" w:eastAsia="Calibri" w:hAnsi="Calibri"/>
          <w:color w:val="1A1A1A"/>
          <w:sz w:val="21"/>
          <w:szCs w:val="21"/>
        </w:rPr>
        <w:t xml:space="preserve">Read the bottom two rows against the top two. </w:t>
      </w:r>
      <w:r>
        <w:rPr>
          <w:rFonts w:ascii="Calibri" w:cs="Calibri" w:eastAsia="Calibri" w:hAnsi="Calibri"/>
          <w:b/>
          <w:bCs/>
          <w:color w:val="1A1A1A"/>
          <w:sz w:val="21"/>
          <w:szCs w:val="21"/>
        </w:rPr>
        <w:t xml:space="preserve">The setting that best suppresses messy tremor is the setting that destroys voluntary movement.</w:t>
      </w:r>
      <w:r>
        <w:rPr>
          <w:rFonts w:ascii="Calibri" w:cs="Calibri" w:eastAsia="Calibri" w:hAnsi="Calibri"/>
          <w:color w:val="1A1A1A"/>
          <w:sz w:val="21"/>
          <w:szCs w:val="21"/>
        </w:rPr>
        <w:t xml:space="preserve"> At merely half the nominal value, the messy-tremor cases have gained 1.4 points while the movement case has already lost 10 and the movement-only error has more than trebled.</w:t>
      </w:r>
    </w:p>
    <w:p>
      <w:pPr>
        <w:spacing w:after="140" w:before="60" w:line="276"/>
      </w:pPr>
      <w:r>
        <w:rPr>
          <w:rFonts w:ascii="Calibri" w:cs="Calibri" w:eastAsia="Calibri" w:hAnsi="Calibri"/>
          <w:color w:val="1A1A1A"/>
          <w:sz w:val="21"/>
          <w:szCs w:val="21"/>
        </w:rPr>
        <w:t xml:space="preserve">So there is no correct fixed value. The dial has to be turned </w:t>
      </w:r>
      <w:r>
        <w:rPr>
          <w:rFonts w:ascii="Calibri" w:cs="Calibri" w:eastAsia="Calibri" w:hAnsi="Calibri"/>
          <w:i/>
          <w:iCs/>
          <w:color w:val="1A1A1A"/>
          <w:sz w:val="21"/>
          <w:szCs w:val="21"/>
        </w:rPr>
        <w:t xml:space="preserve">differently at different moments</w:t>
      </w:r>
      <w:r>
        <w:rPr>
          <w:rFonts w:ascii="Calibri" w:cs="Calibri" w:eastAsia="Calibri" w:hAnsi="Calibri"/>
          <w:color w:val="1A1A1A"/>
          <w:sz w:val="21"/>
          <w:szCs w:val="21"/>
        </w:rPr>
        <w:t xml:space="preserve">, and something has to say which moment it is. That information does not exist in the IMU signal. It exists in the muscle.</w:t>
      </w:r>
    </w:p>
    <w:p>
      <w:pPr>
        <w:spacing w:after="140" w:before="60" w:line="276"/>
      </w:pPr>
      <w:r>
        <w:rPr>
          <w:rFonts w:ascii="Calibri" w:cs="Calibri" w:eastAsia="Calibri" w:hAnsi="Calibri"/>
          <w:b/>
          <w:bCs/>
          <w:color w:val="1A1A1A"/>
          <w:sz w:val="21"/>
          <w:szCs w:val="21"/>
        </w:rPr>
        <w:t xml:space="preserve">This is the argument for sEMG, and it is a much better argument than the one we started with.</w:t>
      </w:r>
      <w:r>
        <w:rPr>
          <w:rFonts w:ascii="Calibri" w:cs="Calibri" w:eastAsia="Calibri" w:hAnsi="Calibri"/>
          <w:color w:val="1A1A1A"/>
          <w:sz w:val="21"/>
          <w:szCs w:val="21"/>
        </w:rPr>
        <w:t xml:space="preserve"> We are not using sEMG because it is a nice extra sensor; we are using it because we can demonstrate a specific decision the system must make and cannot make without it.</w:t>
      </w:r>
    </w:p>
    <w:p>
      <w:pPr>
        <w:pStyle w:val="Heading2"/>
        <w:spacing w:after="100" w:before="240"/>
      </w:pPr>
      <w:r>
        <w:rPr>
          <w:rFonts w:ascii="Calibri" w:cs="Calibri" w:eastAsia="Calibri" w:hAnsi="Calibri"/>
          <w:color w:val="1A1A1A"/>
          <w:sz w:val="23"/>
          <w:szCs w:val="23"/>
        </w:rPr>
        <w:t xml:space="preserve">3.2 What we fuse, and what we deliberately do not</w:t>
      </w:r>
    </w:p>
    <w:p>
      <w:pPr>
        <w:spacing w:after="140" w:before="60" w:line="276"/>
      </w:pPr>
      <w:r>
        <w:rPr>
          <w:rFonts w:ascii="Calibri" w:cs="Calibri" w:eastAsia="Calibri" w:hAnsi="Calibri"/>
          <w:color w:val="1A1A1A"/>
          <w:sz w:val="21"/>
          <w:szCs w:val="21"/>
        </w:rPr>
        <w:t xml:space="preserve">The tempting design is to have the muscle signal </w:t>
      </w:r>
      <w:r>
        <w:rPr>
          <w:rFonts w:ascii="Calibri" w:cs="Calibri" w:eastAsia="Calibri" w:hAnsi="Calibri"/>
          <w:i/>
          <w:iCs/>
          <w:color w:val="1A1A1A"/>
          <w:sz w:val="21"/>
          <w:szCs w:val="21"/>
        </w:rPr>
        <w:t xml:space="preserve">estimate the voluntary hand angle</w:t>
      </w:r>
      <w:r>
        <w:rPr>
          <w:rFonts w:ascii="Calibri" w:cs="Calibri" w:eastAsia="Calibri" w:hAnsi="Calibri"/>
          <w:color w:val="1A1A1A"/>
          <w:sz w:val="21"/>
          <w:szCs w:val="21"/>
        </w:rPr>
        <w:t xml:space="preserve"> and feed that into the model. We built that first and </w:t>
      </w:r>
      <w:r>
        <w:rPr>
          <w:rFonts w:ascii="Calibri" w:cs="Calibri" w:eastAsia="Calibri" w:hAnsi="Calibri"/>
          <w:b/>
          <w:bCs/>
          <w:color w:val="1A1A1A"/>
          <w:sz w:val="21"/>
          <w:szCs w:val="21"/>
        </w:rPr>
        <w:t xml:space="preserve">rejected it on measurement</w:t>
      </w:r>
      <w:r>
        <w:rPr>
          <w:rFonts w:ascii="Calibri" w:cs="Calibri" w:eastAsia="Calibri" w:hAnsi="Calibri"/>
          <w:color w:val="1A1A1A"/>
          <w:sz w:val="21"/>
          <w:szCs w:val="21"/>
        </w:rPr>
        <w:t xml:space="preserve">: the estimate correlates well with the truth (r = 0.95–0.98) but carries 1.6–1.8° of error, while the effect we are trying to remove is 0.02–0.18°. It would have injected an order of magnitude more error than it removed, directly into the reference the spoon tracks.</w:t>
      </w:r>
    </w:p>
    <w:p>
      <w:pPr>
        <w:spacing w:after="140" w:before="60" w:line="276"/>
      </w:pPr>
      <w:r>
        <w:rPr>
          <w:rFonts w:ascii="Calibri" w:cs="Calibri" w:eastAsia="Calibri" w:hAnsi="Calibri"/>
          <w:color w:val="1A1A1A"/>
          <w:sz w:val="21"/>
          <w:szCs w:val="21"/>
        </w:rPr>
        <w:t xml:space="preserve">What we fuse instead is much weaker and much more reliable: </w:t>
      </w:r>
      <w:r>
        <w:rPr>
          <w:rFonts w:ascii="Calibri" w:cs="Calibri" w:eastAsia="Calibri" w:hAnsi="Calibri"/>
          <w:b/>
          <w:bCs/>
          <w:color w:val="1A1A1A"/>
          <w:sz w:val="21"/>
          <w:szCs w:val="21"/>
        </w:rPr>
        <w:t xml:space="preserve">is the muscle driving, and how hard?</w:t>
      </w:r>
      <w:r>
        <w:rPr>
          <w:rFonts w:ascii="Calibri" w:cs="Calibri" w:eastAsia="Calibri" w:hAnsi="Calibri"/>
          <w:color w:val="1A1A1A"/>
          <w:sz w:val="21"/>
          <w:szCs w:val="21"/>
        </w:rPr>
        <w:t xml:space="preserve"> The difference between the two opposing muscles of a pair, smoothed, separates "tremor only" from "deliberate movement happening" by </w:t>
      </w:r>
      <w:r>
        <w:rPr>
          <w:rFonts w:ascii="Calibri" w:cs="Calibri" w:eastAsia="Calibri" w:hAnsi="Calibri"/>
          <w:b/>
          <w:bCs/>
          <w:color w:val="1A1A1A"/>
          <w:sz w:val="21"/>
          <w:szCs w:val="21"/>
        </w:rPr>
        <w:t xml:space="preserve">6.3 : 1</w:t>
      </w:r>
      <w:r>
        <w:rPr>
          <w:rFonts w:ascii="Calibri" w:cs="Calibri" w:eastAsia="Calibri" w:hAnsi="Calibri"/>
          <w:color w:val="1A1A1A"/>
          <w:sz w:val="21"/>
          <w:szCs w:val="21"/>
        </w:rPr>
        <w:t xml:space="preserve"> across all twenty benchmark scenarios. That confidence turns the dial from Section 3.1, per axis, every sample.</w:t>
      </w:r>
    </w:p>
    <w:p>
      <w:pPr>
        <w:spacing w:after="140" w:before="60" w:line="276"/>
      </w:pPr>
      <w:r>
        <w:rPr>
          <w:rFonts w:ascii="Calibri" w:cs="Calibri" w:eastAsia="Calibri" w:hAnsi="Calibri"/>
          <w:color w:val="1A1A1A"/>
          <w:sz w:val="21"/>
          <w:szCs w:val="21"/>
        </w:rPr>
        <w:t xml:space="preserve">Nothing else changes. The estimator keeps the same states, the same measurement model, and the same IMU-only view of attitude. sEMG has exactly one job, and it is the job the evidence supports it doing.</w:t>
      </w:r>
    </w:p>
    <w:p>
      <w:pPr>
        <w:pBdr>
          <w:bottom w:val="single" w:color="BFBFBF" w:sz="6" w:space="6"/>
        </w:pBdr>
        <w:spacing w:after="200" w:before="120"/>
      </w:pPr>
      <w:r>
        <w:t xml:space="preserve"/>
      </w:r>
    </w:p>
    <w:p>
      <w:pPr>
        <w:pStyle w:val="Heading1"/>
        <w:pBdr>
          <w:bottom w:val="single" w:color="BFBFBF" w:sz="4" w:space="4"/>
        </w:pBdr>
        <w:spacing w:after="120" w:before="320"/>
      </w:pPr>
      <w:r>
        <w:rPr>
          <w:rFonts w:ascii="Calibri" w:cs="Calibri" w:eastAsia="Calibri" w:hAnsi="Calibri"/>
          <w:color w:val="1A1A1A"/>
          <w:sz w:val="27"/>
          <w:szCs w:val="27"/>
        </w:rPr>
        <w:t xml:space="preserve">4. The hardware-envelope scoring decision (V2 §5.4, now settled)</w:t>
      </w:r>
    </w:p>
    <w:p>
      <w:pPr>
        <w:spacing w:after="140" w:before="60" w:line="276"/>
      </w:pPr>
      <w:r>
        <w:rPr>
          <w:rFonts w:ascii="Calibri" w:cs="Calibri" w:eastAsia="Calibri" w:hAnsi="Calibri"/>
          <w:color w:val="1A1A1A"/>
          <w:sz w:val="21"/>
          <w:szCs w:val="21"/>
        </w:rPr>
        <w:t xml:space="preserve">V2 argued that scenarios which drive the mechanism past its physical limits should not be scored as control failures, but left the definition as a pending decision. It is now decided and implemented in code, so it can be audited rather than applied by hand.</w:t>
      </w:r>
    </w:p>
    <w:p>
      <w:pPr>
        <w:spacing w:after="140" w:before="60" w:line="276"/>
      </w:pPr>
      <w:r>
        <w:rPr>
          <w:rFonts w:ascii="Calibri" w:cs="Calibri" w:eastAsia="Calibri" w:hAnsi="Calibri"/>
          <w:color w:val="1A1A1A"/>
          <w:sz w:val="21"/>
          <w:szCs w:val="21"/>
        </w:rPr>
        <w:t xml:space="preserve">The test is an </w:t>
      </w:r>
      <w:r>
        <w:rPr>
          <w:rFonts w:ascii="Calibri" w:cs="Calibri" w:eastAsia="Calibri" w:hAnsi="Calibri"/>
          <w:b/>
          <w:bCs/>
          <w:color w:val="1A1A1A"/>
          <w:sz w:val="21"/>
          <w:szCs w:val="21"/>
        </w:rPr>
        <w:t xml:space="preserve">inverse-dynamics feasibility bound</w:t>
      </w:r>
      <w:r>
        <w:rPr>
          <w:rFonts w:ascii="Calibri" w:cs="Calibri" w:eastAsia="Calibri" w:hAnsi="Calibri"/>
          <w:color w:val="1A1A1A"/>
          <w:sz w:val="21"/>
          <w:szCs w:val="21"/>
        </w:rPr>
        <w:t xml:space="preserve"> (</w:t>
      </w:r>
      <w:r>
        <w:rPr>
          <w:rFonts w:ascii="Consolas" w:cs="Consolas" w:eastAsia="Consolas" w:hAnsi="Consolas"/>
          <w:color w:val="0B5A66"/>
          <w:sz w:val="19"/>
          <w:szCs w:val="19"/>
        </w:rPr>
        <w:t xml:space="preserve">rcflex_case_feasible</w:t>
      </w:r>
      <w:r>
        <w:rPr>
          <w:rFonts w:ascii="Calibri" w:cs="Calibri" w:eastAsia="Calibri" w:hAnsi="Calibri"/>
          <w:color w:val="1A1A1A"/>
          <w:sz w:val="21"/>
          <w:szCs w:val="21"/>
        </w:rPr>
        <w:t xml:space="preserve">): assume perfect knowledge and exact tracking, and ask what current, voltage, copper power, travel and side load the input would demand. If the hardware cannot supply them, no controller could have succeeded, and scoring one measures the actuator rather than the algorithm. The same function now also generates the published envelope table, so the two cannot disagree.</w:t>
      </w:r>
    </w:p>
    <w:p>
      <w:pPr>
        <w:spacing w:after="140" w:before="60" w:line="276"/>
      </w:pPr>
      <w:r>
        <w:rPr>
          <w:rFonts w:ascii="Calibri" w:cs="Calibri" w:eastAsia="Calibri" w:hAnsi="Calibri"/>
          <w:color w:val="1A1A1A"/>
          <w:sz w:val="21"/>
          <w:szCs w:val="21"/>
        </w:rPr>
        <w:t xml:space="preserve">Three of the twenty scenarios fail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20"/>
        <w:gridCol w:w="1380"/>
        <w:gridCol w:w="7060"/>
      </w:tblGrid>
      <w:tr>
        <w:trPr>
          <w:tblHeader/>
        </w:trPr>
        <w:tc>
          <w:tcPr>
            <w:tcW w:type="dxa" w:w="920"/>
            <w:tcBorders>
              <w:top w:val="single" w:color="BFBFBF" w:sz="2"/>
              <w:left w:val="none"/>
              <w:bottom w:val="single" w:color="BFBFBF" w:sz="2"/>
              <w:right w:val="none"/>
            </w:tcBorders>
            <w:shd w:fill="EDF2F7" w:color="auto" w:val="clear"/>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Case</w:t>
            </w:r>
          </w:p>
        </w:tc>
        <w:tc>
          <w:tcPr>
            <w:tcW w:type="dxa" w:w="1380"/>
            <w:tcBorders>
              <w:top w:val="single" w:color="BFBFBF" w:sz="2"/>
              <w:left w:val="none"/>
              <w:bottom w:val="single" w:color="BFBFBF" w:sz="2"/>
              <w:right w:val="none"/>
            </w:tcBorders>
            <w:shd w:fill="EDF2F7" w:color="auto" w:val="clear"/>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Input</w:t>
            </w:r>
          </w:p>
        </w:tc>
        <w:tc>
          <w:tcPr>
            <w:tcW w:type="dxa" w:w="7060"/>
            <w:tcBorders>
              <w:top w:val="single" w:color="BFBFBF" w:sz="2"/>
              <w:left w:val="none"/>
              <w:bottom w:val="single" w:color="BFBFBF" w:sz="2"/>
              <w:right w:val="none"/>
            </w:tcBorders>
            <w:shd w:fill="EDF2F7" w:color="auto" w:val="clear"/>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Why it fails</w:t>
            </w:r>
          </w:p>
        </w:tc>
      </w:tr>
      <w:tr>
        <w:tc>
          <w:tcPr>
            <w:tcW w:type="dxa" w:w="920"/>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5</w:t>
            </w:r>
          </w:p>
        </w:tc>
        <w:tc>
          <w:tcPr>
            <w:tcW w:type="dxa" w:w="1380"/>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10 Hz, 3°</w:t>
            </w:r>
          </w:p>
        </w:tc>
        <w:tc>
          <w:tcPr>
            <w:tcW w:type="dxa" w:w="7060"/>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needs 7.10 V of a 7.4 V bus (and the bus sags under load)</w:t>
            </w:r>
          </w:p>
        </w:tc>
      </w:tr>
      <w:tr>
        <w:tc>
          <w:tcPr>
            <w:tcW w:type="dxa" w:w="920"/>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14</w:t>
            </w:r>
          </w:p>
        </w:tc>
        <w:tc>
          <w:tcPr>
            <w:tcW w:type="dxa" w:w="1380"/>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8 Hz, 5°</w:t>
            </w:r>
          </w:p>
        </w:tc>
        <w:tc>
          <w:tcPr>
            <w:tcW w:type="dxa" w:w="7060"/>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needs 7.50 V</w:t>
            </w:r>
          </w:p>
        </w:tc>
      </w:tr>
      <w:tr>
        <w:tc>
          <w:tcPr>
            <w:tcW w:type="dxa" w:w="920"/>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20</w:t>
            </w:r>
          </w:p>
        </w:tc>
        <w:tc>
          <w:tcPr>
            <w:tcW w:type="dxa" w:w="1380"/>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20 Hz, 1°</w:t>
            </w:r>
          </w:p>
        </w:tc>
        <w:tc>
          <w:tcPr>
            <w:tcW w:type="dxa" w:w="7060"/>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needs 1.84 A of a 1.5 A limit, 9.75 V, and 5.28 W against a 4.4 W continuous rating</w:t>
            </w:r>
          </w:p>
        </w:tc>
      </w:tr>
    </w:tbl>
    <w:p>
      <w:pPr>
        <w:spacing w:after="200" w:before="0"/>
      </w:pPr>
      <w:r>
        <w:t xml:space="preserve"/>
      </w:r>
    </w:p>
    <w:p>
      <w:pPr>
        <w:spacing w:after="140" w:before="60" w:line="276"/>
      </w:pPr>
      <w:r>
        <w:rPr>
          <w:rFonts w:ascii="Calibri" w:cs="Calibri" w:eastAsia="Calibri" w:hAnsi="Calibri"/>
          <w:color w:val="1A1A1A"/>
          <w:sz w:val="21"/>
          <w:szCs w:val="21"/>
        </w:rPr>
        <w:t xml:space="preserve">Case 5 is a new finding — V2 had only identified 14 and 20.</w:t>
      </w:r>
    </w:p>
    <w:p>
      <w:pPr>
        <w:spacing w:after="140" w:before="60" w:line="276"/>
      </w:pPr>
      <w:r>
        <w:rPr>
          <w:rFonts w:ascii="Calibri" w:cs="Calibri" w:eastAsia="Calibri" w:hAnsi="Calibri"/>
          <w:b/>
          <w:bCs/>
          <w:color w:val="1A1A1A"/>
          <w:sz w:val="21"/>
          <w:szCs w:val="21"/>
        </w:rPr>
        <w:t xml:space="preserve">Three averages are now always reported together</w:t>
      </w:r>
      <w:r>
        <w:rPr>
          <w:rFonts w:ascii="Calibri" w:cs="Calibri" w:eastAsia="Calibri" w:hAnsi="Calibri"/>
          <w:color w:val="1A1A1A"/>
          <w:sz w:val="21"/>
          <w:szCs w:val="21"/>
        </w:rPr>
        <w:t xml:space="preserve">, so the exclusion is visible rather than silent: all scored scenarios, feasible scenarios only (the headline), and feasible scenarios that also stayed inside the limits. Quoting only the flattering one is precisely the failure this arrangement exists to prevent.</w:t>
      </w:r>
    </w:p>
    <w:p>
      <w:pPr>
        <w:pBdr>
          <w:bottom w:val="single" w:color="BFBFBF" w:sz="6" w:space="6"/>
        </w:pBdr>
        <w:spacing w:after="200" w:before="120"/>
      </w:pPr>
      <w:r>
        <w:t xml:space="preserve"/>
      </w:r>
    </w:p>
    <w:p>
      <w:pPr>
        <w:pStyle w:val="Heading1"/>
        <w:pBdr>
          <w:bottom w:val="single" w:color="BFBFBF" w:sz="4" w:space="4"/>
        </w:pBdr>
        <w:spacing w:after="120" w:before="320"/>
      </w:pPr>
      <w:r>
        <w:rPr>
          <w:rFonts w:ascii="Calibri" w:cs="Calibri" w:eastAsia="Calibri" w:hAnsi="Calibri"/>
          <w:color w:val="1A1A1A"/>
          <w:sz w:val="27"/>
          <w:szCs w:val="27"/>
        </w:rPr>
        <w:t xml:space="preserve">5. The final benchmark</w:t>
      </w:r>
    </w:p>
    <w:p>
      <w:pPr>
        <w:spacing w:after="140" w:before="60" w:line="276"/>
      </w:pPr>
      <w:r>
        <w:rPr>
          <w:rFonts w:ascii="Calibri" w:cs="Calibri" w:eastAsia="Calibri" w:hAnsi="Calibri"/>
          <w:color w:val="1A1A1A"/>
          <w:sz w:val="21"/>
          <w:szCs w:val="21"/>
        </w:rPr>
        <w:t xml:space="preserve">Twenty scenarios, six controller variants, identical cases and identical sensor seeds, so the only difference between the blocks is the variant definition.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37"/>
        <w:gridCol w:w="2974"/>
        <w:gridCol w:w="874"/>
        <w:gridCol w:w="699"/>
        <w:gridCol w:w="1224"/>
        <w:gridCol w:w="1662"/>
        <w:gridCol w:w="790"/>
      </w:tblGrid>
      <w:tr>
        <w:trPr>
          <w:tblHeader/>
        </w:trPr>
        <w:tc>
          <w:tcPr>
            <w:tcW w:type="dxa" w:w="1137"/>
            <w:tcBorders>
              <w:top w:val="single" w:color="BFBFBF" w:sz="2"/>
              <w:left w:val="none"/>
              <w:bottom w:val="single" w:color="BFBFBF" w:sz="2"/>
              <w:right w:val="none"/>
            </w:tcBorders>
            <w:shd w:fill="EDF2F7" w:color="auto" w:val="clear"/>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Variant</w:t>
            </w:r>
          </w:p>
        </w:tc>
        <w:tc>
          <w:tcPr>
            <w:tcW w:type="dxa" w:w="2974"/>
            <w:tcBorders>
              <w:top w:val="single" w:color="BFBFBF" w:sz="2"/>
              <w:left w:val="none"/>
              <w:bottom w:val="single" w:color="BFBFBF" w:sz="2"/>
              <w:right w:val="none"/>
            </w:tcBorders>
            <w:shd w:fill="EDF2F7" w:color="auto" w:val="clear"/>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What it is</w:t>
            </w:r>
          </w:p>
        </w:tc>
        <w:tc>
          <w:tcPr>
            <w:tcW w:type="dxa" w:w="874"/>
            <w:tcBorders>
              <w:top w:val="single" w:color="BFBFBF" w:sz="2"/>
              <w:left w:val="none"/>
              <w:bottom w:val="single" w:color="BFBFBF" w:sz="2"/>
              <w:right w:val="none"/>
            </w:tcBorders>
            <w:shd w:fill="EDF2F7" w:color="auto" w:val="clear"/>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All scored</w:t>
            </w:r>
          </w:p>
        </w:tc>
        <w:tc>
          <w:tcPr>
            <w:tcW w:type="dxa" w:w="699"/>
            <w:tcBorders>
              <w:top w:val="single" w:color="BFBFBF" w:sz="2"/>
              <w:left w:val="none"/>
              <w:bottom w:val="single" w:color="BFBFBF" w:sz="2"/>
              <w:right w:val="none"/>
            </w:tcBorders>
            <w:shd w:fill="EDF2F7" w:color="auto" w:val="clear"/>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Feasible</w:t>
            </w:r>
          </w:p>
        </w:tc>
        <w:tc>
          <w:tcPr>
            <w:tcW w:type="dxa" w:w="1224"/>
            <w:tcBorders>
              <w:top w:val="single" w:color="BFBFBF" w:sz="2"/>
              <w:left w:val="none"/>
              <w:bottom w:val="single" w:color="BFBFBF" w:sz="2"/>
              <w:right w:val="none"/>
            </w:tcBorders>
            <w:shd w:fill="EDF2F7" w:color="auto" w:val="clear"/>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Worst feasible</w:t>
            </w:r>
          </w:p>
        </w:tc>
        <w:tc>
          <w:tcPr>
            <w:tcW w:type="dxa" w:w="1662"/>
            <w:tcBorders>
              <w:top w:val="single" w:color="BFBFBF" w:sz="2"/>
              <w:left w:val="none"/>
              <w:bottom w:val="single" w:color="BFBFBF" w:sz="2"/>
              <w:right w:val="none"/>
            </w:tcBorders>
            <w:shd w:fill="EDF2F7" w:color="auto" w:val="clear"/>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Movement-only error</w:t>
            </w:r>
          </w:p>
        </w:tc>
        <w:tc>
          <w:tcPr>
            <w:tcW w:type="dxa" w:w="790"/>
            <w:tcBorders>
              <w:top w:val="single" w:color="BFBFBF" w:sz="2"/>
              <w:left w:val="none"/>
              <w:bottom w:val="single" w:color="BFBFBF" w:sz="2"/>
              <w:right w:val="none"/>
            </w:tcBorders>
            <w:shd w:fill="EDF2F7" w:color="auto" w:val="clear"/>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Meets 90%</w:t>
            </w:r>
          </w:p>
        </w:tc>
      </w:tr>
      <w:tr>
        <w:tc>
          <w:tcPr>
            <w:tcW w:type="dxa" w:w="1137"/>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onsolas" w:cs="Consolas" w:eastAsia="Consolas" w:hAnsi="Consolas"/>
                <w:color w:val="0B5A66"/>
                <w:sz w:val="17"/>
                <w:szCs w:val="17"/>
              </w:rPr>
              <w:t xml:space="preserve">simple_pid</w:t>
            </w:r>
          </w:p>
        </w:tc>
        <w:tc>
          <w:tcPr>
            <w:tcW w:type="dxa" w:w="2974"/>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the original controller</w:t>
            </w:r>
          </w:p>
        </w:tc>
        <w:tc>
          <w:tcPr>
            <w:tcW w:type="dxa" w:w="874"/>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64.19%</w:t>
            </w:r>
          </w:p>
        </w:tc>
        <w:tc>
          <w:tcPr>
            <w:tcW w:type="dxa" w:w="699"/>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90.23%</w:t>
            </w:r>
          </w:p>
        </w:tc>
        <w:tc>
          <w:tcPr>
            <w:tcW w:type="dxa" w:w="1224"/>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51.51%</w:t>
            </w:r>
          </w:p>
        </w:tc>
        <w:tc>
          <w:tcPr>
            <w:tcW w:type="dxa" w:w="1662"/>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0.4583°</w:t>
            </w:r>
          </w:p>
        </w:tc>
        <w:tc>
          <w:tcPr>
            <w:tcW w:type="dxa" w:w="790"/>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15/16</w:t>
            </w:r>
          </w:p>
        </w:tc>
      </w:tr>
      <w:tr>
        <w:tc>
          <w:tcPr>
            <w:tcW w:type="dxa" w:w="1137"/>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onsolas" w:cs="Consolas" w:eastAsia="Consolas" w:hAnsi="Consolas"/>
                <w:color w:val="0B5A66"/>
                <w:sz w:val="17"/>
                <w:szCs w:val="17"/>
              </w:rPr>
              <w:t xml:space="preserve">ekf_cv_legacy</w:t>
            </w:r>
          </w:p>
        </w:tc>
        <w:tc>
          <w:tcPr>
            <w:tcW w:type="dxa" w:w="2974"/>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first EKF, with the V2 bug</w:t>
            </w:r>
          </w:p>
        </w:tc>
        <w:tc>
          <w:tcPr>
            <w:tcW w:type="dxa" w:w="874"/>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68.75%</w:t>
            </w:r>
          </w:p>
        </w:tc>
        <w:tc>
          <w:tcPr>
            <w:tcW w:type="dxa" w:w="699"/>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88.96%</w:t>
            </w:r>
          </w:p>
        </w:tc>
        <w:tc>
          <w:tcPr>
            <w:tcW w:type="dxa" w:w="1224"/>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30.75%</w:t>
            </w:r>
          </w:p>
        </w:tc>
        <w:tc>
          <w:tcPr>
            <w:tcW w:type="dxa" w:w="1662"/>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1.2390°</w:t>
            </w:r>
          </w:p>
        </w:tc>
        <w:tc>
          <w:tcPr>
            <w:tcW w:type="dxa" w:w="790"/>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11/16</w:t>
            </w:r>
          </w:p>
        </w:tc>
      </w:tr>
      <w:tr>
        <w:tc>
          <w:tcPr>
            <w:tcW w:type="dxa" w:w="1137"/>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onsolas" w:cs="Consolas" w:eastAsia="Consolas" w:hAnsi="Consolas"/>
                <w:color w:val="0B5A66"/>
                <w:sz w:val="17"/>
                <w:szCs w:val="17"/>
              </w:rPr>
              <w:t xml:space="preserve">ekf_cv</w:t>
            </w:r>
          </w:p>
        </w:tc>
        <w:tc>
          <w:tcPr>
            <w:tcW w:type="dxa" w:w="2974"/>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corrected EKF, IMU only</w:t>
            </w:r>
          </w:p>
        </w:tc>
        <w:tc>
          <w:tcPr>
            <w:tcW w:type="dxa" w:w="874"/>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71.03%</w:t>
            </w:r>
          </w:p>
        </w:tc>
        <w:tc>
          <w:tcPr>
            <w:tcW w:type="dxa" w:w="699"/>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92.12%</w:t>
            </w:r>
          </w:p>
        </w:tc>
        <w:tc>
          <w:tcPr>
            <w:tcW w:type="dxa" w:w="1224"/>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85.88%</w:t>
            </w:r>
          </w:p>
        </w:tc>
        <w:tc>
          <w:tcPr>
            <w:tcW w:type="dxa" w:w="1662"/>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0.2008°</w:t>
            </w:r>
          </w:p>
        </w:tc>
        <w:tc>
          <w:tcPr>
            <w:tcW w:type="dxa" w:w="790"/>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11/16</w:t>
            </w:r>
          </w:p>
        </w:tc>
      </w:tr>
      <w:tr>
        <w:tc>
          <w:tcPr>
            <w:tcW w:type="dxa" w:w="1137"/>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onsolas" w:cs="Consolas" w:eastAsia="Consolas" w:hAnsi="Consolas"/>
                <w:color w:val="0B5A66"/>
                <w:sz w:val="17"/>
                <w:szCs w:val="17"/>
              </w:rPr>
              <w:t xml:space="preserve">ekf_cv_osc2</w:t>
            </w:r>
          </w:p>
        </w:tc>
        <w:tc>
          <w:tcPr>
            <w:tcW w:type="dxa" w:w="2974"/>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 a second tremor oscillator</w:t>
            </w:r>
          </w:p>
        </w:tc>
        <w:tc>
          <w:tcPr>
            <w:tcW w:type="dxa" w:w="874"/>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71.04%</w:t>
            </w:r>
          </w:p>
        </w:tc>
        <w:tc>
          <w:tcPr>
            <w:tcW w:type="dxa" w:w="699"/>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92.13%</w:t>
            </w:r>
          </w:p>
        </w:tc>
        <w:tc>
          <w:tcPr>
            <w:tcW w:type="dxa" w:w="1224"/>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85.90%</w:t>
            </w:r>
          </w:p>
        </w:tc>
        <w:tc>
          <w:tcPr>
            <w:tcW w:type="dxa" w:w="1662"/>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0.2008°</w:t>
            </w:r>
          </w:p>
        </w:tc>
        <w:tc>
          <w:tcPr>
            <w:tcW w:type="dxa" w:w="790"/>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11/16</w:t>
            </w:r>
          </w:p>
        </w:tc>
      </w:tr>
      <w:tr>
        <w:tc>
          <w:tcPr>
            <w:tcW w:type="dxa" w:w="1137"/>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onsolas" w:cs="Consolas" w:eastAsia="Consolas" w:hAnsi="Consolas"/>
                <w:color w:val="0B5A66"/>
                <w:sz w:val="17"/>
                <w:szCs w:val="17"/>
              </w:rPr>
              <w:t xml:space="preserve">ekf_cv_qfix</w:t>
            </w:r>
          </w:p>
        </w:tc>
        <w:tc>
          <w:tcPr>
            <w:tcW w:type="dxa" w:w="2974"/>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b/>
                <w:bCs/>
                <w:color w:val="1A1A1A"/>
                <w:sz w:val="19"/>
                <w:szCs w:val="19"/>
              </w:rPr>
              <w:t xml:space="preserve">ablation</w:t>
            </w:r>
            <w:r>
              <w:rPr>
                <w:rFonts w:ascii="Calibri" w:cs="Calibri" w:eastAsia="Calibri" w:hAnsi="Calibri"/>
                <w:color w:val="1A1A1A"/>
                <w:sz w:val="19"/>
                <w:szCs w:val="19"/>
              </w:rPr>
              <w:t xml:space="preserve"> — same mechanism, no sEMG</w:t>
            </w:r>
          </w:p>
        </w:tc>
        <w:tc>
          <w:tcPr>
            <w:tcW w:type="dxa" w:w="874"/>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65.62%</w:t>
            </w:r>
          </w:p>
        </w:tc>
        <w:tc>
          <w:tcPr>
            <w:tcW w:type="dxa" w:w="699"/>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85.18%</w:t>
            </w:r>
          </w:p>
        </w:tc>
        <w:tc>
          <w:tcPr>
            <w:tcW w:type="dxa" w:w="1224"/>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−41.41%</w:t>
            </w:r>
          </w:p>
        </w:tc>
        <w:tc>
          <w:tcPr>
            <w:tcW w:type="dxa" w:w="1662"/>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3.0418°</w:t>
            </w:r>
          </w:p>
        </w:tc>
        <w:tc>
          <w:tcPr>
            <w:tcW w:type="dxa" w:w="790"/>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15/16</w:t>
            </w:r>
          </w:p>
        </w:tc>
      </w:tr>
      <w:tr>
        <w:tc>
          <w:tcPr>
            <w:tcW w:type="dxa" w:w="1137"/>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onsolas" w:cs="Consolas" w:eastAsia="Consolas" w:hAnsi="Consolas"/>
                <w:b/>
                <w:bCs/>
                <w:color w:val="0B5A66"/>
                <w:sz w:val="17"/>
                <w:szCs w:val="17"/>
              </w:rPr>
              <w:t xml:space="preserve">ekf_cv_semg</w:t>
            </w:r>
          </w:p>
        </w:tc>
        <w:tc>
          <w:tcPr>
            <w:tcW w:type="dxa" w:w="2974"/>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b/>
                <w:bCs/>
                <w:color w:val="1A1A1A"/>
                <w:sz w:val="19"/>
                <w:szCs w:val="19"/>
              </w:rPr>
              <w:t xml:space="preserve">sEMG + IMU (shipped)</w:t>
            </w:r>
          </w:p>
        </w:tc>
        <w:tc>
          <w:tcPr>
            <w:tcW w:type="dxa" w:w="874"/>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b/>
                <w:bCs/>
                <w:color w:val="1A1A1A"/>
                <w:sz w:val="19"/>
                <w:szCs w:val="19"/>
              </w:rPr>
              <w:t xml:space="preserve">72.63%</w:t>
            </w:r>
          </w:p>
        </w:tc>
        <w:tc>
          <w:tcPr>
            <w:tcW w:type="dxa" w:w="699"/>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b/>
                <w:bCs/>
                <w:color w:val="1A1A1A"/>
                <w:sz w:val="19"/>
                <w:szCs w:val="19"/>
              </w:rPr>
              <w:t xml:space="preserve">93.04%</w:t>
            </w:r>
          </w:p>
        </w:tc>
        <w:tc>
          <w:tcPr>
            <w:tcW w:type="dxa" w:w="1224"/>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85.31%</w:t>
            </w:r>
          </w:p>
        </w:tc>
        <w:tc>
          <w:tcPr>
            <w:tcW w:type="dxa" w:w="1662"/>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0.2070°</w:t>
            </w:r>
          </w:p>
        </w:tc>
        <w:tc>
          <w:tcPr>
            <w:tcW w:type="dxa" w:w="790"/>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b/>
                <w:bCs/>
                <w:color w:val="1A1A1A"/>
                <w:sz w:val="19"/>
                <w:szCs w:val="19"/>
              </w:rPr>
              <w:t xml:space="preserve">15/16</w:t>
            </w:r>
          </w:p>
        </w:tc>
      </w:tr>
    </w:tbl>
    <w:p>
      <w:pPr>
        <w:spacing w:after="200" w:before="0"/>
      </w:pPr>
      <w:r>
        <w:t xml:space="preserve"/>
      </w:r>
    </w:p>
    <w:p>
      <w:pPr>
        <w:spacing w:after="140" w:before="60" w:line="276"/>
      </w:pPr>
      <w:r>
        <w:rPr>
          <w:rFonts w:ascii="Calibri" w:cs="Calibri" w:eastAsia="Calibri" w:hAnsi="Calibri"/>
          <w:color w:val="1A1A1A"/>
          <w:sz w:val="21"/>
          <w:szCs w:val="21"/>
        </w:rPr>
        <w:t xml:space="preserve">Scenario by scenario, the combined system recovers exactly what the IMU-only EKF had lost: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54"/>
        <w:gridCol w:w="1361"/>
        <w:gridCol w:w="2042"/>
        <w:gridCol w:w="1703"/>
      </w:tblGrid>
      <w:tr>
        <w:trPr>
          <w:tblHeader/>
        </w:trPr>
        <w:tc>
          <w:tcPr>
            <w:tcW w:type="dxa" w:w="4254"/>
            <w:tcBorders>
              <w:top w:val="single" w:color="BFBFBF" w:sz="2"/>
              <w:left w:val="none"/>
              <w:bottom w:val="single" w:color="BFBFBF" w:sz="2"/>
              <w:right w:val="none"/>
            </w:tcBorders>
            <w:shd w:fill="EDF2F7" w:color="auto" w:val="clear"/>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Scenario</w:t>
            </w:r>
          </w:p>
        </w:tc>
        <w:tc>
          <w:tcPr>
            <w:tcW w:type="dxa" w:w="1361"/>
            <w:tcBorders>
              <w:top w:val="single" w:color="BFBFBF" w:sz="2"/>
              <w:left w:val="none"/>
              <w:bottom w:val="single" w:color="BFBFBF" w:sz="2"/>
              <w:right w:val="none"/>
            </w:tcBorders>
            <w:shd w:fill="EDF2F7" w:color="auto" w:val="clear"/>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original</w:t>
            </w:r>
          </w:p>
        </w:tc>
        <w:tc>
          <w:tcPr>
            <w:tcW w:type="dxa" w:w="2042"/>
            <w:tcBorders>
              <w:top w:val="single" w:color="BFBFBF" w:sz="2"/>
              <w:left w:val="none"/>
              <w:bottom w:val="single" w:color="BFBFBF" w:sz="2"/>
              <w:right w:val="none"/>
            </w:tcBorders>
            <w:shd w:fill="EDF2F7" w:color="auto" w:val="clear"/>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IMU-only EKF</w:t>
            </w:r>
          </w:p>
        </w:tc>
        <w:tc>
          <w:tcPr>
            <w:tcW w:type="dxa" w:w="1703"/>
            <w:tcBorders>
              <w:top w:val="single" w:color="BFBFBF" w:sz="2"/>
              <w:left w:val="none"/>
              <w:bottom w:val="single" w:color="BFBFBF" w:sz="2"/>
              <w:right w:val="none"/>
            </w:tcBorders>
            <w:shd w:fill="EDF2F7" w:color="auto" w:val="clear"/>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sEMG + IMU</w:t>
            </w:r>
          </w:p>
        </w:tc>
      </w:tr>
      <w:tr>
        <w:tc>
          <w:tcPr>
            <w:tcW w:type="dxa" w:w="4254"/>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6 messy tremor (</w:t>
            </w:r>
            <w:r>
              <w:rPr>
                <w:rFonts w:ascii="Consolas" w:cs="Consolas" w:eastAsia="Consolas" w:hAnsi="Consolas"/>
                <w:color w:val="0B5A66"/>
                <w:sz w:val="17"/>
                <w:szCs w:val="17"/>
              </w:rPr>
              <w:t xml:space="preserve">mixed</w:t>
            </w:r>
            <w:r>
              <w:rPr>
                <w:rFonts w:ascii="Calibri" w:cs="Calibri" w:eastAsia="Calibri" w:hAnsi="Calibri"/>
                <w:color w:val="1A1A1A"/>
                <w:sz w:val="19"/>
                <w:szCs w:val="19"/>
              </w:rPr>
              <w:t xml:space="preserve">)</w:t>
            </w:r>
          </w:p>
        </w:tc>
        <w:tc>
          <w:tcPr>
            <w:tcW w:type="dxa" w:w="1361"/>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92.35%</w:t>
            </w:r>
          </w:p>
        </w:tc>
        <w:tc>
          <w:tcPr>
            <w:tcW w:type="dxa" w:w="2042"/>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87.99%</w:t>
            </w:r>
          </w:p>
        </w:tc>
        <w:tc>
          <w:tcPr>
            <w:tcW w:type="dxa" w:w="1703"/>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b/>
                <w:bCs/>
                <w:color w:val="1A1A1A"/>
                <w:sz w:val="19"/>
                <w:szCs w:val="19"/>
              </w:rPr>
              <w:t xml:space="preserve">92.62%</w:t>
            </w:r>
          </w:p>
        </w:tc>
      </w:tr>
      <w:tr>
        <w:tc>
          <w:tcPr>
            <w:tcW w:type="dxa" w:w="4254"/>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7 sweeping tremor (</w:t>
            </w:r>
            <w:r>
              <w:rPr>
                <w:rFonts w:ascii="Consolas" w:cs="Consolas" w:eastAsia="Consolas" w:hAnsi="Consolas"/>
                <w:color w:val="0B5A66"/>
                <w:sz w:val="17"/>
                <w:szCs w:val="17"/>
              </w:rPr>
              <w:t xml:space="preserve">chirp</w:t>
            </w:r>
            <w:r>
              <w:rPr>
                <w:rFonts w:ascii="Calibri" w:cs="Calibri" w:eastAsia="Calibri" w:hAnsi="Calibri"/>
                <w:color w:val="1A1A1A"/>
                <w:sz w:val="19"/>
                <w:szCs w:val="19"/>
              </w:rPr>
              <w:t xml:space="preserve">)</w:t>
            </w:r>
          </w:p>
        </w:tc>
        <w:tc>
          <w:tcPr>
            <w:tcW w:type="dxa" w:w="1361"/>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90.87%</w:t>
            </w:r>
          </w:p>
        </w:tc>
        <w:tc>
          <w:tcPr>
            <w:tcW w:type="dxa" w:w="2042"/>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88.57%</w:t>
            </w:r>
          </w:p>
        </w:tc>
        <w:tc>
          <w:tcPr>
            <w:tcW w:type="dxa" w:w="1703"/>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b/>
                <w:bCs/>
                <w:color w:val="1A1A1A"/>
                <w:sz w:val="19"/>
                <w:szCs w:val="19"/>
              </w:rPr>
              <w:t xml:space="preserve">90.59%</w:t>
            </w:r>
          </w:p>
        </w:tc>
      </w:tr>
      <w:tr>
        <w:tc>
          <w:tcPr>
            <w:tcW w:type="dxa" w:w="4254"/>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8 irregular tremor</w:t>
            </w:r>
          </w:p>
        </w:tc>
        <w:tc>
          <w:tcPr>
            <w:tcW w:type="dxa" w:w="1361"/>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92.46%</w:t>
            </w:r>
          </w:p>
        </w:tc>
        <w:tc>
          <w:tcPr>
            <w:tcW w:type="dxa" w:w="2042"/>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87.81%</w:t>
            </w:r>
          </w:p>
        </w:tc>
        <w:tc>
          <w:tcPr>
            <w:tcW w:type="dxa" w:w="1703"/>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b/>
                <w:bCs/>
                <w:color w:val="1A1A1A"/>
                <w:sz w:val="19"/>
                <w:szCs w:val="19"/>
              </w:rPr>
              <w:t xml:space="preserve">92.82%</w:t>
            </w:r>
          </w:p>
        </w:tc>
      </w:tr>
      <w:tr>
        <w:tc>
          <w:tcPr>
            <w:tcW w:type="dxa" w:w="4254"/>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9 movement + tremor</w:t>
            </w:r>
          </w:p>
        </w:tc>
        <w:tc>
          <w:tcPr>
            <w:tcW w:type="dxa" w:w="1361"/>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51.51%</w:t>
            </w:r>
          </w:p>
        </w:tc>
        <w:tc>
          <w:tcPr>
            <w:tcW w:type="dxa" w:w="2042"/>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85.88%</w:t>
            </w:r>
          </w:p>
        </w:tc>
        <w:tc>
          <w:tcPr>
            <w:tcW w:type="dxa" w:w="1703"/>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b/>
                <w:bCs/>
                <w:color w:val="1A1A1A"/>
                <w:sz w:val="19"/>
                <w:szCs w:val="19"/>
              </w:rPr>
              <w:t xml:space="preserve">85.31%</w:t>
            </w:r>
          </w:p>
        </w:tc>
      </w:tr>
      <w:tr>
        <w:tc>
          <w:tcPr>
            <w:tcW w:type="dxa" w:w="4254"/>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10 movement only (error)</w:t>
            </w:r>
          </w:p>
        </w:tc>
        <w:tc>
          <w:tcPr>
            <w:tcW w:type="dxa" w:w="1361"/>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0.4583°</w:t>
            </w:r>
          </w:p>
        </w:tc>
        <w:tc>
          <w:tcPr>
            <w:tcW w:type="dxa" w:w="2042"/>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0.2008°</w:t>
            </w:r>
          </w:p>
        </w:tc>
        <w:tc>
          <w:tcPr>
            <w:tcW w:type="dxa" w:w="1703"/>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b/>
                <w:bCs/>
                <w:color w:val="1A1A1A"/>
                <w:sz w:val="19"/>
                <w:szCs w:val="19"/>
              </w:rPr>
              <w:t xml:space="preserve">0.2070°</w:t>
            </w:r>
          </w:p>
        </w:tc>
      </w:tr>
    </w:tbl>
    <w:p>
      <w:pPr>
        <w:spacing w:after="200" w:before="0"/>
      </w:pPr>
      <w:r>
        <w:t xml:space="preserve"/>
      </w:r>
    </w:p>
    <w:p>
      <w:pPr>
        <w:spacing w:after="140" w:before="60" w:line="276"/>
      </w:pPr>
      <w:r>
        <w:rPr>
          <w:rFonts w:ascii="Calibri" w:cs="Calibri" w:eastAsia="Calibri" w:hAnsi="Calibri"/>
          <w:b/>
          <w:bCs/>
          <w:color w:val="1A1A1A"/>
          <w:sz w:val="21"/>
          <w:szCs w:val="21"/>
        </w:rPr>
        <w:t xml:space="preserve">This is the first variant that is not a trade-off.</w:t>
      </w:r>
      <w:r>
        <w:rPr>
          <w:rFonts w:ascii="Calibri" w:cs="Calibri" w:eastAsia="Calibri" w:hAnsi="Calibri"/>
          <w:color w:val="1A1A1A"/>
          <w:sz w:val="21"/>
          <w:szCs w:val="21"/>
        </w:rPr>
        <w:t xml:space="preserve"> It matches the original controller on plain tremor, matches the EKF on deliberate movement, and is better than both on messy tremor.</w:t>
      </w:r>
    </w:p>
    <w:p>
      <w:pPr>
        <w:pStyle w:val="Heading2"/>
        <w:spacing w:after="100" w:before="240"/>
      </w:pPr>
      <w:r>
        <w:rPr>
          <w:rFonts w:ascii="Calibri" w:cs="Calibri" w:eastAsia="Calibri" w:hAnsi="Calibri"/>
          <w:color w:val="1A1A1A"/>
          <w:sz w:val="23"/>
          <w:szCs w:val="23"/>
        </w:rPr>
        <w:t xml:space="preserve">5.1 How we know it is the </w:t>
      </w:r>
      <w:r>
        <w:rPr>
          <w:rFonts w:ascii="Calibri" w:cs="Calibri" w:eastAsia="Calibri" w:hAnsi="Calibri"/>
          <w:i/>
          <w:iCs/>
          <w:color w:val="1A1A1A"/>
          <w:sz w:val="23"/>
          <w:szCs w:val="23"/>
        </w:rPr>
        <w:t xml:space="preserve">sensor</w:t>
      </w:r>
      <w:r>
        <w:rPr>
          <w:rFonts w:ascii="Calibri" w:cs="Calibri" w:eastAsia="Calibri" w:hAnsi="Calibri"/>
          <w:color w:val="1A1A1A"/>
          <w:sz w:val="23"/>
          <w:szCs w:val="23"/>
        </w:rPr>
        <w:t xml:space="preserve"> doing the work</w:t>
      </w:r>
    </w:p>
    <w:p>
      <w:pPr>
        <w:spacing w:after="140" w:before="60" w:line="276"/>
      </w:pPr>
      <w:r>
        <w:rPr>
          <w:rFonts w:ascii="Calibri" w:cs="Calibri" w:eastAsia="Calibri" w:hAnsi="Calibri"/>
          <w:color w:val="1A1A1A"/>
          <w:sz w:val="21"/>
          <w:szCs w:val="21"/>
        </w:rPr>
        <w:t xml:space="preserve">This is the part that matters for defending the result, and it is why the </w:t>
      </w:r>
      <w:r>
        <w:rPr>
          <w:rFonts w:ascii="Consolas" w:cs="Consolas" w:eastAsia="Consolas" w:hAnsi="Consolas"/>
          <w:color w:val="0B5A66"/>
          <w:sz w:val="19"/>
          <w:szCs w:val="19"/>
        </w:rPr>
        <w:t xml:space="preserve">ekf_cv_qfix</w:t>
      </w:r>
      <w:r>
        <w:rPr>
          <w:rFonts w:ascii="Calibri" w:cs="Calibri" w:eastAsia="Calibri" w:hAnsi="Calibri"/>
          <w:color w:val="1A1A1A"/>
          <w:sz w:val="21"/>
          <w:szCs w:val="21"/>
        </w:rPr>
        <w:t xml:space="preserve"> ablation exists. That variant applies the </w:t>
      </w:r>
      <w:r>
        <w:rPr>
          <w:rFonts w:ascii="Calibri" w:cs="Calibri" w:eastAsia="Calibri" w:hAnsi="Calibri"/>
          <w:b/>
          <w:bCs/>
          <w:color w:val="1A1A1A"/>
          <w:sz w:val="21"/>
          <w:szCs w:val="21"/>
        </w:rPr>
        <w:t xml:space="preserve">identical</w:t>
      </w:r>
      <w:r>
        <w:rPr>
          <w:rFonts w:ascii="Calibri" w:cs="Calibri" w:eastAsia="Calibri" w:hAnsi="Calibri"/>
          <w:color w:val="1A1A1A"/>
          <w:sz w:val="21"/>
          <w:szCs w:val="21"/>
        </w:rPr>
        <w:t xml:space="preserve"> dial-turning mechanism with the confidence held at a constant — the classic "just turn the dial down" fix — with no muscle signal at all. Against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42"/>
        <w:gridCol w:w="2106"/>
        <w:gridCol w:w="1170"/>
        <w:gridCol w:w="3042"/>
      </w:tblGrid>
      <w:tr>
        <w:trPr>
          <w:tblHeader/>
        </w:trPr>
        <w:tc>
          <w:tcPr>
            <w:tcW w:type="dxa" w:w="3042"/>
            <w:tcBorders>
              <w:top w:val="single" w:color="BFBFBF" w:sz="2"/>
              <w:left w:val="none"/>
              <w:bottom w:val="single" w:color="BFBFBF" w:sz="2"/>
              <w:right w:val="none"/>
            </w:tcBorders>
            <w:shd w:fill="EDF2F7" w:color="auto" w:val="clear"/>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
            </w:r>
          </w:p>
        </w:tc>
        <w:tc>
          <w:tcPr>
            <w:tcW w:type="dxa" w:w="2106"/>
            <w:tcBorders>
              <w:top w:val="single" w:color="BFBFBF" w:sz="2"/>
              <w:left w:val="none"/>
              <w:bottom w:val="single" w:color="BFBFBF" w:sz="2"/>
              <w:right w:val="none"/>
            </w:tcBorders>
            <w:shd w:fill="EDF2F7" w:color="auto" w:val="clear"/>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ablation (no sEMG)</w:t>
            </w:r>
          </w:p>
        </w:tc>
        <w:tc>
          <w:tcPr>
            <w:tcW w:type="dxa" w:w="1170"/>
            <w:tcBorders>
              <w:top w:val="single" w:color="BFBFBF" w:sz="2"/>
              <w:left w:val="none"/>
              <w:bottom w:val="single" w:color="BFBFBF" w:sz="2"/>
              <w:right w:val="none"/>
            </w:tcBorders>
            <w:shd w:fill="EDF2F7" w:color="auto" w:val="clear"/>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sEMG + IMU</w:t>
            </w:r>
          </w:p>
        </w:tc>
        <w:tc>
          <w:tcPr>
            <w:tcW w:type="dxa" w:w="3042"/>
            <w:tcBorders>
              <w:top w:val="single" w:color="BFBFBF" w:sz="2"/>
              <w:left w:val="none"/>
              <w:bottom w:val="single" w:color="BFBFBF" w:sz="2"/>
              <w:right w:val="none"/>
            </w:tcBorders>
            <w:shd w:fill="EDF2F7" w:color="auto" w:val="clear"/>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attributable to the sensor</w:t>
            </w:r>
          </w:p>
        </w:tc>
      </w:tr>
      <w:tr>
        <w:tc>
          <w:tcPr>
            <w:tcW w:type="dxa" w:w="3042"/>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Feasible-case average</w:t>
            </w:r>
          </w:p>
        </w:tc>
        <w:tc>
          <w:tcPr>
            <w:tcW w:type="dxa" w:w="2106"/>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85.18%</w:t>
            </w:r>
          </w:p>
        </w:tc>
        <w:tc>
          <w:tcPr>
            <w:tcW w:type="dxa" w:w="1170"/>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93.04%</w:t>
            </w:r>
          </w:p>
        </w:tc>
        <w:tc>
          <w:tcPr>
            <w:tcW w:type="dxa" w:w="3042"/>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b/>
                <w:bCs/>
                <w:color w:val="1A1A1A"/>
                <w:sz w:val="19"/>
                <w:szCs w:val="19"/>
              </w:rPr>
              <w:t xml:space="preserve">+7.86 points</w:t>
            </w:r>
          </w:p>
        </w:tc>
      </w:tr>
      <w:tr>
        <w:tc>
          <w:tcPr>
            <w:tcW w:type="dxa" w:w="3042"/>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Movement + tremor (case 9)</w:t>
            </w:r>
          </w:p>
        </w:tc>
        <w:tc>
          <w:tcPr>
            <w:tcW w:type="dxa" w:w="2106"/>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−41.41%</w:t>
            </w:r>
          </w:p>
        </w:tc>
        <w:tc>
          <w:tcPr>
            <w:tcW w:type="dxa" w:w="1170"/>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85.31%</w:t>
            </w:r>
          </w:p>
        </w:tc>
        <w:tc>
          <w:tcPr>
            <w:tcW w:type="dxa" w:w="3042"/>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b/>
                <w:bCs/>
                <w:color w:val="1A1A1A"/>
                <w:sz w:val="19"/>
                <w:szCs w:val="19"/>
              </w:rPr>
              <w:t xml:space="preserve">+126.7 points</w:t>
            </w:r>
          </w:p>
        </w:tc>
      </w:tr>
      <w:tr>
        <w:tc>
          <w:tcPr>
            <w:tcW w:type="dxa" w:w="3042"/>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Movement-only error</w:t>
            </w:r>
          </w:p>
        </w:tc>
        <w:tc>
          <w:tcPr>
            <w:tcW w:type="dxa" w:w="2106"/>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3.0418°</w:t>
            </w:r>
          </w:p>
        </w:tc>
        <w:tc>
          <w:tcPr>
            <w:tcW w:type="dxa" w:w="1170"/>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0.2070°</w:t>
            </w:r>
          </w:p>
        </w:tc>
        <w:tc>
          <w:tcPr>
            <w:tcW w:type="dxa" w:w="3042"/>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alibri" w:cs="Calibri" w:eastAsia="Calibri" w:hAnsi="Calibri"/>
                <w:b/>
                <w:bCs/>
                <w:color w:val="1A1A1A"/>
                <w:sz w:val="19"/>
                <w:szCs w:val="19"/>
              </w:rPr>
              <w:t xml:space="preserve">14.7× lower</w:t>
            </w:r>
          </w:p>
        </w:tc>
      </w:tr>
    </w:tbl>
    <w:p>
      <w:pPr>
        <w:spacing w:after="200" w:before="0"/>
      </w:pPr>
      <w:r>
        <w:t xml:space="preserve"/>
      </w:r>
    </w:p>
    <w:p>
      <w:pPr>
        <w:spacing w:after="140" w:before="60" w:line="276"/>
      </w:pPr>
      <w:r>
        <w:rPr>
          <w:rFonts w:ascii="Calibri" w:cs="Calibri" w:eastAsia="Calibri" w:hAnsi="Calibri"/>
          <w:color w:val="1A1A1A"/>
          <w:sz w:val="21"/>
          <w:szCs w:val="21"/>
        </w:rPr>
        <w:t xml:space="preserve">The ablation behaves exactly as Section 3.1 predicts: it wins on messy tremor and destroys everything involving deliberate movement. The sensor is what lets the system have both.</w:t>
      </w:r>
    </w:p>
    <w:p>
      <w:pPr>
        <w:spacing w:after="140" w:before="60" w:line="276"/>
      </w:pPr>
      <w:r>
        <w:rPr>
          <w:rFonts w:ascii="Calibri" w:cs="Calibri" w:eastAsia="Calibri" w:hAnsi="Calibri"/>
          <w:color w:val="1A1A1A"/>
          <w:sz w:val="21"/>
          <w:szCs w:val="21"/>
        </w:rPr>
        <w:t xml:space="preserve">Looking inside the estimator directly, tremor mis-labelled as voluntary movement falls by </w:t>
      </w:r>
      <w:r>
        <w:rPr>
          <w:rFonts w:ascii="Calibri" w:cs="Calibri" w:eastAsia="Calibri" w:hAnsi="Calibri"/>
          <w:b/>
          <w:bCs/>
          <w:color w:val="1A1A1A"/>
          <w:sz w:val="21"/>
          <w:szCs w:val="21"/>
        </w:rPr>
        <w:t xml:space="preserve">2.6–3.1×</w:t>
      </w:r>
      <w:r>
        <w:rPr>
          <w:rFonts w:ascii="Calibri" w:cs="Calibri" w:eastAsia="Calibri" w:hAnsi="Calibri"/>
          <w:color w:val="1A1A1A"/>
          <w:sz w:val="21"/>
          <w:szCs w:val="21"/>
        </w:rPr>
        <w:t xml:space="preserve"> on the messy-tremor scenarios (0.171° → 0.066°, 0.170° → 0.055°, 0.038° → 0.014°), with no loss of movement tracking. That is the designed mechanism, observed working.</w:t>
      </w:r>
    </w:p>
    <w:p>
      <w:pPr>
        <w:pStyle w:val="Heading2"/>
        <w:spacing w:after="100" w:before="240"/>
      </w:pPr>
      <w:r>
        <w:rPr>
          <w:rFonts w:ascii="Calibri" w:cs="Calibri" w:eastAsia="Calibri" w:hAnsi="Calibri"/>
          <w:color w:val="1A1A1A"/>
          <w:sz w:val="23"/>
          <w:szCs w:val="23"/>
        </w:rPr>
        <w:t xml:space="preserve">5.2 It is not paid for with actuator effort</w:t>
      </w:r>
    </w:p>
    <w:p>
      <w:pPr>
        <w:spacing w:after="140" w:before="60" w:line="276"/>
      </w:pPr>
      <w:r>
        <w:rPr>
          <w:rFonts w:ascii="Calibri" w:cs="Calibri" w:eastAsia="Calibri" w:hAnsi="Calibri"/>
          <w:color w:val="1A1A1A"/>
          <w:sz w:val="21"/>
          <w:szCs w:val="21"/>
        </w:rPr>
        <w:t xml:space="preserve">Peak current across the whole sweep is 1.4305 A (IMU-only) against 1.4320 A (sEMG+IMU), and peak average coil power 5.7228 W against 5.7190 W. Worth stating explicitly: a cancellation gain bought with extra current would not survive the thermal and battery limits, and this one is not.</w:t>
      </w:r>
    </w:p>
    <w:p>
      <w:pPr>
        <w:pBdr>
          <w:bottom w:val="single" w:color="BFBFBF" w:sz="6" w:space="6"/>
        </w:pBdr>
        <w:spacing w:after="200" w:before="120"/>
      </w:pPr>
      <w:r>
        <w:t xml:space="preserve"/>
      </w:r>
    </w:p>
    <w:p>
      <w:pPr>
        <w:pStyle w:val="Heading1"/>
        <w:pBdr>
          <w:bottom w:val="single" w:color="BFBFBF" w:sz="4" w:space="4"/>
        </w:pBdr>
        <w:spacing w:after="120" w:before="320"/>
      </w:pPr>
      <w:r>
        <w:rPr>
          <w:rFonts w:ascii="Calibri" w:cs="Calibri" w:eastAsia="Calibri" w:hAnsi="Calibri"/>
          <w:color w:val="1A1A1A"/>
          <w:sz w:val="27"/>
          <w:szCs w:val="27"/>
        </w:rPr>
        <w:t xml:space="preserve">6. What the evidence does </w:t>
      </w:r>
      <w:r>
        <w:rPr>
          <w:rFonts w:ascii="Calibri" w:cs="Calibri" w:eastAsia="Calibri" w:hAnsi="Calibri"/>
          <w:i/>
          <w:iCs/>
          <w:color w:val="1A1A1A"/>
          <w:sz w:val="27"/>
          <w:szCs w:val="27"/>
        </w:rPr>
        <w:t xml:space="preserve">not</w:t>
      </w:r>
      <w:r>
        <w:rPr>
          <w:rFonts w:ascii="Calibri" w:cs="Calibri" w:eastAsia="Calibri" w:hAnsi="Calibri"/>
          <w:color w:val="1A1A1A"/>
          <w:sz w:val="27"/>
          <w:szCs w:val="27"/>
        </w:rPr>
        <w:t xml:space="preserve"> say</w:t>
      </w:r>
    </w:p>
    <w:p>
      <w:pPr>
        <w:spacing w:after="140" w:before="60" w:line="276"/>
      </w:pPr>
      <w:r>
        <w:rPr>
          <w:rFonts w:ascii="Calibri" w:cs="Calibri" w:eastAsia="Calibri" w:hAnsi="Calibri"/>
          <w:color w:val="1A1A1A"/>
          <w:sz w:val="21"/>
          <w:szCs w:val="21"/>
        </w:rPr>
        <w:t xml:space="preserve">The muscle signal is synthetic. It is generated from the same ground truth that drives the simulated hand, so it carries the information we are asking it for </w:t>
      </w:r>
      <w:r>
        <w:rPr>
          <w:rFonts w:ascii="Calibri" w:cs="Calibri" w:eastAsia="Calibri" w:hAnsi="Calibri"/>
          <w:b/>
          <w:bCs/>
          <w:color w:val="1A1A1A"/>
          <w:sz w:val="21"/>
          <w:szCs w:val="21"/>
        </w:rPr>
        <w:t xml:space="preserve">by construction</w:t>
      </w:r>
      <w:r>
        <w:rPr>
          <w:rFonts w:ascii="Calibri" w:cs="Calibri" w:eastAsia="Calibri" w:hAnsi="Calibri"/>
          <w:color w:val="1A1A1A"/>
          <w:sz w:val="21"/>
          <w:szCs w:val="21"/>
        </w:rPr>
        <w:t xml:space="preserve">.</w:t>
      </w:r>
    </w:p>
    <w:p>
      <w:pPr>
        <w:spacing w:after="140" w:before="60" w:line="276"/>
      </w:pPr>
      <w:r>
        <w:rPr>
          <w:rFonts w:ascii="Calibri" w:cs="Calibri" w:eastAsia="Calibri" w:hAnsi="Calibri"/>
          <w:color w:val="1A1A1A"/>
          <w:sz w:val="21"/>
          <w:szCs w:val="21"/>
        </w:rPr>
        <w:t xml:space="preserve">Every number above is therefore an </w:t>
      </w:r>
      <w:r>
        <w:rPr>
          <w:rFonts w:ascii="Calibri" w:cs="Calibri" w:eastAsia="Calibri" w:hAnsi="Calibri"/>
          <w:b/>
          <w:bCs/>
          <w:color w:val="1A1A1A"/>
          <w:sz w:val="21"/>
          <w:szCs w:val="21"/>
        </w:rPr>
        <w:t xml:space="preserve">upper bound</w:t>
      </w:r>
      <w:r>
        <w:rPr>
          <w:rFonts w:ascii="Calibri" w:cs="Calibri" w:eastAsia="Calibri" w:hAnsi="Calibri"/>
          <w:color w:val="1A1A1A"/>
          <w:sz w:val="21"/>
          <w:szCs w:val="21"/>
        </w:rPr>
        <w:t xml:space="preserve">, and the result is a conditional: </w:t>
      </w:r>
      <w:r>
        <w:rPr>
          <w:rFonts w:ascii="Calibri" w:cs="Calibri" w:eastAsia="Calibri" w:hAnsi="Calibri"/>
          <w:i/>
          <w:iCs/>
          <w:color w:val="1A1A1A"/>
          <w:sz w:val="21"/>
          <w:szCs w:val="21"/>
        </w:rPr>
        <w:t xml:space="preserve">if</w:t>
      </w:r>
      <w:r>
        <w:rPr>
          <w:rFonts w:ascii="Calibri" w:cs="Calibri" w:eastAsia="Calibri" w:hAnsi="Calibri"/>
          <w:color w:val="1A1A1A"/>
          <w:sz w:val="21"/>
          <w:szCs w:val="21"/>
        </w:rPr>
        <w:t xml:space="preserve"> a real recording separates the two situations as well as this one does, </w:t>
      </w:r>
      <w:r>
        <w:rPr>
          <w:rFonts w:ascii="Calibri" w:cs="Calibri" w:eastAsia="Calibri" w:hAnsi="Calibri"/>
          <w:i/>
          <w:iCs/>
          <w:color w:val="1A1A1A"/>
          <w:sz w:val="21"/>
          <w:szCs w:val="21"/>
        </w:rPr>
        <w:t xml:space="preserve">then</w:t>
      </w:r>
      <w:r>
        <w:rPr>
          <w:rFonts w:ascii="Calibri" w:cs="Calibri" w:eastAsia="Calibri" w:hAnsi="Calibri"/>
          <w:color w:val="1A1A1A"/>
          <w:sz w:val="21"/>
          <w:szCs w:val="21"/>
        </w:rPr>
        <w:t xml:space="preserve"> the estimator improves by this much. It is an </w:t>
      </w:r>
      <w:r>
        <w:rPr>
          <w:rFonts w:ascii="Calibri" w:cs="Calibri" w:eastAsia="Calibri" w:hAnsi="Calibri"/>
          <w:b/>
          <w:bCs/>
          <w:color w:val="1A1A1A"/>
          <w:sz w:val="21"/>
          <w:szCs w:val="21"/>
        </w:rPr>
        <w:t xml:space="preserve">algorithmic</w:t>
      </w:r>
      <w:r>
        <w:rPr>
          <w:rFonts w:ascii="Calibri" w:cs="Calibri" w:eastAsia="Calibri" w:hAnsi="Calibri"/>
          <w:color w:val="1A1A1A"/>
          <w:sz w:val="21"/>
          <w:szCs w:val="21"/>
        </w:rPr>
        <w:t xml:space="preserve"> result — the architecture is sound and the control benefit is real in simulation — and it is explicitly </w:t>
      </w:r>
      <w:r>
        <w:rPr>
          <w:rFonts w:ascii="Calibri" w:cs="Calibri" w:eastAsia="Calibri" w:hAnsi="Calibri"/>
          <w:b/>
          <w:bCs/>
          <w:color w:val="1A1A1A"/>
          <w:sz w:val="21"/>
          <w:szCs w:val="21"/>
        </w:rPr>
        <w:t xml:space="preserve">not</w:t>
      </w:r>
      <w:r>
        <w:rPr>
          <w:rFonts w:ascii="Calibri" w:cs="Calibri" w:eastAsia="Calibri" w:hAnsi="Calibri"/>
          <w:color w:val="1A1A1A"/>
          <w:sz w:val="21"/>
          <w:szCs w:val="21"/>
        </w:rPr>
        <w:t xml:space="preserve"> evidence about human physiology. </w:t>
      </w:r>
      <w:r>
        <w:rPr>
          <w:rFonts w:ascii="Consolas" w:cs="Consolas" w:eastAsia="Consolas" w:hAnsi="Consolas"/>
          <w:color w:val="0B5A66"/>
          <w:sz w:val="19"/>
          <w:szCs w:val="19"/>
        </w:rPr>
        <w:t xml:space="preserve">docs/SEMG_INTENT_FUSION.md</w:t>
      </w:r>
      <w:r>
        <w:rPr>
          <w:rFonts w:ascii="Calibri" w:cs="Calibri" w:eastAsia="Calibri" w:hAnsi="Calibri"/>
          <w:color w:val="1A1A1A"/>
          <w:sz w:val="21"/>
          <w:szCs w:val="21"/>
        </w:rPr>
        <w:t xml:space="preserve"> §8 states the falsifiable targets a real recording would have to hit, chief among them a class separation of at least 4 : 1. We measure 6.3 : 1 here, which sounds comfortable but is not: the acceptance test's own worst-case margin is about 7%.</w:t>
      </w:r>
    </w:p>
    <w:p>
      <w:pPr>
        <w:spacing w:after="140" w:before="60" w:line="276"/>
      </w:pPr>
      <w:r>
        <w:rPr>
          <w:rFonts w:ascii="Calibri" w:cs="Calibri" w:eastAsia="Calibri" w:hAnsi="Calibri"/>
          <w:color w:val="1A1A1A"/>
          <w:sz w:val="21"/>
          <w:szCs w:val="21"/>
        </w:rPr>
        <w:t xml:space="preserve">The real-data validation is deliberately kept as a separate stage with its own gate, and that gate is still open (Section 8).</w:t>
      </w:r>
    </w:p>
    <w:p>
      <w:pPr>
        <w:pBdr>
          <w:bottom w:val="single" w:color="BFBFBF" w:sz="6" w:space="6"/>
        </w:pBdr>
        <w:spacing w:after="200" w:before="120"/>
      </w:pPr>
      <w:r>
        <w:t xml:space="preserve"/>
      </w:r>
    </w:p>
    <w:p>
      <w:pPr>
        <w:pStyle w:val="Heading1"/>
        <w:pBdr>
          <w:bottom w:val="single" w:color="BFBFBF" w:sz="4" w:space="4"/>
        </w:pBdr>
        <w:spacing w:after="120" w:before="320"/>
      </w:pPr>
      <w:r>
        <w:rPr>
          <w:rFonts w:ascii="Calibri" w:cs="Calibri" w:eastAsia="Calibri" w:hAnsi="Calibri"/>
          <w:color w:val="1A1A1A"/>
          <w:sz w:val="27"/>
          <w:szCs w:val="27"/>
        </w:rPr>
        <w:t xml:space="preserve">7. A failure we introduced, found, and only partly fixed</w:t>
      </w:r>
    </w:p>
    <w:p>
      <w:pPr>
        <w:spacing w:after="140" w:before="60" w:line="276"/>
      </w:pPr>
      <w:r>
        <w:rPr>
          <w:rFonts w:ascii="Calibri" w:cs="Calibri" w:eastAsia="Calibri" w:hAnsi="Calibri"/>
          <w:color w:val="1A1A1A"/>
          <w:sz w:val="21"/>
          <w:szCs w:val="21"/>
        </w:rPr>
        <w:t xml:space="preserve">This is the most important section for anyone judging the quality of the work, so it is written plainly.</w:t>
      </w:r>
    </w:p>
    <w:p>
      <w:pPr>
        <w:spacing w:after="140" w:before="60" w:line="276"/>
      </w:pPr>
      <w:r>
        <w:rPr>
          <w:rFonts w:ascii="Calibri" w:cs="Calibri" w:eastAsia="Calibri" w:hAnsi="Calibri"/>
          <w:b/>
          <w:bCs/>
          <w:color w:val="1A1A1A"/>
          <w:sz w:val="21"/>
          <w:szCs w:val="21"/>
        </w:rPr>
        <w:t xml:space="preserve">The first version of the gate made deliberate movement worse, badly.</w:t>
      </w:r>
      <w:r>
        <w:rPr>
          <w:rFonts w:ascii="Calibri" w:cs="Calibri" w:eastAsia="Calibri" w:hAnsi="Calibri"/>
          <w:color w:val="1A1A1A"/>
          <w:sz w:val="21"/>
          <w:szCs w:val="21"/>
        </w:rPr>
        <w:t xml:space="preserve"> The 20-scenario benchmark contains no </w:t>
      </w:r>
      <w:r>
        <w:rPr>
          <w:rFonts w:ascii="Calibri" w:cs="Calibri" w:eastAsia="Calibri" w:hAnsi="Calibri"/>
          <w:i/>
          <w:iCs/>
          <w:color w:val="1A1A1A"/>
          <w:sz w:val="21"/>
          <w:szCs w:val="21"/>
        </w:rPr>
        <w:t xml:space="preserve">fast</w:t>
      </w:r>
      <w:r>
        <w:rPr>
          <w:rFonts w:ascii="Calibri" w:cs="Calibri" w:eastAsia="Calibri" w:hAnsi="Calibri"/>
          <w:color w:val="1A1A1A"/>
          <w:sz w:val="21"/>
          <w:szCs w:val="21"/>
        </w:rPr>
        <w:t xml:space="preserve"> voluntary movement — every movement in it is a slow, 5-second oscillation — so we added one (</w:t>
      </w:r>
      <w:r>
        <w:rPr>
          <w:rFonts w:ascii="Consolas" w:cs="Consolas" w:eastAsia="Consolas" w:hAnsi="Consolas"/>
          <w:color w:val="0B5A66"/>
          <w:sz w:val="19"/>
          <w:szCs w:val="19"/>
        </w:rPr>
        <w:t xml:space="preserve">reach</w:t>
      </w:r>
      <w:r>
        <w:rPr>
          <w:rFonts w:ascii="Calibri" w:cs="Calibri" w:eastAsia="Calibri" w:hAnsi="Calibri"/>
          <w:color w:val="1A1A1A"/>
          <w:sz w:val="21"/>
          <w:szCs w:val="21"/>
        </w:rPr>
        <w:t xml:space="preserve">: a 0.8-second reach superimposed on tremor) precisely to test the thing we were most worried about. It failed: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83"/>
        <w:gridCol w:w="947"/>
        <w:gridCol w:w="1184"/>
        <w:gridCol w:w="2846"/>
      </w:tblGrid>
      <w:tr>
        <w:trPr>
          <w:tblHeader/>
        </w:trPr>
        <w:tc>
          <w:tcPr>
            <w:tcW w:type="dxa" w:w="4383"/>
            <w:tcBorders>
              <w:top w:val="single" w:color="BFBFBF" w:sz="2"/>
              <w:left w:val="none"/>
              <w:bottom w:val="single" w:color="BFBFBF" w:sz="2"/>
              <w:right w:val="none"/>
            </w:tcBorders>
            <w:shd w:fill="EDF2F7" w:color="auto" w:val="clear"/>
            <w:tcMar>
              <w:top w:type="dxa" w:w="60"/>
              <w:left w:type="dxa" w:w="110"/>
              <w:bottom w:type="dxa" w:w="60"/>
              <w:right w:type="dxa" w:w="110"/>
            </w:tcMar>
          </w:tcPr>
          <w:p>
            <w:pPr>
              <w:spacing w:after="0" w:before="0"/>
              <w:jc w:val="left"/>
            </w:pPr>
            <w:r>
              <w:rPr>
                <w:rFonts w:ascii="Calibri" w:cs="Calibri" w:eastAsia="Calibri" w:hAnsi="Calibri"/>
                <w:color w:val="1A1A1A"/>
                <w:sz w:val="19"/>
                <w:szCs w:val="19"/>
              </w:rPr>
              <w:t xml:space="preserve"/>
            </w:r>
          </w:p>
        </w:tc>
        <w:tc>
          <w:tcPr>
            <w:tcW w:type="dxa" w:w="947"/>
            <w:tcBorders>
              <w:top w:val="single" w:color="BFBFBF" w:sz="2"/>
              <w:left w:val="none"/>
              <w:bottom w:val="single" w:color="BFBFBF" w:sz="2"/>
              <w:right w:val="none"/>
            </w:tcBorders>
            <w:shd w:fill="EDF2F7" w:color="auto" w:val="clear"/>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IMU-only</w:t>
            </w:r>
          </w:p>
        </w:tc>
        <w:tc>
          <w:tcPr>
            <w:tcW w:type="dxa" w:w="1184"/>
            <w:tcBorders>
              <w:top w:val="single" w:color="BFBFBF" w:sz="2"/>
              <w:left w:val="none"/>
              <w:bottom w:val="single" w:color="BFBFBF" w:sz="2"/>
              <w:right w:val="none"/>
            </w:tcBorders>
            <w:shd w:fill="EDF2F7" w:color="auto" w:val="clear"/>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first gate</w:t>
            </w:r>
          </w:p>
        </w:tc>
        <w:tc>
          <w:tcPr>
            <w:tcW w:type="dxa" w:w="2846"/>
            <w:tcBorders>
              <w:top w:val="single" w:color="BFBFBF" w:sz="2"/>
              <w:left w:val="none"/>
              <w:bottom w:val="single" w:color="BFBFBF" w:sz="2"/>
              <w:right w:val="none"/>
            </w:tcBorders>
            <w:shd w:fill="EDF2F7" w:color="auto" w:val="clear"/>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two-speed gate (shipped)</w:t>
            </w:r>
          </w:p>
        </w:tc>
      </w:tr>
      <w:tr>
        <w:tc>
          <w:tcPr>
            <w:tcW w:type="dxa" w:w="4383"/>
            <w:tcBorders>
              <w:top w:val="single" w:color="BFBFBF" w:sz="2"/>
              <w:left w:val="none"/>
              <w:bottom w:val="single" w:color="BFBFBF" w:sz="2"/>
              <w:right w:val="none"/>
            </w:tcBorders>
            <w:tcMar>
              <w:top w:type="dxa" w:w="60"/>
              <w:left w:type="dxa" w:w="110"/>
              <w:bottom w:type="dxa" w:w="60"/>
              <w:right w:type="dxa" w:w="110"/>
            </w:tcMar>
          </w:tcPr>
          <w:p>
            <w:pPr>
              <w:spacing w:after="0" w:before="0"/>
              <w:jc w:val="left"/>
            </w:pPr>
            <w:r>
              <w:rPr>
                <w:rFonts w:ascii="Consolas" w:cs="Consolas" w:eastAsia="Consolas" w:hAnsi="Consolas"/>
                <w:color w:val="0B5A66"/>
                <w:sz w:val="17"/>
                <w:szCs w:val="17"/>
              </w:rPr>
              <w:t xml:space="preserve">reach</w:t>
            </w:r>
            <w:r>
              <w:rPr>
                <w:rFonts w:ascii="Calibri" w:cs="Calibri" w:eastAsia="Calibri" w:hAnsi="Calibri"/>
                <w:color w:val="1A1A1A"/>
                <w:sz w:val="19"/>
                <w:szCs w:val="19"/>
              </w:rPr>
              <w:t xml:space="preserve">, mean error over 4 sensor seeds</w:t>
            </w:r>
          </w:p>
        </w:tc>
        <w:tc>
          <w:tcPr>
            <w:tcW w:type="dxa" w:w="947"/>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0.285°</w:t>
            </w:r>
          </w:p>
        </w:tc>
        <w:tc>
          <w:tcPr>
            <w:tcW w:type="dxa" w:w="1184"/>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color w:val="1A1A1A"/>
                <w:sz w:val="19"/>
                <w:szCs w:val="19"/>
              </w:rPr>
              <w:t xml:space="preserve">0.99°</w:t>
            </w:r>
          </w:p>
        </w:tc>
        <w:tc>
          <w:tcPr>
            <w:tcW w:type="dxa" w:w="2846"/>
            <w:tcBorders>
              <w:top w:val="single" w:color="BFBFBF" w:sz="2"/>
              <w:left w:val="none"/>
              <w:bottom w:val="single" w:color="BFBFBF" w:sz="2"/>
              <w:right w:val="none"/>
            </w:tcBorders>
            <w:tcMar>
              <w:top w:type="dxa" w:w="60"/>
              <w:left w:type="dxa" w:w="110"/>
              <w:bottom w:type="dxa" w:w="60"/>
              <w:right w:type="dxa" w:w="110"/>
            </w:tcMar>
          </w:tcPr>
          <w:p>
            <w:pPr>
              <w:spacing w:after="0" w:before="0"/>
              <w:jc w:val="right"/>
            </w:pPr>
            <w:r>
              <w:rPr>
                <w:rFonts w:ascii="Calibri" w:cs="Calibri" w:eastAsia="Calibri" w:hAnsi="Calibri"/>
                <w:b/>
                <w:bCs/>
                <w:color w:val="1A1A1A"/>
                <w:sz w:val="19"/>
                <w:szCs w:val="19"/>
              </w:rPr>
              <w:t xml:space="preserve">0.67°</w:t>
            </w:r>
          </w:p>
        </w:tc>
      </w:tr>
    </w:tbl>
    <w:p>
      <w:pPr>
        <w:spacing w:after="200" w:before="0"/>
      </w:pPr>
      <w:r>
        <w:t xml:space="preserve"/>
      </w:r>
    </w:p>
    <w:p>
      <w:pPr>
        <w:spacing w:after="140" w:before="60" w:line="276"/>
      </w:pPr>
      <w:r>
        <w:rPr>
          <w:rFonts w:ascii="Calibri" w:cs="Calibri" w:eastAsia="Calibri" w:hAnsi="Calibri"/>
          <w:color w:val="1A1A1A"/>
          <w:sz w:val="21"/>
          <w:szCs w:val="21"/>
        </w:rPr>
        <w:t xml:space="preserve">About 3.6× worse than doing nothing clever, and inconsistent between seeds. The cause is unglamorous: rejecting muscle activity caused by tremor needs heavy smoothing, heavy smoothing costs time, and the gate needed 0.3–0.5 s to notice a movement lasting 0.8 s.</w:t>
      </w:r>
    </w:p>
    <w:p>
      <w:pPr>
        <w:spacing w:after="140" w:before="60" w:line="276"/>
      </w:pPr>
      <w:r>
        <w:rPr>
          <w:rFonts w:ascii="Calibri" w:cs="Calibri" w:eastAsia="Calibri" w:hAnsi="Calibri"/>
          <w:b/>
          <w:bCs/>
          <w:color w:val="1A1A1A"/>
          <w:sz w:val="21"/>
          <w:szCs w:val="21"/>
        </w:rPr>
        <w:t xml:space="preserve">The fix that didn't work, and why it's still interesting.</w:t>
      </w:r>
      <w:r>
        <w:rPr>
          <w:rFonts w:ascii="Calibri" w:cs="Calibri" w:eastAsia="Calibri" w:hAnsi="Calibri"/>
          <w:color w:val="1A1A1A"/>
          <w:sz w:val="21"/>
          <w:szCs w:val="21"/>
        </w:rPr>
        <w:t xml:space="preserve"> The estimator already has a safety layer meant to restore flexibility during exactly this kind of transient, and our gate was overriding it. We rebuilt it so the gate could not override it — and got results identical to four significant figures. The layer never fires during a reach at all, because (as in Section 3) the model still matches the sensor beautifully while being wrong. </w:t>
      </w:r>
      <w:r>
        <w:rPr>
          <w:rFonts w:ascii="Calibri" w:cs="Calibri" w:eastAsia="Calibri" w:hAnsi="Calibri"/>
          <w:b/>
          <w:bCs/>
          <w:color w:val="1A1A1A"/>
          <w:sz w:val="21"/>
          <w:szCs w:val="21"/>
        </w:rPr>
        <w:t xml:space="preserve">This is the second independent confirmation of V2 §5.3's first bullet: that confidence signal is the wrong kind of alarm for this class of problem.</w:t>
      </w:r>
    </w:p>
    <w:p>
      <w:pPr>
        <w:spacing w:after="140" w:before="60" w:line="276"/>
      </w:pPr>
      <w:r>
        <w:rPr>
          <w:rFonts w:ascii="Calibri" w:cs="Calibri" w:eastAsia="Calibri" w:hAnsi="Calibri"/>
          <w:b/>
          <w:bCs/>
          <w:color w:val="1A1A1A"/>
          <w:sz w:val="21"/>
          <w:szCs w:val="21"/>
        </w:rPr>
        <w:t xml:space="preserve">The fix that did work, partly.</w:t>
      </w:r>
      <w:r>
        <w:rPr>
          <w:rFonts w:ascii="Calibri" w:cs="Calibri" w:eastAsia="Calibri" w:hAnsi="Calibri"/>
          <w:color w:val="1A1A1A"/>
          <w:sz w:val="21"/>
          <w:szCs w:val="21"/>
        </w:rPr>
        <w:t xml:space="preserve"> The gate now runs two speeds: a slow, clean path that alone may </w:t>
      </w:r>
      <w:r>
        <w:rPr>
          <w:rFonts w:ascii="Calibri" w:cs="Calibri" w:eastAsia="Calibri" w:hAnsi="Calibri"/>
          <w:i/>
          <w:iCs/>
          <w:color w:val="1A1A1A"/>
          <w:sz w:val="21"/>
          <w:szCs w:val="21"/>
        </w:rPr>
        <w:t xml:space="preserve">close</w:t>
      </w:r>
      <w:r>
        <w:rPr>
          <w:rFonts w:ascii="Calibri" w:cs="Calibri" w:eastAsia="Calibri" w:hAnsi="Calibri"/>
          <w:color w:val="1A1A1A"/>
          <w:sz w:val="21"/>
          <w:szCs w:val="21"/>
        </w:rPr>
        <w:t xml:space="preserve"> it, and a fast path that may only ever </w:t>
      </w:r>
      <w:r>
        <w:rPr>
          <w:rFonts w:ascii="Calibri" w:cs="Calibri" w:eastAsia="Calibri" w:hAnsi="Calibri"/>
          <w:i/>
          <w:iCs/>
          <w:color w:val="1A1A1A"/>
          <w:sz w:val="21"/>
          <w:szCs w:val="21"/>
        </w:rPr>
        <w:t xml:space="preserve">open</w:t>
      </w:r>
      <w:r>
        <w:rPr>
          <w:rFonts w:ascii="Calibri" w:cs="Calibri" w:eastAsia="Calibri" w:hAnsi="Calibri"/>
          <w:color w:val="1A1A1A"/>
          <w:sz w:val="21"/>
          <w:szCs w:val="21"/>
        </w:rPr>
        <w:t xml:space="preserve"> it. The asymmetry is the point — wrongly closing the gate suppresses the user's movement, whereas wrongly opening it merely reverts to the previous behaviour, so the two mistakes should not be treated equally. That recovered a third of the loss for about 0.3 points of tremor suppression.</w:t>
      </w:r>
    </w:p>
    <w:p>
      <w:pPr>
        <w:spacing w:after="140" w:before="60" w:line="276"/>
      </w:pPr>
      <w:r>
        <w:rPr>
          <w:rFonts w:ascii="Calibri" w:cs="Calibri" w:eastAsia="Calibri" w:hAnsi="Calibri"/>
          <w:b/>
          <w:bCs/>
          <w:color w:val="1A1A1A"/>
          <w:sz w:val="21"/>
          <w:szCs w:val="21"/>
        </w:rPr>
        <w:t xml:space="preserve">It is not solved.</w:t>
      </w:r>
      <w:r>
        <w:rPr>
          <w:rFonts w:ascii="Calibri" w:cs="Calibri" w:eastAsia="Calibri" w:hAnsi="Calibri"/>
          <w:color w:val="1A1A1A"/>
          <w:sz w:val="21"/>
          <w:szCs w:val="21"/>
        </w:rPr>
        <w:t xml:space="preserve"> The shipped system is still ~2.4× worse than the IMU-only estimator on a fast deliberate movement. We set a 350 ms response target </w:t>
      </w:r>
      <w:r>
        <w:rPr>
          <w:rFonts w:ascii="Calibri" w:cs="Calibri" w:eastAsia="Calibri" w:hAnsi="Calibri"/>
          <w:i/>
          <w:iCs/>
          <w:color w:val="1A1A1A"/>
          <w:sz w:val="21"/>
          <w:szCs w:val="21"/>
        </w:rPr>
        <w:t xml:space="preserve">in advance</w:t>
      </w:r>
      <w:r>
        <w:rPr>
          <w:rFonts w:ascii="Calibri" w:cs="Calibri" w:eastAsia="Calibri" w:hAnsi="Calibri"/>
          <w:color w:val="1A1A1A"/>
          <w:sz w:val="21"/>
          <w:szCs w:val="21"/>
        </w:rPr>
        <w:t xml:space="preserve">; the system achieves 404 ms. A 16-point sweep over the filter settings found nothing meeting both that target and the separation requirement — so </w:t>
      </w:r>
      <w:r>
        <w:rPr>
          <w:rFonts w:ascii="Calibri" w:cs="Calibri" w:eastAsia="Calibri" w:hAnsi="Calibri"/>
          <w:b/>
          <w:bCs/>
          <w:color w:val="1A1A1A"/>
          <w:sz w:val="21"/>
          <w:szCs w:val="21"/>
        </w:rPr>
        <w:t xml:space="preserve">we adopted none of them, rather than moving the target to whatever the design happened to achieve.</w:t>
      </w:r>
      <w:r>
        <w:rPr>
          <w:rFonts w:ascii="Calibri" w:cs="Calibri" w:eastAsia="Calibri" w:hAnsi="Calibri"/>
          <w:color w:val="1A1A1A"/>
          <w:sz w:val="21"/>
          <w:szCs w:val="21"/>
        </w:rPr>
        <w:t xml:space="preserve"> The headline numbers in Section 5 do not reflect this cost, because the benchmark contains no such scenario. Anyone quoting the headline should quote this alongside it.</w:t>
      </w:r>
    </w:p>
    <w:p>
      <w:pPr>
        <w:spacing w:after="140" w:before="60" w:line="276"/>
      </w:pPr>
      <w:r>
        <w:rPr>
          <w:rFonts w:ascii="Calibri" w:cs="Calibri" w:eastAsia="Calibri" w:hAnsi="Calibri"/>
          <w:b/>
          <w:bCs/>
          <w:color w:val="1A1A1A"/>
          <w:sz w:val="21"/>
          <w:szCs w:val="21"/>
        </w:rPr>
        <w:t xml:space="preserve">One more correction.</w:t>
      </w:r>
      <w:r>
        <w:rPr>
          <w:rFonts w:ascii="Calibri" w:cs="Calibri" w:eastAsia="Calibri" w:hAnsi="Calibri"/>
          <w:color w:val="1A1A1A"/>
          <w:sz w:val="21"/>
          <w:szCs w:val="21"/>
        </w:rPr>
        <w:t xml:space="preserve"> At one point this revision recorded that the two versions of the safety-layer fix differed by 20 points. That comparison had been run at two different sensor seeds and was simply wrong; re-run properly, they are identical. The erroneous claim is struck through in the code comment and the design document rather than deleted, because a retracted measurement is itself a useful warning.</w:t>
      </w:r>
    </w:p>
    <w:p>
      <w:pPr>
        <w:pBdr>
          <w:bottom w:val="single" w:color="BFBFBF" w:sz="6" w:space="6"/>
        </w:pBdr>
        <w:spacing w:after="200" w:before="120"/>
      </w:pPr>
      <w:r>
        <w:t xml:space="preserve"/>
      </w:r>
    </w:p>
    <w:p>
      <w:pPr>
        <w:pStyle w:val="Heading1"/>
        <w:pBdr>
          <w:bottom w:val="single" w:color="BFBFBF" w:sz="4" w:space="4"/>
        </w:pBdr>
        <w:spacing w:after="120" w:before="320"/>
      </w:pPr>
      <w:r>
        <w:rPr>
          <w:rFonts w:ascii="Calibri" w:cs="Calibri" w:eastAsia="Calibri" w:hAnsi="Calibri"/>
          <w:color w:val="1A1A1A"/>
          <w:sz w:val="27"/>
          <w:szCs w:val="27"/>
        </w:rPr>
        <w:t xml:space="preserve">8. What's still open</w:t>
      </w:r>
    </w:p>
    <w:p>
      <w:pPr>
        <w:pStyle w:val="ListParagraph"/>
        <w:numPr>
          <w:ilvl w:val="0"/>
          <w:numId w:val="3"/>
        </w:numPr>
        <w:spacing w:after="80" w:before="40" w:line="276"/>
      </w:pPr>
      <w:r>
        <w:rPr>
          <w:rFonts w:ascii="Calibri" w:cs="Calibri" w:eastAsia="Calibri" w:hAnsi="Calibri"/>
          <w:b/>
          <w:bCs/>
          <w:color w:val="1A1A1A"/>
          <w:sz w:val="21"/>
          <w:szCs w:val="21"/>
        </w:rPr>
        <w:t xml:space="preserve">The joint-travel protection in the authority limiter is still inoperative.</w:t>
      </w:r>
      <w:r>
        <w:rPr>
          <w:rFonts w:ascii="Calibri" w:cs="Calibri" w:eastAsia="Calibri" w:hAnsi="Calibri"/>
          <w:color w:val="1A1A1A"/>
          <w:sz w:val="21"/>
          <w:szCs w:val="21"/>
        </w:rPr>
        <w:t xml:space="preserve"> V2 diagnosed it: the value being checked is clipped to the limit before being compared against that same limit, so the check can never trigger. It was not attempted this revision. It is a small ordering fix, but whether repairing it actually helps the worst case is a separate question that needs measuring, not assuming.</w:t>
      </w:r>
    </w:p>
    <w:p>
      <w:pPr>
        <w:pStyle w:val="ListParagraph"/>
        <w:numPr>
          <w:ilvl w:val="0"/>
          <w:numId w:val="3"/>
        </w:numPr>
        <w:spacing w:after="80" w:before="40" w:line="276"/>
      </w:pPr>
      <w:r>
        <w:rPr>
          <w:rFonts w:ascii="Calibri" w:cs="Calibri" w:eastAsia="Calibri" w:hAnsi="Calibri"/>
          <w:b/>
          <w:bCs/>
          <w:color w:val="1A1A1A"/>
          <w:sz w:val="21"/>
          <w:szCs w:val="21"/>
        </w:rPr>
        <w:t xml:space="preserve">Fast deliberate movement (Section 7).</w:t>
      </w:r>
      <w:r>
        <w:rPr>
          <w:rFonts w:ascii="Calibri" w:cs="Calibri" w:eastAsia="Calibri" w:hAnsi="Calibri"/>
          <w:color w:val="1A1A1A"/>
          <w:sz w:val="21"/>
          <w:szCs w:val="21"/>
        </w:rPr>
        <w:t xml:space="preserve"> Real, measured, and the largest remaining weakness of the delivered system.</w:t>
      </w:r>
    </w:p>
    <w:p>
      <w:pPr>
        <w:pStyle w:val="ListParagraph"/>
        <w:numPr>
          <w:ilvl w:val="0"/>
          <w:numId w:val="3"/>
        </w:numPr>
        <w:spacing w:after="80" w:before="40" w:line="276"/>
      </w:pPr>
      <w:r>
        <w:rPr>
          <w:rFonts w:ascii="Calibri" w:cs="Calibri" w:eastAsia="Calibri" w:hAnsi="Calibri"/>
          <w:b/>
          <w:bCs/>
          <w:color w:val="1A1A1A"/>
          <w:sz w:val="21"/>
          <w:szCs w:val="21"/>
        </w:rPr>
        <w:t xml:space="preserve">Three of the six real-data sEMG checks remain unanswered</w:t>
      </w:r>
      <w:r>
        <w:rPr>
          <w:rFonts w:ascii="Calibri" w:cs="Calibri" w:eastAsia="Calibri" w:hAnsi="Calibri"/>
          <w:color w:val="1A1A1A"/>
          <w:sz w:val="21"/>
          <w:szCs w:val="21"/>
        </w:rPr>
        <w:t xml:space="preserve">, unchanged from V2, because no public dataset records forearm muscle signals simultaneously with a physical tremor measurement. This now also gates the one number the whole fusion depends on — the 6.3 : 1 separation — which has never been measured on a human.</w:t>
      </w:r>
    </w:p>
    <w:p>
      <w:pPr>
        <w:pStyle w:val="ListParagraph"/>
        <w:numPr>
          <w:ilvl w:val="0"/>
          <w:numId w:val="3"/>
        </w:numPr>
        <w:spacing w:after="80" w:before="40" w:line="276"/>
      </w:pPr>
      <w:r>
        <w:rPr>
          <w:rFonts w:ascii="Calibri" w:cs="Calibri" w:eastAsia="Calibri" w:hAnsi="Calibri"/>
          <w:b/>
          <w:bCs/>
          <w:color w:val="1A1A1A"/>
          <w:sz w:val="21"/>
          <w:szCs w:val="21"/>
        </w:rPr>
        <w:t xml:space="preserve">A sustained isometric hold would read as deliberate movement.</w:t>
      </w:r>
      <w:r>
        <w:rPr>
          <w:rFonts w:ascii="Calibri" w:cs="Calibri" w:eastAsia="Calibri" w:hAnsi="Calibri"/>
          <w:color w:val="1A1A1A"/>
          <w:sz w:val="21"/>
          <w:szCs w:val="21"/>
        </w:rPr>
        <w:t xml:space="preserve"> Holding a loaded spoon still, against gravity, produces muscle drive without motion; the gate would stay open and the system would revert to its IMU-only behaviour. That is the </w:t>
      </w:r>
      <w:r>
        <w:rPr>
          <w:rFonts w:ascii="Calibri" w:cs="Calibri" w:eastAsia="Calibri" w:hAnsi="Calibri"/>
          <w:i/>
          <w:iCs/>
          <w:color w:val="1A1A1A"/>
          <w:sz w:val="21"/>
          <w:szCs w:val="21"/>
        </w:rPr>
        <w:t xml:space="preserve">safe</w:t>
      </w:r>
      <w:r>
        <w:rPr>
          <w:rFonts w:ascii="Calibri" w:cs="Calibri" w:eastAsia="Calibri" w:hAnsi="Calibri"/>
          <w:color w:val="1A1A1A"/>
          <w:sz w:val="21"/>
          <w:szCs w:val="21"/>
        </w:rPr>
        <w:t xml:space="preserve"> direction of failure, but it is a genuine gap and it is untested.</w:t>
      </w:r>
    </w:p>
    <w:p>
      <w:pPr>
        <w:pStyle w:val="ListParagraph"/>
        <w:numPr>
          <w:ilvl w:val="0"/>
          <w:numId w:val="3"/>
        </w:numPr>
        <w:spacing w:after="80" w:before="40" w:line="276"/>
      </w:pPr>
      <w:r>
        <w:rPr>
          <w:rFonts w:ascii="Calibri" w:cs="Calibri" w:eastAsia="Calibri" w:hAnsi="Calibri"/>
          <w:b/>
          <w:bCs/>
          <w:color w:val="1A1A1A"/>
          <w:sz w:val="21"/>
          <w:szCs w:val="21"/>
        </w:rPr>
        <w:t xml:space="preserve">The sEMG stream is still not wired into the Simulink model</w:t>
      </w:r>
      <w:r>
        <w:rPr>
          <w:rFonts w:ascii="Calibri" w:cs="Calibri" w:eastAsia="Calibri" w:hAnsi="Calibri"/>
          <w:color w:val="1A1A1A"/>
          <w:sz w:val="21"/>
          <w:szCs w:val="21"/>
        </w:rPr>
        <w:t xml:space="preserve">, only the MATLAB controller. Deferred deliberately; it needs a </w:t>
      </w:r>
      <w:r>
        <w:rPr>
          <w:rFonts w:ascii="Consolas" w:cs="Consolas" w:eastAsia="Consolas" w:hAnsi="Consolas"/>
          <w:color w:val="0B5A66"/>
          <w:sz w:val="19"/>
          <w:szCs w:val="19"/>
        </w:rPr>
        <w:t xml:space="preserve">.slx</w:t>
      </w:r>
      <w:r>
        <w:rPr>
          <w:rFonts w:ascii="Calibri" w:cs="Calibri" w:eastAsia="Calibri" w:hAnsi="Calibri"/>
          <w:color w:val="1A1A1A"/>
          <w:sz w:val="21"/>
          <w:szCs w:val="21"/>
        </w:rPr>
        <w:t xml:space="preserve"> port change.</w:t>
      </w:r>
    </w:p>
    <w:p>
      <w:pPr>
        <w:pStyle w:val="ListParagraph"/>
        <w:numPr>
          <w:ilvl w:val="0"/>
          <w:numId w:val="3"/>
        </w:numPr>
        <w:spacing w:after="80" w:before="40" w:line="276"/>
      </w:pPr>
      <w:r>
        <w:rPr>
          <w:rFonts w:ascii="Calibri" w:cs="Calibri" w:eastAsia="Calibri" w:hAnsi="Calibri"/>
          <w:b/>
          <w:bCs/>
          <w:color w:val="1A1A1A"/>
          <w:sz w:val="21"/>
          <w:szCs w:val="21"/>
        </w:rPr>
        <w:t xml:space="preserve">No hysteresis, dead zone or creep in the plant model</w:t>
      </w:r>
      <w:r>
        <w:rPr>
          <w:rFonts w:ascii="Calibri" w:cs="Calibri" w:eastAsia="Calibri" w:hAnsi="Calibri"/>
          <w:color w:val="1A1A1A"/>
          <w:sz w:val="21"/>
          <w:szCs w:val="21"/>
        </w:rPr>
        <w:t xml:space="preserve"> — the project's standing caveat. This remains an algorithm-development baseline, not a validated digital twin.</w:t>
      </w:r>
    </w:p>
    <w:p>
      <w:pPr>
        <w:pBdr>
          <w:bottom w:val="single" w:color="BFBFBF" w:sz="6" w:space="6"/>
        </w:pBdr>
        <w:spacing w:after="200" w:before="120"/>
      </w:pPr>
      <w:r>
        <w:t xml:space="preserve"/>
      </w:r>
    </w:p>
    <w:p>
      <w:pPr>
        <w:pStyle w:val="Heading1"/>
        <w:pBdr>
          <w:bottom w:val="single" w:color="BFBFBF" w:sz="4" w:space="4"/>
        </w:pBdr>
        <w:spacing w:after="120" w:before="320"/>
      </w:pPr>
      <w:r>
        <w:rPr>
          <w:rFonts w:ascii="Calibri" w:cs="Calibri" w:eastAsia="Calibri" w:hAnsi="Calibri"/>
          <w:color w:val="1A1A1A"/>
          <w:sz w:val="27"/>
          <w:szCs w:val="27"/>
        </w:rPr>
        <w:t xml:space="preserve">9. Suggested next steps, in the order we would do them</w:t>
      </w:r>
    </w:p>
    <w:p>
      <w:pPr>
        <w:pStyle w:val="ListParagraph"/>
        <w:numPr>
          <w:ilvl w:val="0"/>
          <w:numId w:val="2"/>
        </w:numPr>
        <w:spacing w:after="80" w:before="40" w:line="276"/>
      </w:pPr>
      <w:r>
        <w:rPr>
          <w:rFonts w:ascii="Calibri" w:cs="Calibri" w:eastAsia="Calibri" w:hAnsi="Calibri"/>
          <w:b/>
          <w:bCs/>
          <w:color w:val="1A1A1A"/>
          <w:sz w:val="21"/>
          <w:szCs w:val="21"/>
        </w:rPr>
        <w:t xml:space="preserve">Repair the joint-travel check</w:t>
      </w:r>
      <w:r>
        <w:rPr>
          <w:rFonts w:ascii="Calibri" w:cs="Calibri" w:eastAsia="Calibri" w:hAnsi="Calibri"/>
          <w:color w:val="1A1A1A"/>
          <w:sz w:val="21"/>
          <w:szCs w:val="21"/>
        </w:rPr>
        <w:t xml:space="preserve"> (one ordering fix), then re-run the two outside-envelope scenarios and measure whether it changes anything. Cheap, and it closes the oldest outstanding item.</w:t>
      </w:r>
    </w:p>
    <w:p>
      <w:pPr>
        <w:pStyle w:val="ListParagraph"/>
        <w:numPr>
          <w:ilvl w:val="0"/>
          <w:numId w:val="2"/>
        </w:numPr>
        <w:spacing w:after="80" w:before="40" w:line="276"/>
      </w:pPr>
      <w:r>
        <w:rPr>
          <w:rFonts w:ascii="Calibri" w:cs="Calibri" w:eastAsia="Calibri" w:hAnsi="Calibri"/>
          <w:b/>
          <w:bCs/>
          <w:color w:val="1A1A1A"/>
          <w:sz w:val="21"/>
          <w:szCs w:val="21"/>
        </w:rPr>
        <w:t xml:space="preserve">Attack the fast-movement gap properly.</w:t>
      </w:r>
      <w:r>
        <w:rPr>
          <w:rFonts w:ascii="Calibri" w:cs="Calibri" w:eastAsia="Calibri" w:hAnsi="Calibri"/>
          <w:color w:val="1A1A1A"/>
          <w:sz w:val="21"/>
          <w:szCs w:val="21"/>
        </w:rPr>
        <w:t xml:space="preserve"> The current gate detects movement from muscle </w:t>
      </w:r>
      <w:r>
        <w:rPr>
          <w:rFonts w:ascii="Calibri" w:cs="Calibri" w:eastAsia="Calibri" w:hAnsi="Calibri"/>
          <w:i/>
          <w:iCs/>
          <w:color w:val="1A1A1A"/>
          <w:sz w:val="21"/>
          <w:szCs w:val="21"/>
        </w:rPr>
        <w:t xml:space="preserve">amplitude</w:t>
      </w:r>
      <w:r>
        <w:rPr>
          <w:rFonts w:ascii="Calibri" w:cs="Calibri" w:eastAsia="Calibri" w:hAnsi="Calibri"/>
          <w:color w:val="1A1A1A"/>
          <w:sz w:val="21"/>
          <w:szCs w:val="21"/>
        </w:rPr>
        <w:t xml:space="preserve">, which by definition arrives late. The more promising quantity is the </w:t>
      </w:r>
      <w:r>
        <w:rPr>
          <w:rFonts w:ascii="Calibri" w:cs="Calibri" w:eastAsia="Calibri" w:hAnsi="Calibri"/>
          <w:i/>
          <w:iCs/>
          <w:color w:val="1A1A1A"/>
          <w:sz w:val="21"/>
          <w:szCs w:val="21"/>
        </w:rPr>
        <w:t xml:space="preserve">rate of change</w:t>
      </w:r>
      <w:r>
        <w:rPr>
          <w:rFonts w:ascii="Calibri" w:cs="Calibri" w:eastAsia="Calibri" w:hAnsi="Calibri"/>
          <w:color w:val="1A1A1A"/>
          <w:sz w:val="21"/>
          <w:szCs w:val="21"/>
        </w:rPr>
        <w:t xml:space="preserve"> of muscle drive, which leads amplitude substantially — we measured it as ~4× earlier detection, but it also amplifies noise, so it needs its own threshold derived the same way the current ones were. This is a contained experiment, not a redesign.</w:t>
      </w:r>
    </w:p>
    <w:p>
      <w:pPr>
        <w:pStyle w:val="ListParagraph"/>
        <w:numPr>
          <w:ilvl w:val="0"/>
          <w:numId w:val="2"/>
        </w:numPr>
        <w:spacing w:after="80" w:before="40" w:line="276"/>
      </w:pPr>
      <w:r>
        <w:rPr>
          <w:rFonts w:ascii="Calibri" w:cs="Calibri" w:eastAsia="Calibri" w:hAnsi="Calibri"/>
          <w:b/>
          <w:bCs/>
          <w:color w:val="1A1A1A"/>
          <w:sz w:val="21"/>
          <w:szCs w:val="21"/>
        </w:rPr>
        <w:t xml:space="preserve">Record a short synchronised session</w:t>
      </w:r>
      <w:r>
        <w:rPr>
          <w:rFonts w:ascii="Calibri" w:cs="Calibri" w:eastAsia="Calibri" w:hAnsi="Calibri"/>
          <w:color w:val="1A1A1A"/>
          <w:sz w:val="21"/>
          <w:szCs w:val="21"/>
        </w:rPr>
        <w:t xml:space="preserve"> — forearm muscle sensors and a motion sensor worn together, alternating rest, tremor-like shaking and deliberate reaching. Twenty minutes of recording would close the three outstanding validation checks </w:t>
      </w:r>
      <w:r>
        <w:rPr>
          <w:rFonts w:ascii="Calibri" w:cs="Calibri" w:eastAsia="Calibri" w:hAnsi="Calibri"/>
          <w:i/>
          <w:iCs/>
          <w:color w:val="1A1A1A"/>
          <w:sz w:val="21"/>
          <w:szCs w:val="21"/>
        </w:rPr>
        <w:t xml:space="preserve">and</w:t>
      </w:r>
      <w:r>
        <w:rPr>
          <w:rFonts w:ascii="Calibri" w:cs="Calibri" w:eastAsia="Calibri" w:hAnsi="Calibri"/>
          <w:color w:val="1A1A1A"/>
          <w:sz w:val="21"/>
          <w:szCs w:val="21"/>
        </w:rPr>
        <w:t xml:space="preserve"> produce the first real measurement of the class separation the whole fusion rests on. This is the single highest value item on the list and the only one that changes what the result means.</w:t>
      </w:r>
    </w:p>
    <w:p>
      <w:pPr>
        <w:pStyle w:val="ListParagraph"/>
        <w:numPr>
          <w:ilvl w:val="0"/>
          <w:numId w:val="2"/>
        </w:numPr>
        <w:spacing w:after="80" w:before="40" w:line="276"/>
      </w:pPr>
      <w:r>
        <w:rPr>
          <w:rFonts w:ascii="Calibri" w:cs="Calibri" w:eastAsia="Calibri" w:hAnsi="Calibri"/>
          <w:b/>
          <w:bCs/>
          <w:color w:val="1A1A1A"/>
          <w:sz w:val="21"/>
          <w:szCs w:val="21"/>
        </w:rPr>
        <w:t xml:space="preserve">Re-measure the calibration's stability</w:t>
      </w:r>
      <w:r>
        <w:rPr>
          <w:rFonts w:ascii="Calibri" w:cs="Calibri" w:eastAsia="Calibri" w:hAnsi="Calibri"/>
          <w:color w:val="1A1A1A"/>
          <w:sz w:val="21"/>
          <w:szCs w:val="21"/>
        </w:rPr>
        <w:t xml:space="preserve"> across that session (fit the gain at the start and the end and check they agree), since a per-subject calibration that drifts within one meal would be a problem.</w:t>
      </w:r>
    </w:p>
    <w:p>
      <w:pPr>
        <w:pStyle w:val="ListParagraph"/>
        <w:numPr>
          <w:ilvl w:val="0"/>
          <w:numId w:val="2"/>
        </w:numPr>
        <w:spacing w:after="80" w:before="40" w:line="276"/>
      </w:pPr>
      <w:r>
        <w:rPr>
          <w:rFonts w:ascii="Calibri" w:cs="Calibri" w:eastAsia="Calibri" w:hAnsi="Calibri"/>
          <w:b/>
          <w:bCs/>
          <w:color w:val="1A1A1A"/>
          <w:sz w:val="21"/>
          <w:szCs w:val="21"/>
        </w:rPr>
        <w:t xml:space="preserve">Test an isometric hold</w:t>
      </w:r>
      <w:r>
        <w:rPr>
          <w:rFonts w:ascii="Calibri" w:cs="Calibri" w:eastAsia="Calibri" w:hAnsi="Calibri"/>
          <w:color w:val="1A1A1A"/>
          <w:sz w:val="21"/>
          <w:szCs w:val="21"/>
        </w:rPr>
        <w:t xml:space="preserve"> explicitly, since it is the one everyday situation we know the design handles by giving up.</w:t>
      </w:r>
    </w:p>
    <w:p>
      <w:pPr>
        <w:pStyle w:val="ListParagraph"/>
        <w:numPr>
          <w:ilvl w:val="0"/>
          <w:numId w:val="2"/>
        </w:numPr>
        <w:spacing w:after="80" w:before="40" w:line="276"/>
      </w:pPr>
      <w:r>
        <w:rPr>
          <w:rFonts w:ascii="Calibri" w:cs="Calibri" w:eastAsia="Calibri" w:hAnsi="Calibri"/>
          <w:b/>
          <w:bCs/>
          <w:color w:val="1A1A1A"/>
          <w:sz w:val="21"/>
          <w:szCs w:val="21"/>
        </w:rPr>
        <w:t xml:space="preserve">Revisit whether case 5 changes the hardware sizing.</w:t>
      </w:r>
      <w:r>
        <w:rPr>
          <w:rFonts w:ascii="Calibri" w:cs="Calibri" w:eastAsia="Calibri" w:hAnsi="Calibri"/>
          <w:color w:val="1A1A1A"/>
          <w:sz w:val="21"/>
          <w:szCs w:val="21"/>
        </w:rPr>
        <w:t xml:space="preserve"> Three of twenty scenarios now fail the feasibility bound on bus voltage or current. If those amplitudes are clinically realistic, the actuator or the battery is undersized, and that is a mechanical conclusion this control work has produced as a by-product.</w:t>
      </w:r>
    </w:p>
    <w:p>
      <w:pPr>
        <w:spacing w:after="140" w:before="60" w:line="276"/>
      </w:pPr>
      <w:r>
        <w:rPr>
          <w:rFonts w:ascii="Calibri" w:cs="Calibri" w:eastAsia="Calibri" w:hAnsi="Calibri"/>
          <w:color w:val="1A1A1A"/>
          <w:sz w:val="21"/>
          <w:szCs w:val="21"/>
        </w:rPr>
        <w:t xml:space="preserve">Items 1, 2, 5 and 6 are all doable in simulation. Item 3 is the one that needs hardware and a person, and it is the one that would turn this from a defensible simulation result into a defensible system.</w:t>
      </w:r>
    </w:p>
    <w:p>
      <w:pPr>
        <w:pBdr>
          <w:bottom w:val="single" w:color="BFBFBF" w:sz="6" w:space="6"/>
        </w:pBdr>
        <w:spacing w:after="200" w:before="120"/>
      </w:pPr>
      <w:r>
        <w:t xml:space="preserve"/>
      </w:r>
    </w:p>
    <w:p>
      <w:pPr>
        <w:pStyle w:val="Heading2"/>
        <w:spacing w:after="100" w:before="240"/>
      </w:pPr>
      <w:r>
        <w:rPr>
          <w:rFonts w:ascii="Calibri" w:cs="Calibri" w:eastAsia="Calibri" w:hAnsi="Calibri"/>
          <w:color w:val="1A1A1A"/>
          <w:sz w:val="23"/>
          <w:szCs w:val="23"/>
        </w:rPr>
        <w:t xml:space="preserve">Appendix: where the numbers come from</w:t>
      </w:r>
    </w:p>
    <w:p>
      <w:pPr>
        <w:spacing w:after="140" w:before="60" w:line="276"/>
      </w:pPr>
      <w:r>
        <w:rPr>
          <w:rFonts w:ascii="Calibri" w:cs="Calibri" w:eastAsia="Calibri" w:hAnsi="Calibri"/>
          <w:color w:val="1A1A1A"/>
          <w:sz w:val="21"/>
          <w:szCs w:val="21"/>
        </w:rPr>
        <w:t xml:space="preserve">Every figure in this note is reproducible from the repository:</w:t>
      </w:r>
    </w:p>
    <w:p>
      <w:pPr>
        <w:shd w:fill="F4F5F7" w:color="auto" w:val="clear"/>
        <w:spacing w:after="0" w:before="100"/>
        <w:ind w:left="220" w:right="220"/>
      </w:pPr>
      <w:r>
        <w:rPr>
          <w:rFonts w:ascii="Consolas" w:cs="Consolas" w:eastAsia="Consolas" w:hAnsi="Consolas"/>
          <w:color w:val="243447"/>
          <w:sz w:val="18"/>
          <w:szCs w:val="18"/>
        </w:rPr>
        <w:t xml:space="preserve">START_PROJECT('setup')</w:t>
      </w:r>
    </w:p>
    <w:p>
      <w:pPr>
        <w:shd w:fill="F4F5F7" w:color="auto" w:val="clear"/>
        <w:spacing w:after="0" w:before="0"/>
        <w:ind w:left="220" w:right="220"/>
      </w:pPr>
      <w:r>
        <w:rPr>
          <w:rFonts w:ascii="Consolas" w:cs="Consolas" w:eastAsia="Consolas" w:hAnsi="Consolas"/>
          <w:color w:val="243447"/>
          <w:sz w:val="18"/>
          <w:szCs w:val="18"/>
        </w:rPr>
        <w:t xml:space="preserve">calibrate_rcflex_semg_intent()        % the gate constants and the 6.3:1 separation</w:t>
      </w:r>
    </w:p>
    <w:p>
      <w:pPr>
        <w:shd w:fill="F4F5F7" w:color="auto" w:val="clear"/>
        <w:spacing w:after="0" w:before="0"/>
        <w:ind w:left="220" w:right="220"/>
      </w:pPr>
      <w:r>
        <w:rPr>
          <w:rFonts w:ascii="Consolas" w:cs="Consolas" w:eastAsia="Consolas" w:hAnsi="Consolas"/>
          <w:color w:val="243447"/>
          <w:sz w:val="18"/>
          <w:szCs w:val="18"/>
        </w:rPr>
        <w:t xml:space="preserve">run_intent_authority_experiment()     % Section 3.1, no sEMG involved</w:t>
      </w:r>
    </w:p>
    <w:p>
      <w:pPr>
        <w:shd w:fill="F4F5F7" w:color="auto" w:val="clear"/>
        <w:spacing w:after="0" w:before="0"/>
        <w:ind w:left="220" w:right="220"/>
      </w:pPr>
      <w:r>
        <w:rPr>
          <w:rFonts w:ascii="Consolas" w:cs="Consolas" w:eastAsia="Consolas" w:hAnsi="Consolas"/>
          <w:color w:val="243447"/>
          <w:sz w:val="18"/>
          <w:szCs w:val="18"/>
        </w:rPr>
        <w:t xml:space="preserve">benchmark_rcflex_control()            % all six variants, 20 scenarios, fixed seeds</w:t>
      </w:r>
    </w:p>
    <w:p>
      <w:pPr>
        <w:shd w:fill="F4F5F7" w:color="auto" w:val="clear"/>
        <w:spacing w:after="0" w:before="0"/>
        <w:ind w:left="220" w:right="220"/>
      </w:pPr>
      <w:r>
        <w:rPr>
          <w:rFonts w:ascii="Consolas" w:cs="Consolas" w:eastAsia="Consolas" w:hAnsi="Consolas"/>
          <w:color w:val="243447"/>
          <w:sz w:val="18"/>
          <w:szCs w:val="18"/>
        </w:rPr>
        <w:t xml:space="preserve">summarise_rcflex_benchmark()          % Section 5's three averages</w:t>
      </w:r>
    </w:p>
    <w:p>
      <w:pPr>
        <w:shd w:fill="F4F5F7" w:color="auto" w:val="clear"/>
        <w:spacing w:after="0" w:before="0"/>
        <w:ind w:left="220" w:right="220"/>
      </w:pPr>
      <w:r>
        <w:rPr>
          <w:rFonts w:ascii="Consolas" w:cs="Consolas" w:eastAsia="Consolas" w:hAnsi="Consolas"/>
          <w:color w:val="243447"/>
          <w:sz w:val="18"/>
          <w:szCs w:val="18"/>
        </w:rPr>
        <w:t xml:space="preserve">plot_rcflex_benchmark('final')        % and ('fusion') to include the ablation</w:t>
      </w:r>
    </w:p>
    <w:p>
      <w:pPr>
        <w:shd w:fill="F4F5F7" w:color="auto" w:val="clear"/>
        <w:spacing w:after="0" w:before="0"/>
        <w:ind w:left="220" w:right="220"/>
      </w:pPr>
      <w:r>
        <w:rPr>
          <w:rFonts w:ascii="Consolas" w:cs="Consolas" w:eastAsia="Consolas" w:hAnsi="Consolas"/>
          <w:color w:val="243447"/>
          <w:sz w:val="18"/>
          <w:szCs w:val="18"/>
        </w:rPr>
        <w:t xml:space="preserve">run_semg_intent_experiment()          % Section 5.1 and the 'reach' scenario</w:t>
      </w:r>
    </w:p>
    <w:p>
      <w:pPr>
        <w:shd w:fill="F4F5F7" w:color="auto" w:val="clear"/>
        <w:spacing w:after="0" w:before="0"/>
        <w:ind w:left="220" w:right="220"/>
      </w:pPr>
      <w:r>
        <w:rPr>
          <w:rFonts w:ascii="Consolas" w:cs="Consolas" w:eastAsia="Consolas" w:hAnsi="Consolas"/>
          <w:color w:val="243447"/>
          <w:sz w:val="18"/>
          <w:szCs w:val="18"/>
        </w:rPr>
        <w:t xml:space="preserve">plot_rcflex_semg_gate('reach',8,1,4)  % Section 7 in time</w:t>
      </w:r>
    </w:p>
    <w:p>
      <w:pPr>
        <w:shd w:fill="F4F5F7" w:color="auto" w:val="clear"/>
        <w:spacing w:after="160" w:before="0"/>
        <w:ind w:left="220" w:right="220"/>
      </w:pPr>
      <w:r>
        <w:rPr>
          <w:rFonts w:ascii="Consolas" w:cs="Consolas" w:eastAsia="Consolas" w:hAnsi="Consolas"/>
          <w:color w:val="243447"/>
          <w:sz w:val="18"/>
          <w:szCs w:val="18"/>
        </w:rPr>
        <w:t xml:space="preserve">run_validation()                      % 15 of 15 groups pass</w:t>
      </w:r>
    </w:p>
    <w:p>
      <w:pPr>
        <w:spacing w:after="140" w:before="60" w:line="276"/>
      </w:pPr>
      <w:r>
        <w:rPr>
          <w:rFonts w:ascii="Calibri" w:cs="Calibri" w:eastAsia="Calibri" w:hAnsi="Calibri"/>
          <w:color w:val="1A1A1A"/>
          <w:sz w:val="21"/>
          <w:szCs w:val="21"/>
        </w:rPr>
        <w:t xml:space="preserve">Results land in </w:t>
      </w:r>
      <w:r>
        <w:rPr>
          <w:rFonts w:ascii="Consolas" w:cs="Consolas" w:eastAsia="Consolas" w:hAnsi="Consolas"/>
          <w:color w:val="0B5A66"/>
          <w:sz w:val="19"/>
          <w:szCs w:val="19"/>
        </w:rPr>
        <w:t xml:space="preserve">output/results/</w:t>
      </w:r>
      <w:r>
        <w:rPr>
          <w:rFonts w:ascii="Calibri" w:cs="Calibri" w:eastAsia="Calibri" w:hAnsi="Calibri"/>
          <w:color w:val="1A1A1A"/>
          <w:sz w:val="21"/>
          <w:szCs w:val="21"/>
        </w:rPr>
        <w:t xml:space="preserve"> (</w:t>
      </w:r>
      <w:r>
        <w:rPr>
          <w:rFonts w:ascii="Consolas" w:cs="Consolas" w:eastAsia="Consolas" w:hAnsi="Consolas"/>
          <w:color w:val="0B5A66"/>
          <w:sz w:val="19"/>
          <w:szCs w:val="19"/>
        </w:rPr>
        <w:t xml:space="preserve">control_benchmark.csv</w:t>
      </w:r>
      <w:r>
        <w:rPr>
          <w:rFonts w:ascii="Calibri" w:cs="Calibri" w:eastAsia="Calibri" w:hAnsi="Calibri"/>
          <w:color w:val="1A1A1A"/>
          <w:sz w:val="21"/>
          <w:szCs w:val="21"/>
        </w:rPr>
        <w:t xml:space="preserve">, </w:t>
      </w:r>
      <w:r>
        <w:rPr>
          <w:rFonts w:ascii="Consolas" w:cs="Consolas" w:eastAsia="Consolas" w:hAnsi="Consolas"/>
          <w:color w:val="0B5A66"/>
          <w:sz w:val="19"/>
          <w:szCs w:val="19"/>
        </w:rPr>
        <w:t xml:space="preserve">control_benchmark_summary.csv</w:t>
      </w:r>
      <w:r>
        <w:rPr>
          <w:rFonts w:ascii="Calibri" w:cs="Calibri" w:eastAsia="Calibri" w:hAnsi="Calibri"/>
          <w:color w:val="1A1A1A"/>
          <w:sz w:val="21"/>
          <w:szCs w:val="21"/>
        </w:rPr>
        <w:t xml:space="preserve">, </w:t>
      </w:r>
      <w:r>
        <w:rPr>
          <w:rFonts w:ascii="Consolas" w:cs="Consolas" w:eastAsia="Consolas" w:hAnsi="Consolas"/>
          <w:color w:val="0B5A66"/>
          <w:sz w:val="19"/>
          <w:szCs w:val="19"/>
        </w:rPr>
        <w:t xml:space="preserve">intent_authority_ceiling.csv</w:t>
      </w:r>
      <w:r>
        <w:rPr>
          <w:rFonts w:ascii="Calibri" w:cs="Calibri" w:eastAsia="Calibri" w:hAnsi="Calibri"/>
          <w:color w:val="1A1A1A"/>
          <w:sz w:val="21"/>
          <w:szCs w:val="21"/>
        </w:rPr>
        <w:t xml:space="preserve">, </w:t>
      </w:r>
      <w:r>
        <w:rPr>
          <w:rFonts w:ascii="Consolas" w:cs="Consolas" w:eastAsia="Consolas" w:hAnsi="Consolas"/>
          <w:color w:val="0B5A66"/>
          <w:sz w:val="19"/>
          <w:szCs w:val="19"/>
        </w:rPr>
        <w:t xml:space="preserve">semg_intent_e2.csv</w:t>
      </w:r>
      <w:r>
        <w:rPr>
          <w:rFonts w:ascii="Calibri" w:cs="Calibri" w:eastAsia="Calibri" w:hAnsi="Calibri"/>
          <w:color w:val="1A1A1A"/>
          <w:sz w:val="21"/>
          <w:szCs w:val="21"/>
        </w:rPr>
        <w:t xml:space="preserve">, </w:t>
      </w:r>
      <w:r>
        <w:rPr>
          <w:rFonts w:ascii="Consolas" w:cs="Consolas" w:eastAsia="Consolas" w:hAnsi="Consolas"/>
          <w:color w:val="0B5A66"/>
          <w:sz w:val="19"/>
          <w:szCs w:val="19"/>
        </w:rPr>
        <w:t xml:space="preserve">semg_intent_calibration.csv</w:t>
      </w:r>
      <w:r>
        <w:rPr>
          <w:rFonts w:ascii="Calibri" w:cs="Calibri" w:eastAsia="Calibri" w:hAnsi="Calibri"/>
          <w:color w:val="1A1A1A"/>
          <w:sz w:val="21"/>
          <w:szCs w:val="21"/>
        </w:rPr>
        <w:t xml:space="preserve">) and figures in </w:t>
      </w:r>
      <w:r>
        <w:rPr>
          <w:rFonts w:ascii="Consolas" w:cs="Consolas" w:eastAsia="Consolas" w:hAnsi="Consolas"/>
          <w:color w:val="0B5A66"/>
          <w:sz w:val="19"/>
          <w:szCs w:val="19"/>
        </w:rPr>
        <w:t xml:space="preserve">output/figures/</w:t>
      </w:r>
      <w:r>
        <w:rPr>
          <w:rFonts w:ascii="Calibri" w:cs="Calibri" w:eastAsia="Calibri" w:hAnsi="Calibri"/>
          <w:color w:val="1A1A1A"/>
          <w:sz w:val="21"/>
          <w:szCs w:val="21"/>
        </w:rPr>
        <w:t xml:space="preserve">.</w:t>
      </w:r>
    </w:p>
    <w:p>
      <w:pPr>
        <w:spacing w:after="140" w:before="60" w:line="276"/>
      </w:pPr>
      <w:r>
        <w:rPr>
          <w:rFonts w:ascii="Calibri" w:cs="Calibri" w:eastAsia="Calibri" w:hAnsi="Calibri"/>
          <w:b/>
          <w:bCs/>
          <w:color w:val="1A1A1A"/>
          <w:sz w:val="21"/>
          <w:szCs w:val="21"/>
        </w:rPr>
        <w:t xml:space="preserve">Figures worth putting in the written report:</w:t>
      </w:r>
      <w:r>
        <w:rPr>
          <w:rFonts w:ascii="Calibri" w:cs="Calibri" w:eastAsia="Calibri" w:hAnsi="Calibri"/>
          <w:color w:val="1A1A1A"/>
          <w:sz w:val="21"/>
          <w:szCs w:val="21"/>
        </w:rPr>
        <w:t xml:space="preserve"> </w:t>
      </w:r>
      <w:r>
        <w:rPr>
          <w:rFonts w:ascii="Consolas" w:cs="Consolas" w:eastAsia="Consolas" w:hAnsi="Consolas"/>
          <w:color w:val="0B5A66"/>
          <w:sz w:val="19"/>
          <w:szCs w:val="19"/>
        </w:rPr>
        <w:t xml:space="preserve">semg_intent_separation.png</w:t>
      </w:r>
      <w:r>
        <w:rPr>
          <w:rFonts w:ascii="Calibri" w:cs="Calibri" w:eastAsia="Calibri" w:hAnsi="Calibri"/>
          <w:color w:val="1A1A1A"/>
          <w:sz w:val="21"/>
          <w:szCs w:val="21"/>
        </w:rPr>
        <w:t xml:space="preserve"> is the key one — it shows tremor absorbed and voluntary movement suppressed side by side, and the ablation wins one panel while losing the other, which is the whole argument in one image. </w:t>
      </w:r>
      <w:r>
        <w:rPr>
          <w:rFonts w:ascii="Consolas" w:cs="Consolas" w:eastAsia="Consolas" w:hAnsi="Consolas"/>
          <w:color w:val="0B5A66"/>
          <w:sz w:val="19"/>
          <w:szCs w:val="19"/>
        </w:rPr>
        <w:t xml:space="preserve">bench_suppression.png</w:t>
      </w:r>
      <w:r>
        <w:rPr>
          <w:rFonts w:ascii="Calibri" w:cs="Calibri" w:eastAsia="Calibri" w:hAnsi="Calibri"/>
          <w:color w:val="1A1A1A"/>
          <w:sz w:val="21"/>
          <w:szCs w:val="21"/>
        </w:rPr>
        <w:t xml:space="preserve"> is the headline comparison, </w:t>
      </w:r>
      <w:r>
        <w:rPr>
          <w:rFonts w:ascii="Consolas" w:cs="Consolas" w:eastAsia="Consolas" w:hAnsi="Consolas"/>
          <w:color w:val="0B5A66"/>
          <w:sz w:val="19"/>
          <w:szCs w:val="19"/>
        </w:rPr>
        <w:t xml:space="preserve">intent_authority_ceiling.png</w:t>
      </w:r>
      <w:r>
        <w:rPr>
          <w:rFonts w:ascii="Calibri" w:cs="Calibri" w:eastAsia="Calibri" w:hAnsi="Calibri"/>
          <w:color w:val="1A1A1A"/>
          <w:sz w:val="21"/>
          <w:szCs w:val="21"/>
        </w:rPr>
        <w:t xml:space="preserve"> shows why a fixed setting cannot work, and </w:t>
      </w:r>
      <w:r>
        <w:rPr>
          <w:rFonts w:ascii="Consolas" w:cs="Consolas" w:eastAsia="Consolas" w:hAnsi="Consolas"/>
          <w:color w:val="0B5A66"/>
          <w:sz w:val="19"/>
          <w:szCs w:val="19"/>
        </w:rPr>
        <w:t xml:space="preserve">semg_gate_reach.png</w:t>
      </w:r>
      <w:r>
        <w:rPr>
          <w:rFonts w:ascii="Calibri" w:cs="Calibri" w:eastAsia="Calibri" w:hAnsi="Calibri"/>
          <w:color w:val="1A1A1A"/>
          <w:sz w:val="21"/>
          <w:szCs w:val="21"/>
        </w:rPr>
        <w:t xml:space="preserve"> shows the mechanism operating in time including its remaining weakness.</w:t>
      </w:r>
    </w:p>
    <w:p>
      <w:pPr>
        <w:spacing w:after="140" w:before="60" w:line="276"/>
      </w:pPr>
      <w:r>
        <w:rPr>
          <w:rFonts w:ascii="Calibri" w:cs="Calibri" w:eastAsia="Calibri" w:hAnsi="Calibri"/>
          <w:color w:val="1A1A1A"/>
          <w:sz w:val="21"/>
          <w:szCs w:val="21"/>
        </w:rPr>
        <w:t xml:space="preserve">With the sEMG switch off, the system reproduces every pre-fusion number exactly (the movement+tremor case is unchanged at 85.8826099585925%), so the comparison is a controlled one rather than an incidental 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Control Improvement Progress Report V3</dc:title>
  <dc:creator>SensoSpoon project</dc:creator>
  <dc:description>sEMG + IMU fusion, and the final benchmark</dc:description>
  <cp:lastModifiedBy>Un-named</cp:lastModifiedBy>
  <cp:revision>1</cp:revision>
  <dcterms:created xsi:type="dcterms:W3CDTF">2026-09-17T04:37:13.998Z</dcterms:created>
  <dcterms:modified xsi:type="dcterms:W3CDTF">2026-09-17T04:37:13.999Z</dcterms:modified>
</cp:coreProperties>
</file>

<file path=docProps/custom.xml><?xml version="1.0" encoding="utf-8"?>
<Properties xmlns="http://schemas.openxmlformats.org/officeDocument/2006/custom-properties" xmlns:vt="http://schemas.openxmlformats.org/officeDocument/2006/docPropsVTypes"/>
</file>