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sz w:val="26"/>
        </w:rPr>
        <w:t>暨南大学网络空间安全学院</w:t>
      </w:r>
    </w:p>
    <w:p>
      <w:pPr>
        <w:jc w:val="center"/>
      </w:pPr>
      <w:r>
        <w:rPr>
          <w:rFonts w:ascii="黑体" w:hAnsi="黑体"/>
          <w:b/>
          <w:color w:val="1C395D"/>
          <w:sz w:val="36"/>
        </w:rPr>
        <w:t>小型静态特征识别器综合实验</w:t>
      </w:r>
    </w:p>
    <w:p>
      <w:pPr>
        <w:jc w:val="center"/>
      </w:pPr>
      <w:r>
        <w:rPr>
          <w:b/>
          <w:sz w:val="30"/>
        </w:rPr>
        <w:t>学生测试与验收记录表</w:t>
      </w:r>
    </w:p>
    <w:p>
      <w:pPr/>
      <w:r>
        <w:t>本表记录：正常/异常用例的实测返回码、模型保存与加载的一致性核验，以及 AI 生成代码的错误修正证据。</w:t>
      </w:r>
    </w:p>
    <w:p>
      <w:pPr>
        <w:pStyle w:val="Heading1"/>
      </w:pPr>
      <w:r>
        <w:t>一、基本信息与实验环境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rPr>
          <w:tblHeader w:val="true"/>
        </w:trPr>
        <w:tc>
          <w:tcPr>
            <w:tcW w:type="dxa" w:w="2268"/>
            <w:vAlign w:val="center"/>
            <w:shd w:fill="EAF0F7"/>
          </w:tcPr>
          <w:p>
            <w:pPr>
              <w:spacing w:after="20" w:before="20"/>
            </w:pPr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6690"/>
            <w:vAlign w:val="center"/>
            <w:shd w:fill="EAF0F7"/>
          </w:tcPr>
          <w:p>
            <w:pPr>
              <w:spacing w:after="20" w:before="20"/>
            </w:pPr>
            <w:r>
              <w:rPr>
                <w:rFonts w:ascii="宋体" w:hAnsi="宋体" w:eastAsia="宋体"/>
                <w:b/>
                <w:sz w:val="18"/>
              </w:rPr>
              <w:t>填写内容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班级／小组／组长</w:t>
            </w:r>
          </w:p>
        </w:tc>
        <w:tc>
          <w:tcPr>
            <w:tcW w:type="dxa" w:w="6690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班级：密码科学与技术　　小组：个人独立完成（单人）　　组长：王浩然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成员及学号</w:t>
            </w:r>
          </w:p>
        </w:tc>
        <w:tc>
          <w:tcPr>
            <w:tcW w:type="dxa" w:w="6690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姓名：王浩然　学号：2026104356（个人独立完成）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实验日期／操作系统</w:t>
            </w:r>
          </w:p>
        </w:tc>
        <w:tc>
          <w:tcPr>
            <w:tcW w:type="dxa" w:w="6690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2026-10-10 ~ 2026-10-13；操作系统 Windows 11（64 位）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C编译环境／编译命令</w:t>
            </w:r>
          </w:p>
        </w:tc>
        <w:tc>
          <w:tcPr>
            <w:tcW w:type="dxa" w:w="6690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编译器 MSVC —— Visual Studio Community 2026（工具集 14.51.36231，C 标准 C11）；命令 MSBuild learn.vcxproj /p:Configuration=Debug /p:Platform=x64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测试程序版本／模型文件</w:t>
            </w:r>
          </w:p>
        </w:tc>
        <w:tc>
          <w:tcPr>
            <w:tcW w:type="dxa" w:w="6690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测试程序：src/learn.c（本人实现，359 行，git 提交 0e3bf78）；参考实现 src/recognizer.c；模型：data/reference_model.txt（TEACHMODEL_V1，教师提供）</w:t>
            </w:r>
          </w:p>
        </w:tc>
      </w:tr>
    </w:tbl>
    <w:p>
      <w:pPr>
        <w:spacing w:after="40"/>
      </w:pPr>
    </w:p>
    <w:p>
      <w:pPr>
        <w:pStyle w:val="Heading1"/>
      </w:pPr>
      <w:r>
        <w:t>二、CSV数据读取与异常测试</w:t>
      </w:r>
    </w:p>
    <w:p>
      <w:r>
        <w:t>实际结果栏请填“返回码＋提示信息＋是否崩溃”等关键信息，必要时附运行截图及对应文件路径。T17、T20为合法边界用例，不能一律判为错误。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48"/>
        <w:gridCol w:w="1848"/>
        <w:gridCol w:w="1848"/>
        <w:gridCol w:w="1848"/>
        <w:gridCol w:w="1848"/>
      </w:tblGrid>
      <w:tr>
        <w:trPr>
          <w:tblHeader w:val="true"/>
        </w:trPr>
        <w:tc>
          <w:tcPr>
            <w:tcW w:type="dxa" w:w="709"/>
            <w:vAlign w:val="center"/>
            <w:shd w:fill="EAF0F7"/>
          </w:tcPr>
          <w:p>
            <w:pPr>
              <w:spacing w:after="20" w:before="20"/>
            </w:pPr>
            <w:r>
              <w:rPr>
                <w:rFonts w:ascii="宋体" w:hAnsi="宋体" w:eastAsia="宋体"/>
                <w:b/>
                <w:sz w:val="18"/>
              </w:rPr>
              <w:t>编号</w:t>
            </w:r>
          </w:p>
        </w:tc>
        <w:tc>
          <w:tcPr>
            <w:tcW w:type="dxa" w:w="2494"/>
            <w:vAlign w:val="center"/>
            <w:shd w:fill="EAF0F7"/>
          </w:tcPr>
          <w:p>
            <w:pPr>
              <w:spacing w:after="20" w:before="20"/>
            </w:pPr>
            <w:r>
              <w:rPr>
                <w:rFonts w:ascii="宋体" w:hAnsi="宋体" w:eastAsia="宋体"/>
                <w:b/>
                <w:sz w:val="18"/>
              </w:rPr>
              <w:t>用例场景</w:t>
            </w:r>
          </w:p>
        </w:tc>
        <w:tc>
          <w:tcPr>
            <w:tcW w:type="dxa" w:w="2409"/>
            <w:vAlign w:val="center"/>
            <w:shd w:fill="EAF0F7"/>
          </w:tcPr>
          <w:p>
            <w:pPr>
              <w:spacing w:after="20" w:before="20"/>
            </w:pPr>
            <w:r>
              <w:rPr>
                <w:rFonts w:ascii="宋体" w:hAnsi="宋体" w:eastAsia="宋体"/>
                <w:b/>
                <w:sz w:val="18"/>
              </w:rPr>
              <w:t>预期</w:t>
            </w:r>
          </w:p>
        </w:tc>
        <w:tc>
          <w:tcPr>
            <w:tcW w:type="dxa" w:w="2494"/>
            <w:vAlign w:val="center"/>
            <w:shd w:fill="EAF0F7"/>
          </w:tcPr>
          <w:p>
            <w:pPr>
              <w:spacing w:after="20" w:before="20"/>
            </w:pPr>
            <w:r>
              <w:rPr>
                <w:rFonts w:ascii="宋体" w:hAnsi="宋体" w:eastAsia="宋体"/>
                <w:b/>
                <w:sz w:val="18"/>
              </w:rPr>
              <w:t>实际结果／证据位置</w:t>
            </w:r>
          </w:p>
        </w:tc>
        <w:tc>
          <w:tcPr>
            <w:tcW w:type="dxa" w:w="850"/>
            <w:vAlign w:val="center"/>
            <w:shd w:fill="EAF0F7"/>
          </w:tcPr>
          <w:p>
            <w:pPr>
              <w:spacing w:after="20" w:before="20"/>
            </w:pPr>
            <w:r>
              <w:rPr>
                <w:rFonts w:ascii="宋体" w:hAnsi="宋体" w:eastAsia="宋体"/>
                <w:b/>
                <w:sz w:val="18"/>
              </w:rPr>
              <w:t>通过</w:t>
            </w:r>
          </w:p>
        </w:tc>
      </w:tr>
      <w:tr>
        <w:tc>
          <w:tcPr>
            <w:tcW w:type="dxa" w:w="7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T01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缺失文件路径</w:t>
            </w:r>
          </w:p>
        </w:tc>
        <w:tc>
          <w:tcPr>
            <w:tcW w:type="dxa" w:w="24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提示打开失败，不崩溃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返回码 2；提示「[错误] 返回码 2 —— 打不开文件 …\T01_does_not_exist.csv」；未崩溃</w:t>
            </w:r>
          </w:p>
        </w:tc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</w:tr>
      <w:tr>
        <w:tc>
          <w:tcPr>
            <w:tcW w:type="dxa" w:w="7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T02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空文件</w:t>
            </w:r>
          </w:p>
        </w:tc>
        <w:tc>
          <w:tcPr>
            <w:tcW w:type="dxa" w:w="24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提示无有效样本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返回码 3；提示「[错误] 返回码 3 —— 文件是空的」</w:t>
            </w:r>
          </w:p>
        </w:tc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</w:tr>
      <w:tr>
        <w:tc>
          <w:tcPr>
            <w:tcW w:type="dxa" w:w="7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T03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标签2</w:t>
            </w:r>
          </w:p>
        </w:tc>
        <w:tc>
          <w:tcPr>
            <w:tcW w:type="dxa" w:w="24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拒绝非法标签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返回码 9；提示「label = 2 非法（只允许整数 0 或 1）」→「[错误] 第 2 行不合法，返回码 9」</w:t>
            </w:r>
          </w:p>
        </w:tc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</w:tr>
      <w:tr>
        <w:tc>
          <w:tcPr>
            <w:tcW w:type="dxa" w:w="7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T04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byte_00_ratio=1.3</w:t>
            </w:r>
          </w:p>
        </w:tc>
        <w:tc>
          <w:tcPr>
            <w:tcW w:type="dxa" w:w="24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拒绝超界比例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返回码 8；提示「byte_00_ratio = 1.3 超出合法区间 [0, 1]」</w:t>
            </w:r>
          </w:p>
        </w:tc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</w:tr>
      <w:tr>
        <w:tc>
          <w:tcPr>
            <w:tcW w:type="dxa" w:w="7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T05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byte_ff_ratio=-0.2</w:t>
            </w:r>
          </w:p>
        </w:tc>
        <w:tc>
          <w:tcPr>
            <w:tcW w:type="dxa" w:w="24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拒绝超界比例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返回码 8；提示「byte_ff_ratio = -0.2 超出合法区间 [0, 1]」</w:t>
            </w:r>
          </w:p>
        </w:tc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</w:tr>
      <w:tr>
        <w:tc>
          <w:tcPr>
            <w:tcW w:type="dxa" w:w="7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T06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熵值abc</w:t>
            </w:r>
          </w:p>
        </w:tc>
        <w:tc>
          <w:tcPr>
            <w:tcW w:type="dxa" w:w="24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拒绝非数值字段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返回码 7；提示「第 3 个字段 "abc" 不是合法数值」</w:t>
            </w:r>
          </w:p>
        </w:tc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</w:tr>
      <w:tr>
        <w:tc>
          <w:tcPr>
            <w:tcW w:type="dxa" w:w="7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T07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少一列</w:t>
            </w:r>
          </w:p>
        </w:tc>
        <w:tc>
          <w:tcPr>
            <w:tcW w:type="dxa" w:w="24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拒绝字段缺失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返回码 5；提示「字段个数不符：应有 6 个，实际 5 个」→「返回码 5 —— 第 2 行字段数不符」</w:t>
            </w:r>
          </w:p>
        </w:tc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</w:tr>
      <w:tr>
        <w:tc>
          <w:tcPr>
            <w:tcW w:type="dxa" w:w="7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T08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负文件大小</w:t>
            </w:r>
          </w:p>
        </w:tc>
        <w:tc>
          <w:tcPr>
            <w:tcW w:type="dxa" w:w="24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拒绝不合法范围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返回码 8；提示「file_size = -8192 为负数（必须 &gt;= 0）」</w:t>
            </w:r>
          </w:p>
        </w:tc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</w:tr>
      <w:tr>
        <w:tc>
          <w:tcPr>
            <w:tcW w:type="dxa" w:w="7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T09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超过512条</w:t>
            </w:r>
          </w:p>
        </w:tc>
        <w:tc>
          <w:tcPr>
            <w:tcW w:type="dxa" w:w="24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防止数组越界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返回码 10；提示「[错误] 返回码 10 —— 样本数超过上限 512，拒绝加载」</w:t>
            </w:r>
          </w:p>
        </w:tc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</w:tr>
      <w:tr>
        <w:tc>
          <w:tcPr>
            <w:tcW w:type="dxa" w:w="7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T10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损坏的模型文件</w:t>
            </w:r>
          </w:p>
        </w:tc>
        <w:tc>
          <w:tcPr>
            <w:tcW w:type="dxa" w:w="24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加载失败且模型不可用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返回码 11；提示「[错误] 返回码 11 —— 模型文件应有 6 行，实际 3 行」</w:t>
            </w:r>
          </w:p>
        </w:tc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</w:tr>
      <w:tr>
        <w:tc>
          <w:tcPr>
            <w:tcW w:type="dxa" w:w="7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T11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nan</w:t>
            </w:r>
          </w:p>
        </w:tc>
        <w:tc>
          <w:tcPr>
            <w:tcW w:type="dxa" w:w="24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拒绝非有限数值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返回码 7；提示「第 3 个字段 "nan" 是非有限值（nan/inf）」（非有限值一律拒绝）</w:t>
            </w:r>
          </w:p>
        </w:tc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</w:tr>
      <w:tr>
        <w:tc>
          <w:tcPr>
            <w:tcW w:type="dxa" w:w="7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T12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entropy=8.5</w:t>
            </w:r>
          </w:p>
        </w:tc>
        <w:tc>
          <w:tcPr>
            <w:tcW w:type="dxa" w:w="24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拒绝熵值超界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返回码 8；提示「entropy = 8.5 超出合法区间 [0, 8]」</w:t>
            </w:r>
          </w:p>
        </w:tc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</w:tr>
      <w:tr>
        <w:tc>
          <w:tcPr>
            <w:tcW w:type="dxa" w:w="7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T13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多一列</w:t>
            </w:r>
          </w:p>
        </w:tc>
        <w:tc>
          <w:tcPr>
            <w:tcW w:type="dxa" w:w="24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拒绝字段数不符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返回码 5；提示「字段个数不符：应有 6 个，实际 7 个」</w:t>
            </w:r>
          </w:p>
        </w:tc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</w:tr>
      <w:tr>
        <w:tc>
          <w:tcPr>
            <w:tcW w:type="dxa" w:w="7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T14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string_count=42.5</w:t>
            </w:r>
          </w:p>
        </w:tc>
        <w:tc>
          <w:tcPr>
            <w:tcW w:type="dxa" w:w="24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拒绝非整数计数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返回码 8；提示「string_count = 42.5 必须是非负整数」</w:t>
            </w:r>
          </w:p>
        </w:tc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</w:tr>
      <w:tr>
        <w:tc>
          <w:tcPr>
            <w:tcW w:type="dxa" w:w="7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T15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CSV字段为空</w:t>
            </w:r>
          </w:p>
        </w:tc>
        <w:tc>
          <w:tcPr>
            <w:tcW w:type="dxa" w:w="24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拒绝空字段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返回码 6；提示「第 4 个字段是空的」（与返回码 7「非数值」区分）</w:t>
            </w:r>
          </w:p>
        </w:tc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</w:tr>
      <w:tr>
        <w:tc>
          <w:tcPr>
            <w:tcW w:type="dxa" w:w="7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T16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表头次序不符</w:t>
            </w:r>
          </w:p>
        </w:tc>
        <w:tc>
          <w:tcPr>
            <w:tcW w:type="dxa" w:w="24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拒绝或给出明确提示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返回码 4；提示「[错误] 返回码 4 —— 表头第 2 列应为 "string_count"，实际是 "entropy"」</w:t>
            </w:r>
          </w:p>
        </w:tc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</w:tr>
      <w:tr>
        <w:tc>
          <w:tcPr>
            <w:tcW w:type="dxa" w:w="7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T17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合法边界值0/1/8</w:t>
            </w:r>
          </w:p>
        </w:tc>
        <w:tc>
          <w:tcPr>
            <w:tcW w:type="dxa" w:w="24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应接受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返回码 0；「[读取成功] …：共 2 条样本（含 label）」；0、1 与熵值 8 均被接受</w:t>
            </w:r>
          </w:p>
        </w:tc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</w:tr>
      <w:tr>
        <w:tc>
          <w:tcPr>
            <w:tcW w:type="dxa" w:w="7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T18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标签0.5</w:t>
            </w:r>
          </w:p>
        </w:tc>
        <w:tc>
          <w:tcPr>
            <w:tcW w:type="dxa" w:w="24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拒绝非法标签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返回码 9；提示「label = 0.5 非法（只允许整数 0 或 1）」</w:t>
            </w:r>
          </w:p>
        </w:tc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</w:tr>
      <w:tr>
        <w:tc>
          <w:tcPr>
            <w:tcW w:type="dxa" w:w="7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T19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空白数据行</w:t>
            </w:r>
          </w:p>
        </w:tc>
        <w:tc>
          <w:tcPr>
            <w:tcW w:type="dxa" w:w="24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拒绝空数据行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返回码 6；提示「[错误] 返回码 6 —— 第 3 行是空白数据行」</w:t>
            </w:r>
          </w:p>
        </w:tc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</w:tr>
      <w:tr>
        <w:tc>
          <w:tcPr>
            <w:tcW w:type="dxa" w:w="7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T20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数字字段前有空格</w:t>
            </w:r>
          </w:p>
        </w:tc>
        <w:tc>
          <w:tcPr>
            <w:tcW w:type="dxa" w:w="24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应接受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返回码 0；「[读取成功] …：共 1 条样本（含 label）」；数值字段前的空格被 %lf 正确跳过</w:t>
            </w:r>
          </w:p>
        </w:tc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</w:tr>
    </w:tbl>
    <w:p>
      <w:r>
        <w:t>说明：上表 20 个用例的返回码已用本人编写的程序 src/learn.c 全部实测复现（菜单 1 读取 CSV、菜单 4 加载模型），20/20 通过，逐条命令与输出见 report/测试结果_learn自测.md。其中 T15（CSV 字段为空）的返回码 6 是本人自测时发现并修正的：原实现把空字段交给 sscanf 处理，被归类为“非数值”（7），补上 fields[i][0] == '\0' 的空字段判断后与需求一致。</w:t>
      </w:r>
    </w:p>
    <w:p>
      <w:pPr>
        <w:spacing w:after="40"/>
      </w:pPr>
    </w:p>
    <w:p>
      <w:pPr>
        <w:pStyle w:val="Heading1"/>
      </w:pPr>
      <w:r>
        <w:t>三、模型加载与预测一致性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rPr>
          <w:tblHeader w:val="true"/>
        </w:trPr>
        <w:tc>
          <w:tcPr>
            <w:tcW w:type="dxa" w:w="2948"/>
            <w:vAlign w:val="center"/>
            <w:shd w:fill="EAF0F7"/>
          </w:tcPr>
          <w:p>
            <w:pPr>
              <w:spacing w:after="20" w:before="20"/>
            </w:pPr>
            <w:r>
              <w:rPr>
                <w:rFonts w:ascii="宋体" w:hAnsi="宋体" w:eastAsia="宋体"/>
                <w:b/>
                <w:sz w:val="18"/>
              </w:rPr>
              <w:t>核验项目</w:t>
            </w:r>
          </w:p>
        </w:tc>
        <w:tc>
          <w:tcPr>
            <w:tcW w:type="dxa" w:w="6009"/>
            <w:vAlign w:val="center"/>
            <w:shd w:fill="EAF0F7"/>
          </w:tcPr>
          <w:p>
            <w:pPr>
              <w:spacing w:after="20" w:before="20"/>
            </w:pPr>
            <w:r>
              <w:rPr>
                <w:rFonts w:ascii="宋体" w:hAnsi="宋体" w:eastAsia="宋体"/>
                <w:b/>
                <w:sz w:val="18"/>
              </w:rPr>
              <w:t>填写记录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训练/预测是否使用同一组Min-Max参数</w:t>
            </w:r>
          </w:p>
        </w:tc>
        <w:tc>
          <w:tcPr>
            <w:tcW w:type="dxa" w:w="60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是（训练与预测、保存与加载共用模型文件中的同一组 min/max；预测阶段从不重新拟合）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参考模型文件（相对路径）</w:t>
            </w:r>
          </w:p>
        </w:tc>
        <w:tc>
          <w:tcPr>
            <w:tcW w:type="dxa" w:w="60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data/reference_model.txt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选用的相同输入样本</w:t>
            </w:r>
          </w:p>
        </w:tc>
        <w:tc>
          <w:tcPr>
            <w:tcW w:type="dxa" w:w="60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data/sample.csv 第 1 行（44032 … 见 sample.csv）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保存前预测概率 p₁</w:t>
            </w:r>
          </w:p>
        </w:tc>
        <w:tc>
          <w:tcPr>
            <w:tcW w:type="dxa" w:w="60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0.074281255379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加载后预测概率 p₂</w:t>
            </w:r>
          </w:p>
        </w:tc>
        <w:tc>
          <w:tcPr>
            <w:tcW w:type="dxa" w:w="60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0.074281255379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|p₁−p₂|与通过阈值</w:t>
            </w:r>
          </w:p>
        </w:tc>
        <w:tc>
          <w:tcPr>
            <w:tcW w:type="dxa" w:w="60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差值：0　　阈值：1e-12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结果说明</w:t>
            </w:r>
          </w:p>
        </w:tc>
        <w:tc>
          <w:tcPr>
            <w:tcW w:type="dxa" w:w="60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保存/加载后同一输入的概率完全相同，说明权重、偏置与归一化参数被完整持久化（对应任务四问题 B 的防范）</w:t>
            </w:r>
          </w:p>
        </w:tc>
      </w:tr>
    </w:tbl>
    <w:p>
      <w:pPr>
        <w:spacing w:after="40"/>
      </w:pPr>
    </w:p>
    <w:p>
      <w:pPr>
        <w:pStyle w:val="Heading1"/>
      </w:pPr>
      <w:r>
        <w:t>四、AI生成代码错误修复记录（至少一项）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rPr>
          <w:tblHeader w:val="true"/>
        </w:trPr>
        <w:tc>
          <w:tcPr>
            <w:tcW w:type="dxa" w:w="2948"/>
            <w:vAlign w:val="center"/>
            <w:shd w:fill="EAF0F7"/>
          </w:tcPr>
          <w:p>
            <w:pPr>
              <w:spacing w:after="20" w:before="20"/>
            </w:pPr>
            <w:r>
              <w:rPr>
                <w:rFonts w:ascii="宋体" w:hAnsi="宋体" w:eastAsia="宋体"/>
                <w:b/>
                <w:sz w:val="18"/>
              </w:rPr>
              <w:t>检查点</w:t>
            </w:r>
          </w:p>
        </w:tc>
        <w:tc>
          <w:tcPr>
            <w:tcW w:type="dxa" w:w="6009"/>
            <w:vAlign w:val="center"/>
            <w:shd w:fill="EAF0F7"/>
          </w:tcPr>
          <w:p>
            <w:pPr>
              <w:spacing w:after="20" w:before="20"/>
            </w:pPr>
            <w:r>
              <w:rPr>
                <w:rFonts w:ascii="宋体" w:hAnsi="宋体" w:eastAsia="宋体"/>
                <w:b/>
                <w:sz w:val="18"/>
              </w:rPr>
              <w:t>学生填写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选择的典型错误</w:t>
            </w:r>
          </w:p>
        </w:tc>
        <w:tc>
          <w:tcPr>
            <w:tcW w:type="dxa" w:w="60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√ A：特征索引错位（AI 候选校验代码 features[2]/[3] 用错，features[4] 漏检；另外在自写切分模块中实测到同类越界写）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AI交互记录编号与提示词</w:t>
            </w:r>
          </w:p>
        </w:tc>
        <w:tc>
          <w:tcPr>
            <w:tcW w:type="dxa" w:w="60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附录A 记录3（原始提示词：要求只说明错在哪几个下标、会造成哪两类后果、应补哪些检查，先不要重写整个程序）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错误发生条件及现象</w:t>
            </w:r>
          </w:p>
        </w:tc>
        <w:tc>
          <w:tcPr>
            <w:tcW w:type="dxa" w:w="60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① 输入 {8192,42,0.5,0.2,1.3}（byte_ff_ratio=1.3 非法）→ 候选实现返回 0（误判为合法）；② 合法数据 {100,3,8,1,0} → 返回 3（被误拒）；③ 8 字段输入下，自写切分代码越界写 fields[6][0]，/RTC1 下报“Run-Time Check Failure #2 - Stack around the variable 'fields' was corrupted.”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原始代码／错误片段</w:t>
            </w:r>
          </w:p>
        </w:tc>
        <w:tc>
          <w:tcPr>
            <w:tcW w:type="dxa" w:w="60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src/bug_case_A.c（教师案例原文，保留不改）中的 validate_buggy()；以及 src/learn.c 第 2 课候选版本的逗号分支 fields[field][pos] = '\0'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人工定位依据</w:t>
            </w:r>
          </w:p>
        </w:tc>
        <w:tc>
          <w:tcPr>
            <w:tcW w:type="dxa" w:w="60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对照字段—下标对照表逐行核对（0 file_size / 1 string_count / 2 entropy[0,8] / 3 byte_00_ratio[0,1] / 4 byte_ff_ratio[0,1]）；再用变量轨迹手工走查 f、k 的取值范围，确认循环结束后 f 可能等于 FIELD_COUNT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修改的代码／修复方法</w:t>
            </w:r>
          </w:p>
        </w:tc>
        <w:tc>
          <w:tcPr>
            <w:tcW w:type="dxa" w:w="60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① 校验函数按正确下标与区间逐项检查（见 src/bug_case_A_fixed.c）；② 切分模块加入 f &lt; FIELD_COUNT 守卫，并把“计数”与“写入”分离（继续数逗号以保证条数准确，但绝不再写入数组）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回归测试及实际结果</w:t>
            </w:r>
          </w:p>
        </w:tc>
        <w:tc>
          <w:tcPr>
            <w:tcW w:type="dxa" w:w="60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10 个用例由 7/10 提升到 10/10，程序退出码 0（report/任务四_问题A_回归测试输出.txt）；主程序 20 个异常用例回归后仍全部通过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AI建议采纳／修改／拒绝理由</w:t>
            </w:r>
          </w:p>
        </w:tc>
        <w:tc>
          <w:tcPr>
            <w:tcW w:type="dxa" w:w="60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采纳：比例字段下标为 3、4 的判断，以及“报出准确条数”的思路；修改：AI 只指出“漏检”，我在回归测试中发现它还会“误杀”合法数据，补充了误杀证据；拒绝：AI 建议重写整个校验框架（任务书要求先不要重写全部程序）</w:t>
            </w:r>
          </w:p>
        </w:tc>
      </w:tr>
    </w:tbl>
    <w:p>
      <w:pPr>
        <w:spacing w:after="40"/>
      </w:pPr>
    </w:p>
    <w:p>
      <w:pPr>
        <w:pStyle w:val="Heading1"/>
      </w:pPr>
      <w:r>
        <w:t>五、OBE目标完成情况自评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rPr>
          <w:tblHeader w:val="true"/>
        </w:trPr>
        <w:tc>
          <w:tcPr>
            <w:tcW w:type="dxa" w:w="2211"/>
            <w:vAlign w:val="center"/>
            <w:shd w:fill="EAF0F7"/>
          </w:tcPr>
          <w:p>
            <w:pPr>
              <w:spacing w:after="20" w:before="20"/>
            </w:pPr>
            <w:r>
              <w:rPr>
                <w:rFonts w:ascii="宋体" w:hAnsi="宋体" w:eastAsia="宋体"/>
                <w:b/>
                <w:sz w:val="18"/>
              </w:rPr>
              <w:t>目标</w:t>
            </w:r>
          </w:p>
        </w:tc>
        <w:tc>
          <w:tcPr>
            <w:tcW w:type="dxa" w:w="2891"/>
            <w:vAlign w:val="center"/>
            <w:shd w:fill="EAF0F7"/>
          </w:tcPr>
          <w:p>
            <w:pPr>
              <w:spacing w:after="20" w:before="20"/>
            </w:pPr>
            <w:r>
              <w:rPr>
                <w:rFonts w:ascii="宋体" w:hAnsi="宋体" w:eastAsia="宋体"/>
                <w:b/>
                <w:sz w:val="18"/>
              </w:rPr>
              <w:t>自评完成情况</w:t>
            </w:r>
          </w:p>
        </w:tc>
        <w:tc>
          <w:tcPr>
            <w:tcW w:type="dxa" w:w="3855"/>
            <w:vAlign w:val="center"/>
            <w:shd w:fill="EAF0F7"/>
          </w:tcPr>
          <w:p>
            <w:pPr>
              <w:spacing w:after="20" w:before="20"/>
            </w:pPr>
            <w:r>
              <w:rPr>
                <w:rFonts w:ascii="宋体" w:hAnsi="宋体" w:eastAsia="宋体"/>
                <w:b/>
                <w:sz w:val="18"/>
              </w:rPr>
              <w:t>主要成果证据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O1 C语言数据处理</w:t>
            </w:r>
          </w:p>
        </w:tc>
        <w:tc>
          <w:tcPr>
            <w:tcW w:type="dxa" w:w="2891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□完成  √部分完成  □未完成</w:t>
            </w:r>
          </w:p>
        </w:tc>
        <w:tc>
          <w:tcPr>
            <w:tcW w:type="dxa" w:w="3855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src/learn.c（本人实现 359 行，第 1–6 课）＋ 本表第 2 节的 20 条用例实测记录（20/20 通过）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O2 分类预测与集成</w:t>
            </w:r>
          </w:p>
        </w:tc>
        <w:tc>
          <w:tcPr>
            <w:tcW w:type="dxa" w:w="2891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√完成  □部分完成  □未完成</w:t>
            </w:r>
          </w:p>
        </w:tc>
        <w:tc>
          <w:tcPr>
            <w:tcW w:type="dxa" w:w="3855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src/recognizer.c（预测/模型存取）+ 表 3 一致性 + 表 2 的 T17/T20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O3 AI协作审查</w:t>
            </w:r>
          </w:p>
        </w:tc>
        <w:tc>
          <w:tcPr>
            <w:tcW w:type="dxa" w:w="2891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√完成  □部分完成  □未完成</w:t>
            </w:r>
          </w:p>
        </w:tc>
        <w:tc>
          <w:tcPr>
            <w:tcW w:type="dxa" w:w="3855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附录A 记录 1–3 + report/任务四_错误修复证据链.md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O4 安全与工程责任</w:t>
            </w:r>
          </w:p>
        </w:tc>
        <w:tc>
          <w:tcPr>
            <w:tcW w:type="dxa" w:w="2891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√完成  □部分完成  □未完成</w:t>
            </w:r>
          </w:p>
        </w:tc>
        <w:tc>
          <w:tcPr>
            <w:tcW w:type="dxa" w:w="3855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docs/01-需求与设计.md 的安全边界 + 报告 7.1 节 + 本表第 6 节安全声明</w:t>
            </w:r>
          </w:p>
        </w:tc>
      </w:tr>
    </w:tbl>
    <w:p>
      <w:pPr>
        <w:spacing w:after="40"/>
      </w:pPr>
    </w:p>
    <w:p>
      <w:pPr>
        <w:pStyle w:val="Heading1"/>
      </w:pPr>
      <w:r>
        <w:t>六、实验安全与诚信声明</w:t>
      </w:r>
    </w:p>
    <w:p>
      <w:r>
        <w:t>√ 本次实验仅使用教师提供或经允许的合成静态特征，不下载、运行或传播真实恶意文件。</w:t>
      </w:r>
    </w:p>
    <w:p>
      <w:r>
        <w:t>√ 所有模型结果仅用于教学数据的简单分类，不将其宣称为现实中的恶意软件检测结论。</w:t>
      </w:r>
    </w:p>
    <w:p>
      <w:r>
        <w:t>√ 已如实记录个人独立工作、大模型辅助内容和所有未通过的测试结果。</w:t>
      </w:r>
    </w:p>
    <w:p>
      <w:r>
        <w:rPr>
          <w:rFonts w:ascii="楷体" w:hAnsi="楷体" w:eastAsia="楷体"/>
        </w:rPr>
        <w:t>学生签名：王浩然    日期：2026 年 10 月 13 日</w:t>
      </w:r>
    </w:p>
    <w:p>
      <w:pPr>
        <w:pStyle w:val="Heading1"/>
      </w:pPr>
      <w:r>
        <w:t>七、教师验收记录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rPr>
          <w:tblHeader w:val="true"/>
        </w:trPr>
        <w:tc>
          <w:tcPr>
            <w:tcW w:type="dxa" w:w="2835"/>
            <w:vAlign w:val="center"/>
            <w:shd w:fill="EAF0F7"/>
          </w:tcPr>
          <w:p>
            <w:pPr>
              <w:spacing w:after="20" w:before="20"/>
            </w:pPr>
            <w:r>
              <w:rPr>
                <w:rFonts w:ascii="宋体" w:hAnsi="宋体" w:eastAsia="宋体"/>
                <w:b/>
                <w:sz w:val="18"/>
              </w:rPr>
              <w:t>验收项目</w:t>
            </w:r>
          </w:p>
        </w:tc>
        <w:tc>
          <w:tcPr>
            <w:tcW w:type="dxa" w:w="6123"/>
            <w:vAlign w:val="center"/>
            <w:shd w:fill="EAF0F7"/>
          </w:tcPr>
          <w:p>
            <w:pPr>
              <w:spacing w:after="20" w:before="20"/>
            </w:pPr>
            <w:r>
              <w:rPr>
                <w:rFonts w:ascii="宋体" w:hAnsi="宋体" w:eastAsia="宋体"/>
                <w:b/>
                <w:sz w:val="18"/>
              </w:rPr>
              <w:t>结果／意见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程序能否编译运行</w:t>
            </w:r>
          </w:p>
        </w:tc>
        <w:tc>
          <w:tcPr>
            <w:tcW w:type="dxa" w:w="6123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_________________________________________________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核心异常与模型一致性</w:t>
            </w:r>
          </w:p>
        </w:tc>
        <w:tc>
          <w:tcPr>
            <w:tcW w:type="dxa" w:w="6123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_________________________________________________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学生独立解释及AI记录</w:t>
            </w:r>
          </w:p>
        </w:tc>
        <w:tc>
          <w:tcPr>
            <w:tcW w:type="dxa" w:w="6123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_________________________________________________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需要修正的问题</w:t>
            </w:r>
          </w:p>
        </w:tc>
        <w:tc>
          <w:tcPr>
            <w:tcW w:type="dxa" w:w="6123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_________________________________________________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验收人／日期</w:t>
            </w:r>
          </w:p>
        </w:tc>
        <w:tc>
          <w:tcPr>
            <w:tcW w:type="dxa" w:w="6123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_________________________________________________</w:t>
            </w:r>
          </w:p>
        </w:tc>
      </w:tr>
    </w:tbl>
    <w:p>
      <w:pPr>
        <w:spacing w:after="40"/>
      </w:pPr>
    </w:p>
    <w:p>
      <w:pPr>
        <w:pStyle w:val="Heading1"/>
      </w:pPr>
      <w:r>
        <w:t>八、教师评分记录（满分100分）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rPr>
          <w:tblHeader w:val="true"/>
        </w:trPr>
        <w:tc>
          <w:tcPr>
            <w:tcW w:type="dxa" w:w="4989"/>
            <w:vAlign w:val="center"/>
            <w:shd w:fill="EAF0F7"/>
          </w:tcPr>
          <w:p>
            <w:pPr>
              <w:spacing w:after="20" w:before="20"/>
            </w:pPr>
            <w:r>
              <w:rPr>
                <w:rFonts w:ascii="宋体" w:hAnsi="宋体" w:eastAsia="宋体"/>
                <w:b/>
                <w:sz w:val="18"/>
              </w:rPr>
              <w:t>考核项目</w:t>
            </w:r>
          </w:p>
        </w:tc>
        <w:tc>
          <w:tcPr>
            <w:tcW w:type="dxa" w:w="1984"/>
            <w:vAlign w:val="center"/>
            <w:shd w:fill="EAF0F7"/>
          </w:tcPr>
          <w:p>
            <w:pPr>
              <w:spacing w:after="20" w:before="20"/>
            </w:pPr>
            <w:r>
              <w:rPr>
                <w:rFonts w:ascii="宋体" w:hAnsi="宋体" w:eastAsia="宋体"/>
                <w:b/>
                <w:sz w:val="18"/>
              </w:rPr>
              <w:t>满分</w:t>
            </w:r>
          </w:p>
        </w:tc>
        <w:tc>
          <w:tcPr>
            <w:tcW w:type="dxa" w:w="1984"/>
            <w:vAlign w:val="center"/>
            <w:shd w:fill="EAF0F7"/>
          </w:tcPr>
          <w:p>
            <w:pPr>
              <w:spacing w:after="20" w:before="20"/>
            </w:pPr>
            <w:r>
              <w:rPr>
                <w:rFonts w:ascii="宋体" w:hAnsi="宋体" w:eastAsia="宋体"/>
                <w:b/>
                <w:sz w:val="18"/>
              </w:rPr>
              <w:t>实际得分</w:t>
            </w:r>
          </w:p>
        </w:tc>
      </w:tr>
      <w:tr>
        <w:tc>
          <w:tcPr>
            <w:tcW w:type="dxa" w:w="498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C语言基础与数据处理</w:t>
            </w:r>
          </w:p>
        </w:tc>
        <w:tc>
          <w:tcPr>
            <w:tcW w:type="dxa" w:w="198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25</w:t>
            </w:r>
          </w:p>
        </w:tc>
        <w:tc>
          <w:tcPr>
            <w:tcW w:type="dxa" w:w="198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________</w:t>
            </w:r>
          </w:p>
        </w:tc>
      </w:tr>
      <w:tr>
        <w:tc>
          <w:tcPr>
            <w:tcW w:type="dxa" w:w="498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分类预测与系统集成</w:t>
            </w:r>
          </w:p>
        </w:tc>
        <w:tc>
          <w:tcPr>
            <w:tcW w:type="dxa" w:w="198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25</w:t>
            </w:r>
          </w:p>
        </w:tc>
        <w:tc>
          <w:tcPr>
            <w:tcW w:type="dxa" w:w="198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________</w:t>
            </w:r>
          </w:p>
        </w:tc>
      </w:tr>
      <w:tr>
        <w:tc>
          <w:tcPr>
            <w:tcW w:type="dxa" w:w="498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大模型协作与代码审查</w:t>
            </w:r>
          </w:p>
        </w:tc>
        <w:tc>
          <w:tcPr>
            <w:tcW w:type="dxa" w:w="198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198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________</w:t>
            </w:r>
          </w:p>
        </w:tc>
      </w:tr>
      <w:tr>
        <w:tc>
          <w:tcPr>
            <w:tcW w:type="dxa" w:w="498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测试验证与问题诊断</w:t>
            </w:r>
          </w:p>
        </w:tc>
        <w:tc>
          <w:tcPr>
            <w:tcW w:type="dxa" w:w="198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198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________</w:t>
            </w:r>
          </w:p>
        </w:tc>
      </w:tr>
      <w:tr>
        <w:tc>
          <w:tcPr>
            <w:tcW w:type="dxa" w:w="498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安全规范与成果表达</w:t>
            </w:r>
          </w:p>
        </w:tc>
        <w:tc>
          <w:tcPr>
            <w:tcW w:type="dxa" w:w="198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198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________</w:t>
            </w:r>
          </w:p>
        </w:tc>
      </w:tr>
      <w:tr>
        <w:tc>
          <w:tcPr>
            <w:tcW w:type="dxa" w:w="498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合计</w:t>
            </w:r>
          </w:p>
        </w:tc>
        <w:tc>
          <w:tcPr>
            <w:tcW w:type="dxa" w:w="198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100</w:t>
            </w:r>
          </w:p>
        </w:tc>
        <w:tc>
          <w:tcPr>
            <w:tcW w:type="dxa" w:w="198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________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134" w:right="1332" w:bottom="1134" w:left="13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暨南大学网络空间安全学院 · 《高级语言程序设计》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C395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C395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280"/>
      <w:contextualSpacing/>
    </w:pPr>
    <w:rPr>
      <w:rFonts w:asciiTheme="majorHAnsi" w:eastAsiaTheme="majorEastAsia" w:hAnsiTheme="majorHAnsi" w:cstheme="majorBidi" w:ascii="黑体" w:hAnsi="黑体" w:eastAsia="黑体"/>
      <w:b/>
      <w:color w:val="1C395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