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80" w:line="300" w:lineRule="auto"/>
      </w:pPr>
      <w:r>
        <w:rPr>
          <w:rFonts w:ascii="Calibri" w:hAnsi="Calibri" w:eastAsia="Calibri"/>
          <w:i w:val="0"/>
          <w:color w:val="2E74B5"/>
          <w:sz w:val="21"/>
        </w:rPr>
        <w:t>IMPLEMENTATION ROADMAP</w:t>
      </w:r>
    </w:p>
    <w:p>
      <w:pPr>
        <w:keepNext/>
        <w:spacing w:before="0" w:after="120" w:line="240" w:lineRule="auto"/>
      </w:pPr>
      <w:r>
        <w:rPr>
          <w:rFonts w:ascii="Calibri" w:hAnsi="Calibri" w:eastAsia="Calibri"/>
          <w:b/>
          <w:i w:val="0"/>
          <w:color w:val="17365D"/>
          <w:sz w:val="58"/>
        </w:rPr>
        <w:t>Orderak Egypt Company &amp; Android Launch</w:t>
      </w:r>
    </w:p>
    <w:p>
      <w:pPr>
        <w:keepNext w:val="0"/>
        <w:spacing w:before="0" w:after="400" w:line="288" w:lineRule="auto"/>
      </w:pPr>
      <w:r>
        <w:rPr>
          <w:rFonts w:ascii="Calibri" w:hAnsi="Calibri" w:eastAsia="Calibri"/>
          <w:i w:val="0"/>
          <w:color w:val="5F6B7A"/>
          <w:sz w:val="26"/>
        </w:rPr>
        <w:t>An integrated, gate-driven plan for company formation, market validation, privacy, compliance, product completion, security assurance, Google Play release, and controlled scale.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4680"/>
        <w:gridCol w:w="4680"/>
      </w:tblGrid>
      <w:tr>
        <w:trPr>
          <w:tblHeader w:val="true"/>
          <w:cantSplit/>
        </w:trPr>
        <w:tc>
          <w:tcPr>
            <w:tcW w:type="dxa" w:w="468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Program baseline</w:t>
            </w:r>
          </w:p>
        </w:tc>
        <w:tc>
          <w:tcPr>
            <w:tcW w:type="dxa" w:w="468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Target decision window</w:t>
            </w:r>
          </w:p>
        </w:tc>
      </w:tr>
      <w:tr>
        <w:trPr>
          <w:cantSplit/>
        </w:trPr>
        <w:tc>
          <w:tcPr>
            <w:tcW w:type="dxa" w:w="468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9"/>
              </w:rPr>
              <w:t>18 July 2026 | Version 1.0</w:t>
            </w:r>
          </w:p>
        </w:tc>
        <w:tc>
          <w:tcPr>
            <w:tcW w:type="dxa" w:w="468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9"/>
              </w:rPr>
              <w:t>24 weeks from 20 July 2026; public launch remains conditional on all gates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8A5A00"/>
          <w:left w:val="single" w:sz="6" w:space="0" w:color="8A5A00"/>
          <w:bottom w:val="single" w:sz="6" w:space="0" w:color="8A5A00"/>
          <w:right w:val="single" w:sz="6" w:space="0" w:color="8A5A00"/>
        </w:tblBorders>
      </w:tblPr>
      <w:tblGrid>
        <w:gridCol w:w="9360"/>
      </w:tblGrid>
      <w:tr>
        <w:trPr>
          <w:cantSplit/>
        </w:trPr>
        <w:tc>
          <w:tcPr>
            <w:tcW w:type="dxa" w:w="9360"/>
            <w:tcMar>
              <w:top w:w="80" w:type="dxa"/>
              <w:start w:w="120" w:type="dxa"/>
              <w:bottom w:w="80" w:type="dxa"/>
              <w:end w:w="120" w:type="dxa"/>
            </w:tcMar>
            <w:vAlign w:val="center"/>
            <w:shd w:fill="FFF4D6"/>
          </w:tcPr>
          <w:p>
            <w:pPr>
              <w:keepNext w:val="0"/>
              <w:spacing w:before="20" w:after="20" w:line="288" w:lineRule="auto"/>
            </w:pPr>
            <w:r>
              <w:rPr>
                <w:rFonts w:ascii="Calibri" w:hAnsi="Calibri" w:eastAsia="Calibri"/>
                <w:b/>
                <w:color w:val="8A5A00"/>
                <w:sz w:val="21"/>
              </w:rPr>
              <w:t xml:space="preserve">Execution rule: </w:t>
            </w:r>
            <w:r>
              <w:rPr>
                <w:rFonts w:ascii="Calibri" w:hAnsi="Calibri" w:eastAsia="Calibri"/>
                <w:color w:val="1F2937"/>
                <w:sz w:val="21"/>
              </w:rPr>
              <w:t>Launch dates are planning targets, not permission to launch. Any unresolved company, licensing, DPO, cross-border transfer, payment, security, deletion, or Google Play blocker automatically moves the date.</w:t>
            </w:r>
          </w:p>
        </w:tc>
      </w:tr>
    </w:tbl>
    <w:p>
      <w:pPr>
        <w:spacing w:after="40"/>
      </w:pPr>
    </w:p>
    <w:p>
      <w:pPr>
        <w:keepNext w:val="0"/>
        <w:spacing w:before="440" w:after="40" w:line="300" w:lineRule="auto"/>
      </w:pPr>
      <w:r>
        <w:rPr>
          <w:rFonts w:ascii="Calibri" w:hAnsi="Calibri" w:eastAsia="Calibri"/>
          <w:i w:val="0"/>
          <w:color w:val="5F6B7A"/>
          <w:sz w:val="19"/>
        </w:rPr>
        <w:t>Prepared for</w:t>
      </w:r>
    </w:p>
    <w:p>
      <w:pPr>
        <w:keepNext w:val="0"/>
        <w:spacing w:before="0" w:after="80" w:line="300" w:lineRule="auto"/>
      </w:pPr>
      <w:r>
        <w:rPr>
          <w:rFonts w:ascii="Calibri" w:hAnsi="Calibri" w:eastAsia="Calibri"/>
          <w:b/>
          <w:i w:val="0"/>
          <w:color w:val="1F2937"/>
          <w:sz w:val="22"/>
        </w:rPr>
        <w:t>Founder / CEO, Egyptian counsel, DPO, accountant, product, engineering, security, operations, and release owners</w:t>
      </w:r>
    </w:p>
    <w:p>
      <w:pPr>
        <w:keepNext w:val="0"/>
        <w:spacing w:before="0" w:after="320" w:line="300" w:lineRule="auto"/>
      </w:pPr>
      <w:r>
        <w:rPr>
          <w:rFonts w:ascii="Calibri" w:hAnsi="Calibri" w:eastAsia="Calibri"/>
          <w:i w:val="0"/>
          <w:color w:val="5F6B7A"/>
          <w:sz w:val="19"/>
        </w:rPr>
        <w:t>Market: Egypt | Product: Orderak merchant SaaS and public catalogs | Platform: Android + Cloudflare backend</w:t>
      </w:r>
    </w:p>
    <w:p>
      <w:pPr>
        <w:keepNext w:val="0"/>
        <w:spacing w:before="400" w:after="60" w:line="300" w:lineRule="auto"/>
      </w:pPr>
      <w:r>
        <w:rPr>
          <w:rFonts w:ascii="Calibri" w:hAnsi="Calibri" w:eastAsia="Calibri"/>
          <w:i w:val="0"/>
          <w:color w:val="9B1C1C"/>
          <w:sz w:val="19"/>
        </w:rPr>
        <w:t>Important notice</w:t>
      </w:r>
    </w:p>
    <w:p>
      <w:pPr>
        <w:keepNext w:val="0"/>
        <w:spacing w:before="0" w:after="0" w:line="276" w:lineRule="auto"/>
      </w:pPr>
      <w:r>
        <w:rPr>
          <w:rFonts w:ascii="Calibri" w:hAnsi="Calibri" w:eastAsia="Calibri"/>
          <w:i w:val="0"/>
          <w:color w:val="1F2937"/>
          <w:sz w:val="19"/>
        </w:rPr>
        <w:t>This roadmap is an implementation control document, not a legal, regulatory, accounting, or tax opinion. Egyptian counsel, a registered data protection officer, and a qualified accountant must confirm the company-specific conclusions and filings before commercial operation.</w:t>
      </w:r>
    </w:p>
    <w:p>
      <w:r>
        <w:br w:type="page"/>
      </w:r>
    </w:p>
    <w:p>
      <w:pPr>
        <w:pStyle w:val="Heading1"/>
      </w:pPr>
      <w:r>
        <w:t>1. Executive implementation position</w:t>
      </w:r>
    </w:p>
    <w:tbl>
      <w:tblPr>
        <w:tblW w:type="dxa" w:w="9360"/>
        <w:jc w:val="left"/>
        <w:tblLayout w:type="fixed"/>
        <w:tblLook w:firstColumn="1" w:firstRow="1" w:lastColumn="0" w:lastRow="0" w:noHBand="0" w:noVBand="1" w:val="04A0"/>
        <w:tblInd w:w="120" w:type="dxa"/>
        <w:tblBorders>
          <w:top w:val="single" w:sz="6" w:space="0" w:color="17365D"/>
          <w:left w:val="single" w:sz="6" w:space="0" w:color="17365D"/>
          <w:bottom w:val="single" w:sz="6" w:space="0" w:color="17365D"/>
          <w:right w:val="single" w:sz="6" w:space="0" w:color="17365D"/>
        </w:tblBorders>
      </w:tblPr>
      <w:tblGrid>
        <w:gridCol w:w="9360"/>
      </w:tblGrid>
      <w:tr>
        <w:trPr>
          <w:cantSplit/>
        </w:trPr>
        <w:tc>
          <w:tcPr>
            <w:tcW w:type="dxa" w:w="9360"/>
            <w:tcMar>
              <w:top w:w="80" w:type="dxa"/>
              <w:start w:w="120" w:type="dxa"/>
              <w:bottom w:w="80" w:type="dxa"/>
              <w:end w:w="120" w:type="dxa"/>
            </w:tcMar>
            <w:vAlign w:val="center"/>
            <w:shd w:fill="F4F7FB"/>
          </w:tcPr>
          <w:p>
            <w:pPr>
              <w:keepNext w:val="0"/>
              <w:spacing w:before="20" w:after="20" w:line="288" w:lineRule="auto"/>
            </w:pPr>
            <w:r>
              <w:rPr>
                <w:rFonts w:ascii="Calibri" w:hAnsi="Calibri" w:eastAsia="Calibri"/>
                <w:b/>
                <w:color w:val="17365D"/>
                <w:sz w:val="21"/>
              </w:rPr>
              <w:t xml:space="preserve">Recommended launch model: </w:t>
            </w:r>
            <w:r>
              <w:rPr>
                <w:rFonts w:ascii="Calibri" w:hAnsi="Calibri" w:eastAsia="Calibri"/>
                <w:color w:val="1F2937"/>
                <w:sz w:val="21"/>
              </w:rPr>
              <w:t>Launch Orderak first as a B2B commerce-enablement SaaS for Egyptian merchants. Orderak provides software and order relay, but does not custody buyer funds, settle merchant transactions, lend, insure, operate a wallet, or perform another regulated activity. Keep every regulated extension disabled until counsel and the competent authority approve it.</w:t>
            </w:r>
          </w:p>
        </w:tc>
      </w:tr>
    </w:tbl>
    <w:p>
      <w:pPr>
        <w:spacing w:after="40"/>
      </w:pPr>
    </w:p>
    <w:p>
      <w:pPr>
        <w:keepNext w:val="0"/>
        <w:spacing w:before="0" w:after="120" w:line="300" w:lineRule="auto"/>
      </w:pPr>
      <w:r>
        <w:rPr>
          <w:rFonts w:ascii="Calibri" w:hAnsi="Calibri" w:eastAsia="Calibri"/>
          <w:i w:val="0"/>
          <w:color w:val="1F2937"/>
          <w:sz w:val="22"/>
        </w:rPr>
        <w:t>The implementation priority is not more feature development. It is converting the existing working platform into a company-owned, legally classified, privacy-governed, operationally supportable, and evidence-backed service.</w:t>
      </w:r>
    </w:p>
    <w:p>
      <w:pPr>
        <w:pStyle w:val="Heading2"/>
      </w:pPr>
      <w:r>
        <w:t>Immediate conclusions</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Area</w:t>
            </w:r>
          </w:p>
        </w:tc>
        <w:tc>
          <w:tcPr>
            <w:tcW w:type="dxa" w:w="74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Implementation position</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Company/operator</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published legal documents currently identify the founder as an individual. Company incorporation status is not evidenced in the repository. Incorporate or obtain counsel's written approval for the interim operating model before charging users, then update contracts, privacy notices, invoices, and consent versions.</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DPO</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Current PDPC guidance states that juridical persons acting as data users must appoint a registered DPO regardless of processing scale. Begin candidate selection and registration immediately; do not leave this as a later assessment.</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Cross-border data</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deployed D1 database and R2 bucket were verified on 18 July 2026 as running in Western Europe. D1 has no jurisdiction constraint. Firebase, AI, email, support, and edge processing also require mapping. Treat the hosting/transfer decision and any required PDPC licence or permit as a public-launch blocker.</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Google Play deadline</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app currently uses compileSdk/targetSdk 35. Google Play requires new apps and updates to target API 36 from 31 August 2026. Complete the API 36 upgrade and regression testing by 14 August 2026, leaving contingency before the policy deadline.</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Billing</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Orderak's merchant subscription is a digital SaaS entitlement. If sold or activated in the Play-distributed app, complete the Google Play Billing and server-side entitlement flow or keep paid in-app purchase entry points disabled. Buyer purchases of merchants' physical goods or services are a separate flow and should not use Play Billing.</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Protected contracts</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Phase 1 authentication and localization are protected repository contracts. Preserve them, run their verification gates after relevant changes, and require explicit owner approval for any intentional migration.</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Readiness</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backend tests and Android unit, lint, authentication-contract, and localization-contract checks completed successfully on 18 July 2026. This is a useful engineering baseline, but it does not replace penetration testing, restore evidence, policy-to-practice testing, legal review, or production-console evidence.</w:t>
            </w:r>
          </w:p>
        </w:tc>
      </w:tr>
    </w:tbl>
    <w:p>
      <w:pPr>
        <w:spacing w:after="40"/>
      </w:pPr>
    </w:p>
    <w:p>
      <w:pPr>
        <w:pStyle w:val="Heading2"/>
      </w:pPr>
      <w:r>
        <w:t>Planning assumptions that must be confirmed</w:t>
      </w:r>
    </w:p>
    <w:p>
      <w:pPr>
        <w:keepNext w:val="0"/>
        <w:numPr>
          <w:ilvl w:val="0"/>
          <w:numId w:val="10"/>
        </w:numPr>
        <w:spacing w:before="0" w:after="80" w:line="300" w:lineRule="auto"/>
      </w:pPr>
      <w:r>
        <w:rPr>
          <w:rFonts w:ascii="Calibri" w:hAnsi="Calibri" w:eastAsia="Calibri"/>
          <w:color w:val="1F2937"/>
          <w:sz w:val="22"/>
        </w:rPr>
        <w:t>Initial market is Egypt, with Arabic as the primary legal and consent language; the packaged Android UI remains Arabic, English, and French under the protected localization contract.</w:t>
      </w:r>
    </w:p>
    <w:p>
      <w:pPr>
        <w:keepNext w:val="0"/>
        <w:numPr>
          <w:ilvl w:val="0"/>
          <w:numId w:val="10"/>
        </w:numPr>
        <w:spacing w:before="0" w:after="80" w:line="300" w:lineRule="auto"/>
      </w:pPr>
      <w:r>
        <w:rPr>
          <w:rFonts w:ascii="Calibri" w:hAnsi="Calibri" w:eastAsia="Calibri"/>
          <w:color w:val="1F2937"/>
          <w:sz w:val="22"/>
        </w:rPr>
        <w:t>Sellers are adults operating legitimate commercial activity; the service is not directed to children and does not intentionally process children's data.</w:t>
      </w:r>
    </w:p>
    <w:p>
      <w:pPr>
        <w:keepNext w:val="0"/>
        <w:numPr>
          <w:ilvl w:val="0"/>
          <w:numId w:val="10"/>
        </w:numPr>
        <w:spacing w:before="0" w:after="80" w:line="300" w:lineRule="auto"/>
      </w:pPr>
      <w:r>
        <w:rPr>
          <w:rFonts w:ascii="Calibri" w:hAnsi="Calibri" w:eastAsia="Calibri"/>
          <w:color w:val="1F2937"/>
          <w:sz w:val="22"/>
        </w:rPr>
        <w:t>Orderak does not act as merchant of record for sales between buyers and sellers and does not hold or transfer buyer funds.</w:t>
      </w:r>
    </w:p>
    <w:p>
      <w:pPr>
        <w:keepNext w:val="0"/>
        <w:numPr>
          <w:ilvl w:val="0"/>
          <w:numId w:val="10"/>
        </w:numPr>
        <w:spacing w:before="0" w:after="80" w:line="300" w:lineRule="auto"/>
      </w:pPr>
      <w:r>
        <w:rPr>
          <w:rFonts w:ascii="Calibri" w:hAnsi="Calibri" w:eastAsia="Calibri"/>
          <w:color w:val="1F2937"/>
          <w:sz w:val="22"/>
        </w:rPr>
        <w:t>The current MVP is seller catalog, order, product, customer, store, settings, public catalog, and administrative support functionality. The AI chat screen and live subscription billing are not required for the first public release unless explicitly approved.</w:t>
      </w:r>
    </w:p>
    <w:p>
      <w:pPr>
        <w:keepNext w:val="0"/>
        <w:numPr>
          <w:ilvl w:val="0"/>
          <w:numId w:val="10"/>
        </w:numPr>
        <w:spacing w:before="0" w:after="80" w:line="300" w:lineRule="auto"/>
      </w:pPr>
      <w:r>
        <w:rPr>
          <w:rFonts w:ascii="Calibri" w:hAnsi="Calibri" w:eastAsia="Calibri"/>
          <w:color w:val="1F2937"/>
          <w:sz w:val="22"/>
        </w:rPr>
        <w:t>The company will use a company Organization Play Console account, company-owned domains and cloud accounts, and individual revocable administrator access with at least two recovery owners.</w:t>
      </w:r>
    </w:p>
    <w:p>
      <w:pPr>
        <w:keepNext w:val="0"/>
        <w:numPr>
          <w:ilvl w:val="0"/>
          <w:numId w:val="10"/>
        </w:numPr>
        <w:spacing w:before="0" w:after="80" w:line="300" w:lineRule="auto"/>
      </w:pPr>
      <w:r>
        <w:rPr>
          <w:rFonts w:ascii="Calibri" w:hAnsi="Calibri" w:eastAsia="Calibri"/>
          <w:color w:val="1F2937"/>
          <w:sz w:val="22"/>
        </w:rPr>
        <w:t>Any assumption rejected by counsel or the founder becomes a change request and may re-open product, contract, privacy, payment, or architecture work.</w:t>
      </w:r>
    </w:p>
    <w:p>
      <w:pPr>
        <w:pStyle w:val="Heading1"/>
      </w:pPr>
      <w:r>
        <w:t>2. Current-state baseline and gap classification</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1750"/>
        <w:gridCol w:w="1800"/>
        <w:gridCol w:w="5810"/>
      </w:tblGrid>
      <w:tr>
        <w:trPr>
          <w:tblHeader w:val="true"/>
          <w:cantSplit/>
        </w:trPr>
        <w:tc>
          <w:tcPr>
            <w:tcW w:type="dxa" w:w="17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Domain</w:t>
            </w:r>
          </w:p>
        </w:tc>
        <w:tc>
          <w:tcPr>
            <w:tcW w:type="dxa" w:w="18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Status</w:t>
            </w:r>
          </w:p>
        </w:tc>
        <w:tc>
          <w:tcPr>
            <w:tcW w:type="dxa" w:w="581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What remains</w:t>
            </w:r>
          </w:p>
        </w:tc>
      </w:tr>
      <w:tr>
        <w:trPr>
          <w:cantSplit/>
        </w:trPr>
        <w:tc>
          <w:tcPr>
            <w:tcW w:type="dxa" w:w="17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Core seller MVP</w:t>
            </w:r>
          </w:p>
        </w:tc>
        <w:tc>
          <w:tcPr>
            <w:tcW w:type="dxa" w:w="18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Implemented / verify</w:t>
            </w:r>
          </w:p>
        </w:tc>
        <w:tc>
          <w:tcPr>
            <w:tcW w:type="dxa" w:w="5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Seller authentication, setup, dashboard, orders, product catalog, customers, settings, public catalogs, and admin capabilities are documented as implemented. Complete traceability and end-to-end evidence.</w:t>
            </w:r>
          </w:p>
        </w:tc>
      </w:tr>
      <w:tr>
        <w:trPr>
          <w:cantSplit/>
        </w:trPr>
        <w:tc>
          <w:tcPr>
            <w:tcW w:type="dxa" w:w="17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Backend</w:t>
            </w:r>
          </w:p>
        </w:tc>
        <w:tc>
          <w:tcPr>
            <w:tcW w:type="dxa" w:w="18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Implemented / verified tests</w:t>
            </w:r>
          </w:p>
        </w:tc>
        <w:tc>
          <w:tcPr>
            <w:tcW w:type="dxa" w:w="5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Cloudflare Worker with D1, R2, KV, email, admin, public pages, and APIs. Backend automated tests exited successfully on 18 July 2026.</w:t>
            </w:r>
          </w:p>
        </w:tc>
      </w:tr>
      <w:tr>
        <w:trPr>
          <w:cantSplit/>
        </w:trPr>
        <w:tc>
          <w:tcPr>
            <w:tcW w:type="dxa" w:w="17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Android quality gates</w:t>
            </w:r>
          </w:p>
        </w:tc>
        <w:tc>
          <w:tcPr>
            <w:tcW w:type="dxa" w:w="18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Verified baseline</w:t>
            </w:r>
          </w:p>
        </w:tc>
        <w:tc>
          <w:tcPr>
            <w:tcW w:type="dxa" w:w="5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Unit tests, lint, protected Phase 1 auth contract, and protected localization contract exited successfully on 18 July 2026.</w:t>
            </w:r>
          </w:p>
        </w:tc>
      </w:tr>
      <w:tr>
        <w:trPr>
          <w:cantSplit/>
        </w:trPr>
        <w:tc>
          <w:tcPr>
            <w:tcW w:type="dxa" w:w="17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Android permissions</w:t>
            </w:r>
          </w:p>
        </w:tc>
        <w:tc>
          <w:tcPr>
            <w:tcW w:type="dxa" w:w="18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Low-risk baseline</w:t>
            </w:r>
          </w:p>
        </w:tc>
        <w:tc>
          <w:tcPr>
            <w:tcW w:type="dxa" w:w="5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Merged source manifest declares INTERNET only. Recheck the merged release manifest and SDK-added permissions before every submission.</w:t>
            </w:r>
          </w:p>
        </w:tc>
      </w:tr>
      <w:tr>
        <w:trPr>
          <w:cantSplit/>
        </w:trPr>
        <w:tc>
          <w:tcPr>
            <w:tcW w:type="dxa" w:w="17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Authentication</w:t>
            </w:r>
          </w:p>
        </w:tc>
        <w:tc>
          <w:tcPr>
            <w:tcW w:type="dxa" w:w="18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Implemented / protected</w:t>
            </w:r>
          </w:p>
        </w:tc>
        <w:tc>
          <w:tcPr>
            <w:tcW w:type="dxa" w:w="5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Firebase SMS OTP, legal acceptance evidence, throttling, device recovery, logout, and deletion request paths are protected. Release signing fingerprints and physical-device production evidence remain gates.</w:t>
            </w:r>
          </w:p>
        </w:tc>
      </w:tr>
      <w:tr>
        <w:trPr>
          <w:cantSplit/>
        </w:trPr>
        <w:tc>
          <w:tcPr>
            <w:tcW w:type="dxa" w:w="17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Localization</w:t>
            </w:r>
          </w:p>
        </w:tc>
        <w:tc>
          <w:tcPr>
            <w:tcW w:type="dxa" w:w="18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Implemented / protected</w:t>
            </w:r>
          </w:p>
        </w:tc>
        <w:tc>
          <w:tcPr>
            <w:tcW w:type="dxa" w:w="5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Arabic, English, and French seller UI; Arabic/English public catalogs; generated LocaleConfig; screenshot and localization guards. Do not change without explicit approval.</w:t>
            </w:r>
          </w:p>
        </w:tc>
      </w:tr>
      <w:tr>
        <w:trPr>
          <w:cantSplit/>
        </w:trPr>
        <w:tc>
          <w:tcPr>
            <w:tcW w:type="dxa" w:w="17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Billing</w:t>
            </w:r>
          </w:p>
        </w:tc>
        <w:tc>
          <w:tcPr>
            <w:tcW w:type="dxa" w:w="18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Blocker if monetized in app</w:t>
            </w:r>
          </w:p>
        </w:tc>
        <w:tc>
          <w:tcPr>
            <w:tcW w:type="dxa" w:w="5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Play billing scaffolding is not wired to backend entitlement validation. Decide: complete it, sell outside the app only where policy permits, or launch the free tier without in-app purchase entry points.</w:t>
            </w:r>
          </w:p>
        </w:tc>
      </w:tr>
      <w:tr>
        <w:trPr>
          <w:cantSplit/>
        </w:trPr>
        <w:tc>
          <w:tcPr>
            <w:tcW w:type="dxa" w:w="17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AI</w:t>
            </w:r>
          </w:p>
        </w:tc>
        <w:tc>
          <w:tcPr>
            <w:tcW w:type="dxa" w:w="18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Defer recommended</w:t>
            </w:r>
          </w:p>
        </w:tc>
        <w:tc>
          <w:tcPr>
            <w:tcW w:type="dxa" w:w="5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AI and translation plumbing exist; no seller AI screen exists. Review provider transfer, DPA, prompt data, retention, and disclosure before enabling. Keep the assistant off for initial launch unless approved.</w:t>
            </w:r>
          </w:p>
        </w:tc>
      </w:tr>
      <w:tr>
        <w:trPr>
          <w:cantSplit/>
        </w:trPr>
        <w:tc>
          <w:tcPr>
            <w:tcW w:type="dxa" w:w="17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Privacy documents</w:t>
            </w:r>
          </w:p>
        </w:tc>
        <w:tc>
          <w:tcPr>
            <w:tcW w:type="dxa" w:w="18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Implemented / legal review needed</w:t>
            </w:r>
          </w:p>
        </w:tc>
        <w:tc>
          <w:tcPr>
            <w:tcW w:type="dxa" w:w="5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Bilingual terms and privacy policy are published, but they name the founder as individual, do not identify a registered DPO, and require company-specific Egyptian legal review and transfer verification.</w:t>
            </w:r>
          </w:p>
        </w:tc>
      </w:tr>
      <w:tr>
        <w:trPr>
          <w:cantSplit/>
        </w:trPr>
        <w:tc>
          <w:tcPr>
            <w:tcW w:type="dxa" w:w="17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Cloud residency</w:t>
            </w:r>
          </w:p>
        </w:tc>
        <w:tc>
          <w:tcPr>
            <w:tcW w:type="dxa" w:w="18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Launch blocker</w:t>
            </w:r>
          </w:p>
        </w:tc>
        <w:tc>
          <w:tcPr>
            <w:tcW w:type="dxa" w:w="5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D1 and R2 are in Western Europe. D1 jurisdiction is null; Workers/KV and vendors require a full transfer map. Hosting must be approved as a legal architecture decision.</w:t>
            </w:r>
          </w:p>
        </w:tc>
      </w:tr>
      <w:tr>
        <w:trPr>
          <w:cantSplit/>
        </w:trPr>
        <w:tc>
          <w:tcPr>
            <w:tcW w:type="dxa" w:w="17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Security assurance</w:t>
            </w:r>
          </w:p>
        </w:tc>
        <w:tc>
          <w:tcPr>
            <w:tcW w:type="dxa" w:w="18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Incomplete</w:t>
            </w:r>
          </w:p>
        </w:tc>
        <w:tc>
          <w:tcPr>
            <w:tcW w:type="dxa" w:w="5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Automated checks pass, but a formal threat-model refresh, independent penetration test, cloud configuration review, restore test, and incident tabletop are still required.</w:t>
            </w:r>
          </w:p>
        </w:tc>
      </w:tr>
      <w:tr>
        <w:trPr>
          <w:cantSplit/>
        </w:trPr>
        <w:tc>
          <w:tcPr>
            <w:tcW w:type="dxa" w:w="17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Company, tax, people</w:t>
            </w:r>
          </w:p>
        </w:tc>
        <w:tc>
          <w:tcPr>
            <w:tcW w:type="dxa" w:w="18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Open evidence</w:t>
            </w:r>
          </w:p>
        </w:tc>
        <w:tc>
          <w:tcPr>
            <w:tcW w:type="dxa" w:w="5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Legal form, commercial register, tax file, bank account, e-invoice/e-receipt status, DPO appointment, labour, and social-insurance readiness are not evidenced in the repository.</w:t>
            </w:r>
          </w:p>
        </w:tc>
      </w:tr>
    </w:tbl>
    <w:p>
      <w:pPr>
        <w:spacing w:after="40"/>
      </w:pPr>
    </w:p>
    <w:p>
      <w:pPr>
        <w:pStyle w:val="Heading1"/>
      </w:pPr>
      <w:r>
        <w:t>3. Master roadmap and launch gates</w:t>
      </w:r>
    </w:p>
    <w:p>
      <w:pPr>
        <w:keepNext w:val="0"/>
        <w:spacing w:before="0" w:after="120" w:line="300" w:lineRule="auto"/>
      </w:pPr>
      <w:r>
        <w:rPr>
          <w:rFonts w:ascii="Calibri" w:hAnsi="Calibri" w:eastAsia="Calibri"/>
          <w:i w:val="0"/>
          <w:color w:val="1F2937"/>
          <w:sz w:val="22"/>
        </w:rPr>
        <w:t>Baseline program start: Monday, 20 July 2026. The plan uses overlapping workstreams. Regulatory and vendor response times can extend the schedule; the gate criteria, not the week number, control progression.</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650"/>
        <w:gridCol w:w="2520"/>
        <w:gridCol w:w="1000"/>
        <w:gridCol w:w="4240"/>
        <w:gridCol w:w="950"/>
      </w:tblGrid>
      <w:tr>
        <w:trPr>
          <w:tblHeader w:val="true"/>
          <w:cantSplit/>
        </w:trPr>
        <w:tc>
          <w:tcPr>
            <w:tcW w:type="dxa" w:w="6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Phase</w:t>
            </w:r>
          </w:p>
        </w:tc>
        <w:tc>
          <w:tcPr>
            <w:tcW w:type="dxa" w:w="252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Workstream</w:t>
            </w:r>
          </w:p>
        </w:tc>
        <w:tc>
          <w:tcPr>
            <w:tcW w:type="dxa" w:w="10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w:t>
            </w:r>
          </w:p>
        </w:tc>
        <w:tc>
          <w:tcPr>
            <w:tcW w:type="dxa" w:w="424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Primary outcome</w:t>
            </w:r>
          </w:p>
        </w:tc>
        <w:tc>
          <w:tcPr>
            <w:tcW w:type="dxa" w:w="9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Gate</w:t>
            </w:r>
          </w:p>
        </w:tc>
      </w:tr>
      <w:tr>
        <w:trPr>
          <w:cantSplit/>
        </w:trPr>
        <w:tc>
          <w:tcPr>
            <w:tcW w:type="dxa" w:w="6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0</w:t>
            </w:r>
          </w:p>
        </w:tc>
        <w:tc>
          <w:tcPr>
            <w:tcW w:type="dxa" w:w="252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Mobilize and freeze risk</w:t>
            </w:r>
          </w:p>
        </w:tc>
        <w:tc>
          <w:tcPr>
            <w:tcW w:type="dxa" w:w="1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W1</w:t>
            </w:r>
          </w:p>
        </w:tc>
        <w:tc>
          <w:tcPr>
            <w:tcW w:type="dxa" w:w="424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Governance, evidence repository, temporary prohibitions</w:t>
            </w:r>
          </w:p>
        </w:tc>
        <w:tc>
          <w:tcPr>
            <w:tcW w:type="dxa" w:w="9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G0</w:t>
            </w:r>
          </w:p>
        </w:tc>
      </w:tr>
      <w:tr>
        <w:trPr>
          <w:cantSplit/>
        </w:trPr>
        <w:tc>
          <w:tcPr>
            <w:tcW w:type="dxa" w:w="6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1</w:t>
            </w:r>
          </w:p>
        </w:tc>
        <w:tc>
          <w:tcPr>
            <w:tcW w:type="dxa" w:w="252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Business and regulatory classification</w:t>
            </w:r>
          </w:p>
        </w:tc>
        <w:tc>
          <w:tcPr>
            <w:tcW w:type="dxa" w:w="1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W1-2</w:t>
            </w:r>
          </w:p>
        </w:tc>
        <w:tc>
          <w:tcPr>
            <w:tcW w:type="dxa" w:w="424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Approved operating model and no-go feature list</w:t>
            </w:r>
          </w:p>
        </w:tc>
        <w:tc>
          <w:tcPr>
            <w:tcW w:type="dxa" w:w="9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G1</w:t>
            </w:r>
          </w:p>
        </w:tc>
      </w:tr>
      <w:tr>
        <w:trPr>
          <w:cantSplit/>
        </w:trPr>
        <w:tc>
          <w:tcPr>
            <w:tcW w:type="dxa" w:w="6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2</w:t>
            </w:r>
          </w:p>
        </w:tc>
        <w:tc>
          <w:tcPr>
            <w:tcW w:type="dxa" w:w="252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Company, tax, IP, and account ownership</w:t>
            </w:r>
          </w:p>
        </w:tc>
        <w:tc>
          <w:tcPr>
            <w:tcW w:type="dxa" w:w="1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W1-6</w:t>
            </w:r>
          </w:p>
        </w:tc>
        <w:tc>
          <w:tcPr>
            <w:tcW w:type="dxa" w:w="424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Entity can contract, invoice, bank, employ, and own assets</w:t>
            </w:r>
          </w:p>
        </w:tc>
        <w:tc>
          <w:tcPr>
            <w:tcW w:type="dxa" w:w="9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G2</w:t>
            </w:r>
          </w:p>
        </w:tc>
      </w:tr>
      <w:tr>
        <w:trPr>
          <w:cantSplit/>
        </w:trPr>
        <w:tc>
          <w:tcPr>
            <w:tcW w:type="dxa" w:w="6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3</w:t>
            </w:r>
          </w:p>
        </w:tc>
        <w:tc>
          <w:tcPr>
            <w:tcW w:type="dxa" w:w="252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Privacy, DPO, records, and transfers</w:t>
            </w:r>
          </w:p>
        </w:tc>
        <w:tc>
          <w:tcPr>
            <w:tcW w:type="dxa" w:w="1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W1-10</w:t>
            </w:r>
          </w:p>
        </w:tc>
        <w:tc>
          <w:tcPr>
            <w:tcW w:type="dxa" w:w="424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DPO and regulatory path; approved data and hosting model</w:t>
            </w:r>
          </w:p>
        </w:tc>
        <w:tc>
          <w:tcPr>
            <w:tcW w:type="dxa" w:w="9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G3</w:t>
            </w:r>
          </w:p>
        </w:tc>
      </w:tr>
      <w:tr>
        <w:trPr>
          <w:cantSplit/>
        </w:trPr>
        <w:tc>
          <w:tcPr>
            <w:tcW w:type="dxa" w:w="6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4</w:t>
            </w:r>
          </w:p>
        </w:tc>
        <w:tc>
          <w:tcPr>
            <w:tcW w:type="dxa" w:w="252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Product, billing, and scope freeze</w:t>
            </w:r>
          </w:p>
        </w:tc>
        <w:tc>
          <w:tcPr>
            <w:tcW w:type="dxa" w:w="1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W2-6</w:t>
            </w:r>
          </w:p>
        </w:tc>
        <w:tc>
          <w:tcPr>
            <w:tcW w:type="dxa" w:w="424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Approved PRD, responsibilities, billing decision, acceptance matrix</w:t>
            </w:r>
          </w:p>
        </w:tc>
        <w:tc>
          <w:tcPr>
            <w:tcW w:type="dxa" w:w="9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G4</w:t>
            </w:r>
          </w:p>
        </w:tc>
      </w:tr>
      <w:tr>
        <w:trPr>
          <w:cantSplit/>
        </w:trPr>
        <w:tc>
          <w:tcPr>
            <w:tcW w:type="dxa" w:w="6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5</w:t>
            </w:r>
          </w:p>
        </w:tc>
        <w:tc>
          <w:tcPr>
            <w:tcW w:type="dxa" w:w="252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Architecture and platform readiness</w:t>
            </w:r>
          </w:p>
        </w:tc>
        <w:tc>
          <w:tcPr>
            <w:tcW w:type="dxa" w:w="1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W2-8</w:t>
            </w:r>
          </w:p>
        </w:tc>
        <w:tc>
          <w:tcPr>
            <w:tcW w:type="dxa" w:w="424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Approved cloud/security baseline, environments, ownership, recovery</w:t>
            </w:r>
          </w:p>
        </w:tc>
        <w:tc>
          <w:tcPr>
            <w:tcW w:type="dxa" w:w="9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G5</w:t>
            </w:r>
          </w:p>
        </w:tc>
      </w:tr>
      <w:tr>
        <w:trPr>
          <w:cantSplit/>
        </w:trPr>
        <w:tc>
          <w:tcPr>
            <w:tcW w:type="dxa" w:w="6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6</w:t>
            </w:r>
          </w:p>
        </w:tc>
        <w:tc>
          <w:tcPr>
            <w:tcW w:type="dxa" w:w="252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MVP closure and operational implementation</w:t>
            </w:r>
          </w:p>
        </w:tc>
        <w:tc>
          <w:tcPr>
            <w:tcW w:type="dxa" w:w="1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W5-14</w:t>
            </w:r>
          </w:p>
        </w:tc>
        <w:tc>
          <w:tcPr>
            <w:tcW w:type="dxa" w:w="424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Release candidate with traceable controls and runbooks</w:t>
            </w:r>
          </w:p>
        </w:tc>
        <w:tc>
          <w:tcPr>
            <w:tcW w:type="dxa" w:w="9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G6</w:t>
            </w:r>
          </w:p>
        </w:tc>
      </w:tr>
      <w:tr>
        <w:trPr>
          <w:cantSplit/>
        </w:trPr>
        <w:tc>
          <w:tcPr>
            <w:tcW w:type="dxa" w:w="6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7</w:t>
            </w:r>
          </w:p>
        </w:tc>
        <w:tc>
          <w:tcPr>
            <w:tcW w:type="dxa" w:w="252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Policies, support, and company operations</w:t>
            </w:r>
          </w:p>
        </w:tc>
        <w:tc>
          <w:tcPr>
            <w:tcW w:type="dxa" w:w="1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W6-14</w:t>
            </w:r>
          </w:p>
        </w:tc>
        <w:tc>
          <w:tcPr>
            <w:tcW w:type="dxa" w:w="424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Contracts, complaints, refunds, records, and support ready</w:t>
            </w:r>
          </w:p>
        </w:tc>
        <w:tc>
          <w:tcPr>
            <w:tcW w:type="dxa" w:w="9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G6</w:t>
            </w:r>
          </w:p>
        </w:tc>
      </w:tr>
      <w:tr>
        <w:trPr>
          <w:cantSplit/>
        </w:trPr>
        <w:tc>
          <w:tcPr>
            <w:tcW w:type="dxa" w:w="6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8</w:t>
            </w:r>
          </w:p>
        </w:tc>
        <w:tc>
          <w:tcPr>
            <w:tcW w:type="dxa" w:w="252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QA, security, privacy, and resilience assurance</w:t>
            </w:r>
          </w:p>
        </w:tc>
        <w:tc>
          <w:tcPr>
            <w:tcW w:type="dxa" w:w="1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W13-18</w:t>
            </w:r>
          </w:p>
        </w:tc>
        <w:tc>
          <w:tcPr>
            <w:tcW w:type="dxa" w:w="424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Closed defects, pentest, restore, incident and evidence pack</w:t>
            </w:r>
          </w:p>
        </w:tc>
        <w:tc>
          <w:tcPr>
            <w:tcW w:type="dxa" w:w="9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G7</w:t>
            </w:r>
          </w:p>
        </w:tc>
      </w:tr>
      <w:tr>
        <w:trPr>
          <w:cantSplit/>
        </w:trPr>
        <w:tc>
          <w:tcPr>
            <w:tcW w:type="dxa" w:w="6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9</w:t>
            </w:r>
          </w:p>
        </w:tc>
        <w:tc>
          <w:tcPr>
            <w:tcW w:type="dxa" w:w="252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Closed merchant pilot</w:t>
            </w:r>
          </w:p>
        </w:tc>
        <w:tc>
          <w:tcPr>
            <w:tcW w:type="dxa" w:w="1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W17-20</w:t>
            </w:r>
          </w:p>
        </w:tc>
        <w:tc>
          <w:tcPr>
            <w:tcW w:type="dxa" w:w="424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Validated operations, demand signals, and safe production behavior</w:t>
            </w:r>
          </w:p>
        </w:tc>
        <w:tc>
          <w:tcPr>
            <w:tcW w:type="dxa" w:w="9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G8</w:t>
            </w:r>
          </w:p>
        </w:tc>
      </w:tr>
      <w:tr>
        <w:trPr>
          <w:cantSplit/>
        </w:trPr>
        <w:tc>
          <w:tcPr>
            <w:tcW w:type="dxa" w:w="6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10</w:t>
            </w:r>
          </w:p>
        </w:tc>
        <w:tc>
          <w:tcPr>
            <w:tcW w:type="dxa" w:w="252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Play submission and staged rollout</w:t>
            </w:r>
          </w:p>
        </w:tc>
        <w:tc>
          <w:tcPr>
            <w:tcW w:type="dxa" w:w="1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W19-22</w:t>
            </w:r>
          </w:p>
        </w:tc>
        <w:tc>
          <w:tcPr>
            <w:tcW w:type="dxa" w:w="424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Approved store release and controlled exposure</w:t>
            </w:r>
          </w:p>
        </w:tc>
        <w:tc>
          <w:tcPr>
            <w:tcW w:type="dxa" w:w="9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G9</w:t>
            </w:r>
          </w:p>
        </w:tc>
      </w:tr>
      <w:tr>
        <w:trPr>
          <w:cantSplit/>
        </w:trPr>
        <w:tc>
          <w:tcPr>
            <w:tcW w:type="dxa" w:w="6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11</w:t>
            </w:r>
          </w:p>
        </w:tc>
        <w:tc>
          <w:tcPr>
            <w:tcW w:type="dxa" w:w="252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General availability and hypercare</w:t>
            </w:r>
          </w:p>
        </w:tc>
        <w:tc>
          <w:tcPr>
            <w:tcW w:type="dxa" w:w="1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W23-24</w:t>
            </w:r>
          </w:p>
        </w:tc>
        <w:tc>
          <w:tcPr>
            <w:tcW w:type="dxa" w:w="424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Signed launch decision, monitored rollout, ownership handoff</w:t>
            </w:r>
          </w:p>
        </w:tc>
        <w:tc>
          <w:tcPr>
            <w:tcW w:type="dxa" w:w="9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G10</w:t>
            </w:r>
          </w:p>
        </w:tc>
      </w:tr>
    </w:tbl>
    <w:p>
      <w:pPr>
        <w:spacing w:after="40"/>
      </w:pPr>
    </w:p>
    <w:p>
      <w:pPr>
        <w:pStyle w:val="Heading2"/>
      </w:pPr>
      <w:r>
        <w:t>Critical path</w:t>
      </w:r>
    </w:p>
    <w:p>
      <w:pPr>
        <w:keepNext w:val="0"/>
        <w:numPr>
          <w:ilvl w:val="0"/>
          <w:numId w:val="11"/>
        </w:numPr>
        <w:spacing w:before="0" w:after="80" w:line="300" w:lineRule="auto"/>
      </w:pPr>
      <w:r>
        <w:rPr>
          <w:rFonts w:ascii="Calibri" w:hAnsi="Calibri" w:eastAsia="Calibri"/>
          <w:color w:val="1F2937"/>
          <w:sz w:val="22"/>
        </w:rPr>
        <w:t>Approve the unregulated B2B SaaS operating model and prohibit fund custody or other regulated services.</w:t>
      </w:r>
    </w:p>
    <w:p>
      <w:pPr>
        <w:keepNext w:val="0"/>
        <w:numPr>
          <w:ilvl w:val="0"/>
          <w:numId w:val="11"/>
        </w:numPr>
        <w:spacing w:before="0" w:after="80" w:line="300" w:lineRule="auto"/>
      </w:pPr>
      <w:r>
        <w:rPr>
          <w:rFonts w:ascii="Calibri" w:hAnsi="Calibri" w:eastAsia="Calibri"/>
          <w:color w:val="1F2937"/>
          <w:sz w:val="22"/>
        </w:rPr>
        <w:t>Select and establish the legal entity; align the trade name, contracts, tax file, bank account, invoices, domains, and platform accounts.</w:t>
      </w:r>
    </w:p>
    <w:p>
      <w:pPr>
        <w:keepNext w:val="0"/>
        <w:numPr>
          <w:ilvl w:val="0"/>
          <w:numId w:val="11"/>
        </w:numPr>
        <w:spacing w:before="0" w:after="80" w:line="300" w:lineRule="auto"/>
      </w:pPr>
      <w:r>
        <w:rPr>
          <w:rFonts w:ascii="Calibri" w:hAnsi="Calibri" w:eastAsia="Calibri"/>
          <w:color w:val="1F2937"/>
          <w:sz w:val="22"/>
        </w:rPr>
        <w:t>Appoint a PDPC-registered DPO and obtain counsel's written licence, permit, Law 175/2018, and sector-regulator conclusions.</w:t>
      </w:r>
    </w:p>
    <w:p>
      <w:pPr>
        <w:keepNext w:val="0"/>
        <w:numPr>
          <w:ilvl w:val="0"/>
          <w:numId w:val="11"/>
        </w:numPr>
        <w:spacing w:before="0" w:after="80" w:line="300" w:lineRule="auto"/>
      </w:pPr>
      <w:r>
        <w:rPr>
          <w:rFonts w:ascii="Calibri" w:hAnsi="Calibri" w:eastAsia="Calibri"/>
          <w:color w:val="1F2937"/>
          <w:sz w:val="22"/>
        </w:rPr>
        <w:t>Complete the data map and cross-border transfer assessment, including the verified Western Europe D1/R2 locations and every vendor/support country.</w:t>
      </w:r>
    </w:p>
    <w:p>
      <w:pPr>
        <w:keepNext w:val="0"/>
        <w:numPr>
          <w:ilvl w:val="0"/>
          <w:numId w:val="11"/>
        </w:numPr>
        <w:spacing w:before="0" w:after="80" w:line="300" w:lineRule="auto"/>
      </w:pPr>
      <w:r>
        <w:rPr>
          <w:rFonts w:ascii="Calibri" w:hAnsi="Calibri" w:eastAsia="Calibri"/>
          <w:color w:val="1F2937"/>
          <w:sz w:val="22"/>
        </w:rPr>
        <w:t>Approve the hosting decision and execute any DPA, transfer filing, database migration, or alternative architecture required by counsel.</w:t>
      </w:r>
    </w:p>
    <w:p>
      <w:pPr>
        <w:keepNext w:val="0"/>
        <w:numPr>
          <w:ilvl w:val="0"/>
          <w:numId w:val="11"/>
        </w:numPr>
        <w:spacing w:before="0" w:after="80" w:line="300" w:lineRule="auto"/>
      </w:pPr>
      <w:r>
        <w:rPr>
          <w:rFonts w:ascii="Calibri" w:hAnsi="Calibri" w:eastAsia="Calibri"/>
          <w:color w:val="1F2937"/>
          <w:sz w:val="22"/>
        </w:rPr>
        <w:t>Freeze the MVP, billing model, seller/buyer responsibilities, permissions, data fields, and testable acceptance criteria.</w:t>
      </w:r>
    </w:p>
    <w:p>
      <w:pPr>
        <w:keepNext w:val="0"/>
        <w:numPr>
          <w:ilvl w:val="0"/>
          <w:numId w:val="11"/>
        </w:numPr>
        <w:spacing w:before="0" w:after="80" w:line="300" w:lineRule="auto"/>
      </w:pPr>
      <w:r>
        <w:rPr>
          <w:rFonts w:ascii="Calibri" w:hAnsi="Calibri" w:eastAsia="Calibri"/>
          <w:color w:val="1F2937"/>
          <w:sz w:val="22"/>
        </w:rPr>
        <w:t>Upgrade targetSdk/compileSdk to API 36 and close the production signing, Firebase fingerprint, Play Integrity, and physical-device OTP gates.</w:t>
      </w:r>
    </w:p>
    <w:p>
      <w:pPr>
        <w:keepNext w:val="0"/>
        <w:numPr>
          <w:ilvl w:val="0"/>
          <w:numId w:val="11"/>
        </w:numPr>
        <w:spacing w:before="0" w:after="80" w:line="300" w:lineRule="auto"/>
      </w:pPr>
      <w:r>
        <w:rPr>
          <w:rFonts w:ascii="Calibri" w:hAnsi="Calibri" w:eastAsia="Calibri"/>
          <w:color w:val="1F2937"/>
          <w:sz w:val="22"/>
        </w:rPr>
        <w:t>Complete the release candidate, support/refund/complaint processes, legal documents, deletion/rights workflows, and evidence generation.</w:t>
      </w:r>
    </w:p>
    <w:p>
      <w:pPr>
        <w:keepNext w:val="0"/>
        <w:numPr>
          <w:ilvl w:val="0"/>
          <w:numId w:val="11"/>
        </w:numPr>
        <w:spacing w:before="0" w:after="80" w:line="300" w:lineRule="auto"/>
      </w:pPr>
      <w:r>
        <w:rPr>
          <w:rFonts w:ascii="Calibri" w:hAnsi="Calibri" w:eastAsia="Calibri"/>
          <w:color w:val="1F2937"/>
          <w:sz w:val="22"/>
        </w:rPr>
        <w:t>Pass technical QA, independent security testing, privacy audit, backup restoration, incident exercise, and policy-to-practice reconciliation.</w:t>
      </w:r>
    </w:p>
    <w:p>
      <w:pPr>
        <w:keepNext w:val="0"/>
        <w:numPr>
          <w:ilvl w:val="0"/>
          <w:numId w:val="11"/>
        </w:numPr>
        <w:spacing w:before="0" w:after="80" w:line="300" w:lineRule="auto"/>
      </w:pPr>
      <w:r>
        <w:rPr>
          <w:rFonts w:ascii="Calibri" w:hAnsi="Calibri" w:eastAsia="Calibri"/>
          <w:color w:val="1F2937"/>
          <w:sz w:val="22"/>
        </w:rPr>
        <w:t>Pilot with named merchants, close findings, complete Play declarations, then obtain formal Go approval for a staged rollout.</w:t>
      </w:r>
    </w:p>
    <w:p>
      <w:pPr>
        <w:pStyle w:val="Heading2"/>
      </w:pPr>
      <w:r>
        <w:t>First 30 days: non-negotiable actions</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Name the executive sponsor, program manager, risk owner, DPO lead, counsel, accountant, product owner, CTO, security, QA, operations, and release owner.</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Founder / CEO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22 Jul | Signed charter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the controlled evidence repository, decision log, source-plan register, risk register, and weekly gate dashboard.</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Program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22 Jul | Repository and templates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Issue the temporary prohibitions: no new SDK, vendor, permission, data field, production export, marketing campaign, regulated feature, or live billing without review.</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DPO + CTO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22 Jul | Issued standard</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N-04</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Obtain counsel's written classification of Orderak's platform role, regulated-activity boundaries, buyer/seller roles, Law 175/2018 scope, and competent regulators.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Egyptian counsel</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31 Jul | Legal memorandum</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N-05</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Select single-person company or LLC structure, reserve the name, and begin GAFI incorporation using the current digital-identity process.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counsel</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3 Aug | Submitted file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N-06</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Select a registered DPO candidate; confirm category, independence, registration, appointment declaration, and continuity.</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privacy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3 Aug | DPO plan / application</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N-07</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Complete controller/processor matrix, initial ROPA, vendor/SDK inventory, and D1/R2/Workers/KV/Firebase/AI/email transfer map.</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CTO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7 Aug | Approved inventories</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N-08</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Decide whether to retain Western Europe hosting, create a new EU-jurisdiction D1 architecture, migrate to an approved alternative, or delay production; obtain required filing path.</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counsel + CTO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14 Aug | Hosting decision</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N-09</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Upgrade Android compileSdk and targetSdk to API 36, test Android 16 behavior, and preserve auth/localization guards.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14 Aug | Passing build and regression</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N-10</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Choose the merchant subscription channel and complete a Google Play Billing policy decision. Keep paid in-app purchase UI disabled until server validation is complete.</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finance + legal</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7 Aug | Billing ADR</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N-11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Audit company ownership of Play, Cloudflare, domain/DNS, Firebase, source control, email, analytics, support, signing, and recovery; assign two admins.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 security</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7 Aug | Account register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N-12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Complete release upload key and Play App Signing plan; add upload and Play fingerprints to production Firebase and test OTP on physical devices.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 mobile</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14 Aug | Console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N-13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Update legal documents for the final operator, DPO contact, processing roles, exact transfer countries, retention rules, complaints, billing, and account deletion; version both Arabic and English.</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 DPO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16 Aug | Approved drafts</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N-14</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Define tax registration, e-invoice/e-receipt, e-seal, VAT, simplified-regime eligibility, and accounting evidence requirements with the accountant.</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Finance + accountant</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10 Aug | Tax action memo</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N-15</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Freeze the launch MVP, defer AI assistant and regulated extensions unless approved, and create requirement-to-test traceability.</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owner</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By 16 Aug | PRD v1.0</w:t>
            </w:r>
          </w:p>
        </w:tc>
      </w:tr>
    </w:tbl>
    <w:p>
      <w:pPr>
        <w:spacing w:after="40"/>
      </w:pPr>
    </w:p>
    <w:p>
      <w:pPr>
        <w:pStyle w:val="Heading1"/>
      </w:pPr>
      <w:r>
        <w:t>4. Phase 0 - Mobilization and risk freeze</w:t>
      </w:r>
    </w:p>
    <w:p>
      <w:pPr>
        <w:keepNext/>
        <w:spacing w:before="0" w:after="80" w:line="300" w:lineRule="auto"/>
      </w:pPr>
      <w:r>
        <w:rPr>
          <w:rFonts w:ascii="Calibri" w:hAnsi="Calibri" w:eastAsia="Calibri"/>
          <w:b/>
          <w:i w:val="0"/>
          <w:color w:val="5F6B7A"/>
          <w:sz w:val="21"/>
        </w:rPr>
        <w:t>Timing: Week 1 (20-26 July 2026)</w:t>
      </w:r>
    </w:p>
    <w:p>
      <w:pPr>
        <w:keepNext/>
        <w:spacing w:before="0" w:after="160" w:line="300" w:lineRule="auto"/>
      </w:pPr>
      <w:r>
        <w:rPr>
          <w:rFonts w:ascii="Calibri" w:hAnsi="Calibri" w:eastAsia="Calibri"/>
          <w:i w:val="0"/>
          <w:color w:val="1F2937"/>
          <w:sz w:val="22"/>
        </w:rPr>
        <w:t>Establish decision authority, evidence discipline, scope control, and temporary rules before any further production or vendor change.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GOV-01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 charter, scope, program calendar, decision rights, and gate owners.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Founder / CEO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Signed charter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GOV-02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evidence, decision, risk, issue, vendor, SDK, permission, policy-version, and finding registers. Dependency: GOV-01.</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Program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Controlled repository</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GOV-03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Record confirmed requirements, assumptions, open questions, future ideas, and protected repository contracts.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owner</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Baseline register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GOV-04</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Freeze unreviewed production data, SDKs, permissions, cross-border access, real data in test, unrestricted logs, and live regulated features.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CTO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Temporary standard</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GOV-05</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Set weekly program review, fortnightly design authority, monthly risk committee, and ad hoc incident/change review.</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Program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Meeting cadence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GOV-06</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Define status rules: Not started, In progress, Blocked, Ready for evidence review, Accepted, and Risk accepted.</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Dashboard workflow</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Program charter and RACI</w:t>
      </w:r>
    </w:p>
    <w:p>
      <w:pPr>
        <w:keepNext w:val="0"/>
        <w:numPr>
          <w:ilvl w:val="0"/>
          <w:numId w:val="10"/>
        </w:numPr>
        <w:spacing w:before="0" w:after="80" w:line="300" w:lineRule="auto"/>
      </w:pPr>
      <w:r>
        <w:rPr>
          <w:rFonts w:ascii="Calibri" w:hAnsi="Calibri" w:eastAsia="Calibri"/>
          <w:color w:val="1F2937"/>
          <w:sz w:val="22"/>
        </w:rPr>
        <w:t>Evidence repository and naming convention</w:t>
      </w:r>
    </w:p>
    <w:p>
      <w:pPr>
        <w:keepNext w:val="0"/>
        <w:numPr>
          <w:ilvl w:val="0"/>
          <w:numId w:val="10"/>
        </w:numPr>
        <w:spacing w:before="0" w:after="80" w:line="300" w:lineRule="auto"/>
      </w:pPr>
      <w:r>
        <w:rPr>
          <w:rFonts w:ascii="Calibri" w:hAnsi="Calibri" w:eastAsia="Calibri"/>
          <w:color w:val="1F2937"/>
          <w:sz w:val="22"/>
        </w:rPr>
        <w:t>Decision, risk, issue, and change logs</w:t>
      </w:r>
    </w:p>
    <w:p>
      <w:pPr>
        <w:keepNext w:val="0"/>
        <w:numPr>
          <w:ilvl w:val="0"/>
          <w:numId w:val="10"/>
        </w:numPr>
        <w:spacing w:before="0" w:after="80" w:line="300" w:lineRule="auto"/>
      </w:pPr>
      <w:r>
        <w:rPr>
          <w:rFonts w:ascii="Calibri" w:hAnsi="Calibri" w:eastAsia="Calibri"/>
          <w:color w:val="1F2937"/>
          <w:sz w:val="22"/>
        </w:rPr>
        <w:t>Temporary data/vendor/release standard</w:t>
      </w:r>
    </w:p>
    <w:p>
      <w:pPr>
        <w:keepNext w:val="0"/>
        <w:numPr>
          <w:ilvl w:val="0"/>
          <w:numId w:val="10"/>
        </w:numPr>
        <w:spacing w:before="0" w:after="80" w:line="300" w:lineRule="auto"/>
      </w:pPr>
      <w:r>
        <w:rPr>
          <w:rFonts w:ascii="Calibri" w:hAnsi="Calibri" w:eastAsia="Calibri"/>
          <w:color w:val="1F2937"/>
          <w:sz w:val="22"/>
        </w:rPr>
        <w:t>Master source-plan traceability index</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G0 passes when every workstream has an accountable owner, a repository location, a first due date, and authority to block release.</w:t>
            </w:r>
          </w:p>
        </w:tc>
      </w:tr>
    </w:tbl>
    <w:p>
      <w:pPr>
        <w:spacing w:after="40"/>
      </w:pPr>
    </w:p>
    <w:p>
      <w:pPr>
        <w:pStyle w:val="Heading1"/>
      </w:pPr>
      <w:r>
        <w:t>5. Phase 1 - Market, product, and regulatory classification</w:t>
      </w:r>
    </w:p>
    <w:p>
      <w:pPr>
        <w:keepNext/>
        <w:spacing w:before="0" w:after="80" w:line="300" w:lineRule="auto"/>
      </w:pPr>
      <w:r>
        <w:rPr>
          <w:rFonts w:ascii="Calibri" w:hAnsi="Calibri" w:eastAsia="Calibri"/>
          <w:b/>
          <w:i w:val="0"/>
          <w:color w:val="5F6B7A"/>
          <w:sz w:val="21"/>
        </w:rPr>
        <w:t>Timing: Weeks 1-2</w:t>
      </w:r>
    </w:p>
    <w:p>
      <w:pPr>
        <w:keepNext/>
        <w:spacing w:before="0" w:after="160" w:line="300" w:lineRule="auto"/>
      </w:pPr>
      <w:r>
        <w:rPr>
          <w:rFonts w:ascii="Calibri" w:hAnsi="Calibri" w:eastAsia="Calibri"/>
          <w:i w:val="0"/>
          <w:color w:val="1F2937"/>
          <w:sz w:val="22"/>
        </w:rPr>
        <w:t>Confirm that the first commercial model solves a validated merchant problem and can operate without accidentally becoming a regulated payment, financial, telecom, transport, health, or other licensed service.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MKT-01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 the problem statement, primary merchant segment, initial governorates, acquisition hypothesis, pricing hypothesis, and success measures.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Founder + product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Product brief</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MKT-02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Run structured merchant discovery. Recommended minimum: 15 interviews, 5 design partners, and documented willingness-to-pay signals; founder may approve another threshold.</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growth</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W1-2 | Interview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REG-01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Map the real activities, money flow, data flow, contracting parties, and service descriptions. Do not rely on the label 'technology platform'.</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 product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Classification map</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REG-02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Confirm that Orderak does not hold or route buyer funds and does not provide wallets, lending, BNPL, insurance, investment, regulated transport, health, telecom, or gaming features.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 CEO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W1-2 | Written redline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REG-03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Determine Law 175/2018 service-provider applicability, exact 180-day record categories, judicial-request process, and whether NTRA requirements apply.</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Egyptian counsel</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 | Applicability opinion</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REG-04</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sector trigger checklist so any future regulated feature stops at design review before development or marketing.</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counsel</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 | Trigger checklist</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MKT-03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 MVP value proposition and excluded features based on demand and regulatory findings.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Founder + product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 | Decision record</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Product and market brief</w:t>
      </w:r>
    </w:p>
    <w:p>
      <w:pPr>
        <w:keepNext w:val="0"/>
        <w:numPr>
          <w:ilvl w:val="0"/>
          <w:numId w:val="10"/>
        </w:numPr>
        <w:spacing w:before="0" w:after="80" w:line="300" w:lineRule="auto"/>
      </w:pPr>
      <w:r>
        <w:rPr>
          <w:rFonts w:ascii="Calibri" w:hAnsi="Calibri" w:eastAsia="Calibri"/>
          <w:color w:val="1F2937"/>
          <w:sz w:val="22"/>
        </w:rPr>
        <w:t>Merchant discovery report</w:t>
      </w:r>
    </w:p>
    <w:p>
      <w:pPr>
        <w:keepNext w:val="0"/>
        <w:numPr>
          <w:ilvl w:val="0"/>
          <w:numId w:val="10"/>
        </w:numPr>
        <w:spacing w:before="0" w:after="80" w:line="300" w:lineRule="auto"/>
      </w:pPr>
      <w:r>
        <w:rPr>
          <w:rFonts w:ascii="Calibri" w:hAnsi="Calibri" w:eastAsia="Calibri"/>
          <w:color w:val="1F2937"/>
          <w:sz w:val="22"/>
        </w:rPr>
        <w:t>Business and regulatory classification memorandum</w:t>
      </w:r>
    </w:p>
    <w:p>
      <w:pPr>
        <w:keepNext w:val="0"/>
        <w:numPr>
          <w:ilvl w:val="0"/>
          <w:numId w:val="10"/>
        </w:numPr>
        <w:spacing w:before="0" w:after="80" w:line="300" w:lineRule="auto"/>
      </w:pPr>
      <w:r>
        <w:rPr>
          <w:rFonts w:ascii="Calibri" w:hAnsi="Calibri" w:eastAsia="Calibri"/>
          <w:color w:val="1F2937"/>
          <w:sz w:val="22"/>
        </w:rPr>
        <w:t>Money-flow and responsibility diagram</w:t>
      </w:r>
    </w:p>
    <w:p>
      <w:pPr>
        <w:keepNext w:val="0"/>
        <w:numPr>
          <w:ilvl w:val="0"/>
          <w:numId w:val="10"/>
        </w:numPr>
        <w:spacing w:before="0" w:after="80" w:line="300" w:lineRule="auto"/>
      </w:pPr>
      <w:r>
        <w:rPr>
          <w:rFonts w:ascii="Calibri" w:hAnsi="Calibri" w:eastAsia="Calibri"/>
          <w:color w:val="1F2937"/>
          <w:sz w:val="22"/>
        </w:rPr>
        <w:t>Regulated-feature prohibition list</w:t>
      </w:r>
    </w:p>
    <w:p>
      <w:pPr>
        <w:keepNext w:val="0"/>
        <w:numPr>
          <w:ilvl w:val="0"/>
          <w:numId w:val="10"/>
        </w:numPr>
        <w:spacing w:before="0" w:after="80" w:line="300" w:lineRule="auto"/>
      </w:pPr>
      <w:r>
        <w:rPr>
          <w:rFonts w:ascii="Calibri" w:hAnsi="Calibri" w:eastAsia="Calibri"/>
          <w:color w:val="1F2937"/>
          <w:sz w:val="22"/>
        </w:rPr>
        <w:t>Law 175/2018 applicability opinion</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G1 passes only when the CEO and Egyptian counsel sign the first-release operating model and every regulated extension is explicitly disabled or licensed.</w:t>
            </w:r>
          </w:p>
        </w:tc>
      </w:tr>
    </w:tbl>
    <w:p>
      <w:pPr>
        <w:spacing w:after="40"/>
      </w:pPr>
    </w:p>
    <w:p>
      <w:pPr>
        <w:pStyle w:val="Heading1"/>
      </w:pPr>
      <w:r>
        <w:t>6. Phase 2 - Company formation, tax, IP, people, and ownership</w:t>
      </w:r>
    </w:p>
    <w:p>
      <w:pPr>
        <w:keepNext/>
        <w:spacing w:before="0" w:after="80" w:line="300" w:lineRule="auto"/>
      </w:pPr>
      <w:r>
        <w:rPr>
          <w:rFonts w:ascii="Calibri" w:hAnsi="Calibri" w:eastAsia="Calibri"/>
          <w:b/>
          <w:i w:val="0"/>
          <w:color w:val="5F6B7A"/>
          <w:sz w:val="21"/>
        </w:rPr>
        <w:t>Timing: Weeks 1-6</w:t>
      </w:r>
    </w:p>
    <w:p>
      <w:pPr>
        <w:keepNext/>
        <w:spacing w:before="0" w:after="160" w:line="300" w:lineRule="auto"/>
      </w:pPr>
      <w:r>
        <w:rPr>
          <w:rFonts w:ascii="Calibri" w:hAnsi="Calibri" w:eastAsia="Calibri"/>
          <w:i w:val="0"/>
          <w:color w:val="1F2937"/>
          <w:sz w:val="22"/>
        </w:rPr>
        <w:t>Create the legal and administrative foundation that can contract, invoice, receive subscription revenue, employ or contract people, own the software and brand, and control all production assets.</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COR-01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Select the legal form. A single founder should compare a single-person company with alternatives; two or more founders should compare an LLC and other forms. Assess liability, fundraising, governance, tax, and licensing.</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counsel + accountant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 | Legal-form memo</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COR-02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Execute founder/shareholder agreement covering equity, vesting where appropriate, decision rights, deadlock, IP, confidentiality, departures, and dispute handling.</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counsel</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 | Signed agreement</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COR-03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Reserve the trade name, complete GAFI digital-identity registration, submit incorporation, and obtain constitutional documents, commercial registration, and tax identification.</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 finance</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W2-4 | Incorporation pack</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COR-04</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Open company bank and payment accounts; document signatories, approval limits, reconciliation, and prohibition on routing merchant buyer funds through Orderak accounts.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Finance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W3-5 | Bank controls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TAX-01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Confirm income tax, VAT, withholding, payroll, e-invoice, e-receipt, e-seal, filing, and document-retention obligations. Assess Law 6/2025 simplified regime eligibility if annual turnover is at most EGP 20 million.</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Accountant + finance</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W2-5 | Tax calendar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IP-01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Run name/trademark clearance and file protection for Orderak; confirm company ownership of domains, logos, designs, code, databases, documentation, and app signing assets.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 operations</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W2-6 | IP register / filings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IP-02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Execute IP assignment, confidentiality, security, data protection, third-party disclosure, return/deletion, and handover terms with every founder, employee, freelancer, and agency.</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W2-5 | Signed agreements</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PEO-01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Prepare employment/contractor templates under current Egyptian labour law; open the required NOSI employer file and employee registrations when hiring triggers arise.</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HR + counsel + accountant</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W4-6 | People compliance file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OWN-01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Transfer Play, Cloudflare, GAFI/tax, domains, DNS, Firebase, repository, design, email, support, analytics, AI, and signing control to the company. Use individual accounts and two admins.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 security</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W2-6 | Account inventory</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Incorporation and commercial registration package</w:t>
      </w:r>
    </w:p>
    <w:p>
      <w:pPr>
        <w:keepNext w:val="0"/>
        <w:numPr>
          <w:ilvl w:val="0"/>
          <w:numId w:val="10"/>
        </w:numPr>
        <w:spacing w:before="0" w:after="80" w:line="300" w:lineRule="auto"/>
      </w:pPr>
      <w:r>
        <w:rPr>
          <w:rFonts w:ascii="Calibri" w:hAnsi="Calibri" w:eastAsia="Calibri"/>
          <w:color w:val="1F2937"/>
          <w:sz w:val="22"/>
        </w:rPr>
        <w:t>Tax registration and filing calendar</w:t>
      </w:r>
    </w:p>
    <w:p>
      <w:pPr>
        <w:keepNext w:val="0"/>
        <w:numPr>
          <w:ilvl w:val="0"/>
          <w:numId w:val="10"/>
        </w:numPr>
        <w:spacing w:before="0" w:after="80" w:line="300" w:lineRule="auto"/>
      </w:pPr>
      <w:r>
        <w:rPr>
          <w:rFonts w:ascii="Calibri" w:hAnsi="Calibri" w:eastAsia="Calibri"/>
          <w:color w:val="1F2937"/>
          <w:sz w:val="22"/>
        </w:rPr>
        <w:t>Banking and signatory matrix</w:t>
      </w:r>
    </w:p>
    <w:p>
      <w:pPr>
        <w:keepNext w:val="0"/>
        <w:numPr>
          <w:ilvl w:val="0"/>
          <w:numId w:val="10"/>
        </w:numPr>
        <w:spacing w:before="0" w:after="80" w:line="300" w:lineRule="auto"/>
      </w:pPr>
      <w:r>
        <w:rPr>
          <w:rFonts w:ascii="Calibri" w:hAnsi="Calibri" w:eastAsia="Calibri"/>
          <w:color w:val="1F2937"/>
          <w:sz w:val="22"/>
        </w:rPr>
        <w:t>Founder, employment, contractor, confidentiality, and IP agreements</w:t>
      </w:r>
    </w:p>
    <w:p>
      <w:pPr>
        <w:keepNext w:val="0"/>
        <w:numPr>
          <w:ilvl w:val="0"/>
          <w:numId w:val="10"/>
        </w:numPr>
        <w:spacing w:before="0" w:after="80" w:line="300" w:lineRule="auto"/>
      </w:pPr>
      <w:r>
        <w:rPr>
          <w:rFonts w:ascii="Calibri" w:hAnsi="Calibri" w:eastAsia="Calibri"/>
          <w:color w:val="1F2937"/>
          <w:sz w:val="22"/>
        </w:rPr>
        <w:t>Trademark/domain/IP register</w:t>
      </w:r>
    </w:p>
    <w:p>
      <w:pPr>
        <w:keepNext w:val="0"/>
        <w:numPr>
          <w:ilvl w:val="0"/>
          <w:numId w:val="10"/>
        </w:numPr>
        <w:spacing w:before="0" w:after="80" w:line="300" w:lineRule="auto"/>
      </w:pPr>
      <w:r>
        <w:rPr>
          <w:rFonts w:ascii="Calibri" w:hAnsi="Calibri" w:eastAsia="Calibri"/>
          <w:color w:val="1F2937"/>
          <w:sz w:val="22"/>
        </w:rPr>
        <w:t>NOSI and labour action plan</w:t>
      </w:r>
    </w:p>
    <w:p>
      <w:pPr>
        <w:keepNext w:val="0"/>
        <w:numPr>
          <w:ilvl w:val="0"/>
          <w:numId w:val="10"/>
        </w:numPr>
        <w:spacing w:before="0" w:after="80" w:line="300" w:lineRule="auto"/>
      </w:pPr>
      <w:r>
        <w:rPr>
          <w:rFonts w:ascii="Calibri" w:hAnsi="Calibri" w:eastAsia="Calibri"/>
          <w:color w:val="1F2937"/>
          <w:sz w:val="22"/>
        </w:rPr>
        <w:t>Company account and recovery inventory</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G2 passes when the operator named in the app can legally contract, invoice, bank, own assets, and employ/engage the team, and all public/legal identities match that operator.</w:t>
            </w:r>
          </w:p>
        </w:tc>
      </w:tr>
    </w:tbl>
    <w:p>
      <w:pPr>
        <w:spacing w:after="40"/>
      </w:pPr>
    </w:p>
    <w:p>
      <w:pPr>
        <w:pStyle w:val="Heading1"/>
      </w:pPr>
      <w:r>
        <w:t>7. Phase 3 - Privacy, DPO, records, vendors, and cross-border transfers</w:t>
      </w:r>
    </w:p>
    <w:p>
      <w:pPr>
        <w:keepNext/>
        <w:spacing w:before="0" w:after="80" w:line="300" w:lineRule="auto"/>
      </w:pPr>
      <w:r>
        <w:rPr>
          <w:rFonts w:ascii="Calibri" w:hAnsi="Calibri" w:eastAsia="Calibri"/>
          <w:b/>
          <w:i w:val="0"/>
          <w:color w:val="5F6B7A"/>
          <w:sz w:val="21"/>
        </w:rPr>
        <w:t>Timing: Weeks 1-10; filings and approvals may extend the program</w:t>
      </w:r>
    </w:p>
    <w:p>
      <w:pPr>
        <w:keepNext/>
        <w:spacing w:before="0" w:after="160" w:line="300" w:lineRule="auto"/>
      </w:pPr>
      <w:r>
        <w:rPr>
          <w:rFonts w:ascii="Calibri" w:hAnsi="Calibri" w:eastAsia="Calibri"/>
          <w:i w:val="0"/>
          <w:color w:val="1F2937"/>
          <w:sz w:val="22"/>
        </w:rPr>
        <w:t>Translate Egypt's Personal Data Protection Law, Executive Regulations, cybercrime records, consumer, communications, and vendor requirements into approved technical and operational controls before freezing production architecture.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DPO-01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Select a DPO whose PDPC category matches Orderak's processing, confirm independence, complete registry application, and submit appointment declaration. Provide interim privacy leadership until accepted.</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privacy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W1-6 | DPO code / appointment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PRV-01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purpose-level controller/processor/joint-controller matrix for sellers, buyers, employees, vendors, public catalogs, AI translation, support, and administration.</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counsel</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W1-3 | Role matrix</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LIC-01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Obtain written determination of controller/processor licence or permit, direct-marketing, sensitive data, cross-border transfer, DPO, sector, and pre-operation filing requirements.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Egyptian counsel + DPO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W1-4 | Licensing memo</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MAP-01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Build ROPA and field-level data map across Android Room/DataStore, D1, R2, KV, Workers, email, Firebase, AI, logs, backups, exports, admin, merchants, and buyers.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engineering</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W1-4 | ROPA and diagrams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VND-01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vendor/SDK register with role, data, purpose, countries, sub-processors, retention, support access, security, DPA, transfer approval, renewal, and owner.</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Procurement + DPO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W2-5 | Vendor register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XFR-01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Document D1 and R2 Western Europe locations, global Workers/KV behavior, Firebase, AI, email, remote support, CDN, logging, and every temporary/final storage and access country.</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cloud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W2-4 | Transfer register</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XFR-02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Compare: current Western Europe architecture; new EU-jurisdiction D1 and controlled R2; an Egypt-approved hosting alternative; or hybrid minimization. Include migration, availability, cost, and regulator implications.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CTO + DPO + counsel</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W3-6 | Options paper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XFR-03</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 the hosting option and complete required PDPC filing, DPA, transfer safeguards, sub-processor review, and migration. Note: D1 jurisdiction is set only at database creation.</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counsel + CTO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W5-10 | Approved hosting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RET-01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 retention by category, trigger, authority, system, backup, deletion/anonymization, exception, legal hold, owner, and evidence. Do not retain all product logs for 180 days by default.</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counsel + finance</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W3-6 | Retention matrix</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DEL-01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Test seller and buyer deletion across D1, R2, Firebase, email, AI/vendor systems, exports, backups, marketing, and merchant notifications. Confirm whether the protected 90-day completion target meets Egyptian requirements.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engineering</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W4-8 | Deletion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RIGHT-01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Implement access, correction, addition/update, deletion, consent withdrawal, restriction, objection, complaint, and breach-information workflows with identity verification and audit closure.</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support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W4-8 | Rights SOP and tests</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CNS-01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Make Arabic the primary consent language; separate terms acceptance, service-required processing, marketing, analytics, sensitive data, and guardian consent. Keep immutable wording/version evidence and easy withdrawal.</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DPO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W3-7 | Consent specification</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INC-01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breach procedure and templates for the 72-hour PDPC decision path and subsequent affected-person notification described in the source plan; counsel confirms the current rule and filing method.</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 DPO + counsel</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W5-8 | Incident plan</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POL-01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Update privacy/terms for company identity, DPO contact, exact countries, lawful bases, seller/buyer roles, AI, billing, retention, rights, complaints, and PDPC complaint right. Publish synchronized Arabic/English versions.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 DPO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W6-9 | Approved versions</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Registered/appointed DPO evidence</w:t>
      </w:r>
    </w:p>
    <w:p>
      <w:pPr>
        <w:keepNext w:val="0"/>
        <w:numPr>
          <w:ilvl w:val="0"/>
          <w:numId w:val="10"/>
        </w:numPr>
        <w:spacing w:before="0" w:after="80" w:line="300" w:lineRule="auto"/>
      </w:pPr>
      <w:r>
        <w:rPr>
          <w:rFonts w:ascii="Calibri" w:hAnsi="Calibri" w:eastAsia="Calibri"/>
          <w:color w:val="1F2937"/>
          <w:sz w:val="22"/>
        </w:rPr>
        <w:t>Licensing and permit memorandum</w:t>
      </w:r>
    </w:p>
    <w:p>
      <w:pPr>
        <w:keepNext w:val="0"/>
        <w:numPr>
          <w:ilvl w:val="0"/>
          <w:numId w:val="10"/>
        </w:numPr>
        <w:spacing w:before="0" w:after="80" w:line="300" w:lineRule="auto"/>
      </w:pPr>
      <w:r>
        <w:rPr>
          <w:rFonts w:ascii="Calibri" w:hAnsi="Calibri" w:eastAsia="Calibri"/>
          <w:color w:val="1F2937"/>
          <w:sz w:val="22"/>
        </w:rPr>
        <w:t>Controller/processor matrix</w:t>
      </w:r>
    </w:p>
    <w:p>
      <w:pPr>
        <w:keepNext w:val="0"/>
        <w:numPr>
          <w:ilvl w:val="0"/>
          <w:numId w:val="10"/>
        </w:numPr>
        <w:spacing w:before="0" w:after="80" w:line="300" w:lineRule="auto"/>
      </w:pPr>
      <w:r>
        <w:rPr>
          <w:rFonts w:ascii="Calibri" w:hAnsi="Calibri" w:eastAsia="Calibri"/>
          <w:color w:val="1F2937"/>
          <w:sz w:val="22"/>
        </w:rPr>
        <w:t>ROPA, classification, and data-flow diagrams</w:t>
      </w:r>
    </w:p>
    <w:p>
      <w:pPr>
        <w:keepNext w:val="0"/>
        <w:numPr>
          <w:ilvl w:val="0"/>
          <w:numId w:val="10"/>
        </w:numPr>
        <w:spacing w:before="0" w:after="80" w:line="300" w:lineRule="auto"/>
      </w:pPr>
      <w:r>
        <w:rPr>
          <w:rFonts w:ascii="Calibri" w:hAnsi="Calibri" w:eastAsia="Calibri"/>
          <w:color w:val="1F2937"/>
          <w:sz w:val="22"/>
        </w:rPr>
        <w:t>Vendor/SDK and transfer registers</w:t>
      </w:r>
    </w:p>
    <w:p>
      <w:pPr>
        <w:keepNext w:val="0"/>
        <w:numPr>
          <w:ilvl w:val="0"/>
          <w:numId w:val="10"/>
        </w:numPr>
        <w:spacing w:before="0" w:after="80" w:line="300" w:lineRule="auto"/>
      </w:pPr>
      <w:r>
        <w:rPr>
          <w:rFonts w:ascii="Calibri" w:hAnsi="Calibri" w:eastAsia="Calibri"/>
          <w:color w:val="1F2937"/>
          <w:sz w:val="22"/>
        </w:rPr>
        <w:t>Approved hosting decision and filings</w:t>
      </w:r>
    </w:p>
    <w:p>
      <w:pPr>
        <w:keepNext w:val="0"/>
        <w:numPr>
          <w:ilvl w:val="0"/>
          <w:numId w:val="10"/>
        </w:numPr>
        <w:spacing w:before="0" w:after="80" w:line="300" w:lineRule="auto"/>
      </w:pPr>
      <w:r>
        <w:rPr>
          <w:rFonts w:ascii="Calibri" w:hAnsi="Calibri" w:eastAsia="Calibri"/>
          <w:color w:val="1F2937"/>
          <w:sz w:val="22"/>
        </w:rPr>
        <w:t>Retention/deletion/legal-hold standards</w:t>
      </w:r>
    </w:p>
    <w:p>
      <w:pPr>
        <w:keepNext w:val="0"/>
        <w:numPr>
          <w:ilvl w:val="0"/>
          <w:numId w:val="10"/>
        </w:numPr>
        <w:spacing w:before="0" w:after="80" w:line="300" w:lineRule="auto"/>
      </w:pPr>
      <w:r>
        <w:rPr>
          <w:rFonts w:ascii="Calibri" w:hAnsi="Calibri" w:eastAsia="Calibri"/>
          <w:color w:val="1F2937"/>
          <w:sz w:val="22"/>
        </w:rPr>
        <w:t>Consent and rights procedures</w:t>
      </w:r>
    </w:p>
    <w:p>
      <w:pPr>
        <w:keepNext w:val="0"/>
        <w:numPr>
          <w:ilvl w:val="0"/>
          <w:numId w:val="10"/>
        </w:numPr>
        <w:spacing w:before="0" w:after="80" w:line="300" w:lineRule="auto"/>
      </w:pPr>
      <w:r>
        <w:rPr>
          <w:rFonts w:ascii="Calibri" w:hAnsi="Calibri" w:eastAsia="Calibri"/>
          <w:color w:val="1F2937"/>
          <w:sz w:val="22"/>
        </w:rPr>
        <w:t>Incident and authority-request procedures</w:t>
      </w:r>
    </w:p>
    <w:p>
      <w:pPr>
        <w:keepNext w:val="0"/>
        <w:numPr>
          <w:ilvl w:val="0"/>
          <w:numId w:val="10"/>
        </w:numPr>
        <w:spacing w:before="0" w:after="80" w:line="300" w:lineRule="auto"/>
      </w:pPr>
      <w:r>
        <w:rPr>
          <w:rFonts w:ascii="Calibri" w:hAnsi="Calibri" w:eastAsia="Calibri"/>
          <w:color w:val="1F2937"/>
          <w:sz w:val="22"/>
        </w:rPr>
        <w:t>Approved bilingual public documents and DPAs</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G3 passes only after the DPO, counsel, CTO, security lead, and CEO approve the actual architecture and all required licences, permits, contracts, transfers, retention rules, and data-subject workflows are operational or formally gated.</w:t>
            </w:r>
          </w:p>
        </w:tc>
      </w:tr>
    </w:tbl>
    <w:p>
      <w:pPr>
        <w:spacing w:after="40"/>
      </w:pPr>
    </w:p>
    <w:p>
      <w:pPr>
        <w:pStyle w:val="Heading1"/>
      </w:pPr>
      <w:r>
        <w:t>8. Phase 4 - Product, billing, merchant responsibilities, and scope freeze</w:t>
      </w:r>
    </w:p>
    <w:p>
      <w:pPr>
        <w:keepNext/>
        <w:spacing w:before="0" w:after="80" w:line="300" w:lineRule="auto"/>
      </w:pPr>
      <w:r>
        <w:rPr>
          <w:rFonts w:ascii="Calibri" w:hAnsi="Calibri" w:eastAsia="Calibri"/>
          <w:b/>
          <w:i w:val="0"/>
          <w:color w:val="5F6B7A"/>
          <w:sz w:val="21"/>
        </w:rPr>
        <w:t>Timing: Weeks 2-6</w:t>
      </w:r>
    </w:p>
    <w:p>
      <w:pPr>
        <w:keepNext/>
        <w:spacing w:before="0" w:after="160" w:line="300" w:lineRule="auto"/>
      </w:pPr>
      <w:r>
        <w:rPr>
          <w:rFonts w:ascii="Calibri" w:hAnsi="Calibri" w:eastAsia="Calibri"/>
          <w:i w:val="0"/>
          <w:color w:val="1F2937"/>
          <w:sz w:val="22"/>
        </w:rPr>
        <w:t>Convert the business model and compliance decisions into a versioned PRD with requirement IDs, user roles, failure states, data fields, owners, and acceptance criteria.</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PRD-01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Freeze launch scope: seller onboarding, store, catalog, orders, customers, settings, public catalog/order form, and necessary admin/support. Mark AI assistant, regulated extensions, and unvalidated billing as deferred unless approved.</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owner</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 | PRD scope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PRD-02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Assign requirement IDs and create traceability from requirement to backlog, code, tests, evidence, release, and documentation.</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QA</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W2-4 | Traceability matrix</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IAM-01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screen/API role and permission matrix for guest, seller, support, finance, compliance, admin, and owner, including reason, approval, and audit requirements for sensitive actions.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security</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W2-4 | Permission matrix</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FLOW-01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Document seller registration/recovery, store setup, catalog, order, status, cancellation, support, complaint, refund, deletion, rights, and failure flows.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UX</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W2-4 | User journeys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FLOW-02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Document buyer order flow and merchant responsibility for product data, pricing, availability, fulfilment, warranty, returns, refunds, and buyer-data use. Counsel confirms platform obligations.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counsel</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W3-5 | Responsibility matrix</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BILL-01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Classify merchant subscriptions as digital SaaS; decide Play Billing, permitted external sales, or free launch. Buyer purchases of physical merchant goods/services remain direct merchant transactions.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legal + finance</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W2-3 | Billing ADR</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BILL-02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If Play Billing is enabled, implement purchase token -&gt; backend validation -&gt; subscription/entitlement -&gt; acknowledgement -&gt; renewal/cancel/refund/reconciliation. Otherwise remove or disable entry points.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 mobile + finance</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W3-8 | End-to-end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DATA-01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Build feature-to-data, permission, retention, vendor, lawful-basis, security-classification, and Data Safety matrix. Confirm release manifest remains limited to necessary permissions.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product + mobile</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W3-5 | Data-to-feature matrix</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ACC-01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Write functional, privacy, legal, security, operational, accessibility, Arabic/RTL, offline, and failure acceptance criteria for every launch requirement.</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 product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W4-6 | Accepted criteria</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UGC-01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Define prohibited product/content, report, takedown, appeal, repeat-offender, emergency, evidence, and seller suspension controls for public catalogs.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Trust + counsel + product</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W3-6 | Content controls</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Approved and frozen PRD</w:t>
      </w:r>
    </w:p>
    <w:p>
      <w:pPr>
        <w:keepNext w:val="0"/>
        <w:numPr>
          <w:ilvl w:val="0"/>
          <w:numId w:val="10"/>
        </w:numPr>
        <w:spacing w:before="0" w:after="80" w:line="300" w:lineRule="auto"/>
      </w:pPr>
      <w:r>
        <w:rPr>
          <w:rFonts w:ascii="Calibri" w:hAnsi="Calibri" w:eastAsia="Calibri"/>
          <w:color w:val="1F2937"/>
          <w:sz w:val="22"/>
        </w:rPr>
        <w:t>Requirement/backlog/test/evidence traceability</w:t>
      </w:r>
    </w:p>
    <w:p>
      <w:pPr>
        <w:keepNext w:val="0"/>
        <w:numPr>
          <w:ilvl w:val="0"/>
          <w:numId w:val="10"/>
        </w:numPr>
        <w:spacing w:before="0" w:after="80" w:line="300" w:lineRule="auto"/>
      </w:pPr>
      <w:r>
        <w:rPr>
          <w:rFonts w:ascii="Calibri" w:hAnsi="Calibri" w:eastAsia="Calibri"/>
          <w:color w:val="1F2937"/>
          <w:sz w:val="22"/>
        </w:rPr>
        <w:t>Role and API permission matrix</w:t>
      </w:r>
    </w:p>
    <w:p>
      <w:pPr>
        <w:keepNext w:val="0"/>
        <w:numPr>
          <w:ilvl w:val="0"/>
          <w:numId w:val="10"/>
        </w:numPr>
        <w:spacing w:before="0" w:after="80" w:line="300" w:lineRule="auto"/>
      </w:pPr>
      <w:r>
        <w:rPr>
          <w:rFonts w:ascii="Calibri" w:hAnsi="Calibri" w:eastAsia="Calibri"/>
          <w:color w:val="1F2937"/>
          <w:sz w:val="22"/>
        </w:rPr>
        <w:t>Seller and buyer journey pack</w:t>
      </w:r>
    </w:p>
    <w:p>
      <w:pPr>
        <w:keepNext w:val="0"/>
        <w:numPr>
          <w:ilvl w:val="0"/>
          <w:numId w:val="10"/>
        </w:numPr>
        <w:spacing w:before="0" w:after="80" w:line="300" w:lineRule="auto"/>
      </w:pPr>
      <w:r>
        <w:rPr>
          <w:rFonts w:ascii="Calibri" w:hAnsi="Calibri" w:eastAsia="Calibri"/>
          <w:color w:val="1F2937"/>
          <w:sz w:val="22"/>
        </w:rPr>
        <w:t>Billing and payment responsibility decisions</w:t>
      </w:r>
    </w:p>
    <w:p>
      <w:pPr>
        <w:keepNext w:val="0"/>
        <w:numPr>
          <w:ilvl w:val="0"/>
          <w:numId w:val="10"/>
        </w:numPr>
        <w:spacing w:before="0" w:after="80" w:line="300" w:lineRule="auto"/>
      </w:pPr>
      <w:r>
        <w:rPr>
          <w:rFonts w:ascii="Calibri" w:hAnsi="Calibri" w:eastAsia="Calibri"/>
          <w:color w:val="1F2937"/>
          <w:sz w:val="22"/>
        </w:rPr>
        <w:t>Data-to-feature and Android permission matrices</w:t>
      </w:r>
    </w:p>
    <w:p>
      <w:pPr>
        <w:keepNext w:val="0"/>
        <w:numPr>
          <w:ilvl w:val="0"/>
          <w:numId w:val="10"/>
        </w:numPr>
        <w:spacing w:before="0" w:after="80" w:line="300" w:lineRule="auto"/>
      </w:pPr>
      <w:r>
        <w:rPr>
          <w:rFonts w:ascii="Calibri" w:hAnsi="Calibri" w:eastAsia="Calibri"/>
          <w:color w:val="1F2937"/>
          <w:sz w:val="22"/>
        </w:rPr>
        <w:t>Administration and content-control requirements</w:t>
      </w:r>
    </w:p>
    <w:p>
      <w:pPr>
        <w:keepNext w:val="0"/>
        <w:numPr>
          <w:ilvl w:val="0"/>
          <w:numId w:val="10"/>
        </w:numPr>
        <w:spacing w:before="0" w:after="80" w:line="300" w:lineRule="auto"/>
      </w:pPr>
      <w:r>
        <w:rPr>
          <w:rFonts w:ascii="Calibri" w:hAnsi="Calibri" w:eastAsia="Calibri"/>
          <w:color w:val="1F2937"/>
          <w:sz w:val="22"/>
        </w:rPr>
        <w:t>Testable acceptance criteria</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G4 passes when every launch feature has a business value, owner, data purpose, lawful model, least-privilege rule, operational procedure, and testable acceptance criteria; anything else is out of scope.</w:t>
            </w:r>
          </w:p>
        </w:tc>
      </w:tr>
    </w:tbl>
    <w:p>
      <w:pPr>
        <w:spacing w:after="40"/>
      </w:pPr>
    </w:p>
    <w:p>
      <w:pPr>
        <w:pStyle w:val="Heading1"/>
      </w:pPr>
      <w:r>
        <w:t>9. Phase 5 - Architecture, security baseline, environments, and recovery</w:t>
      </w:r>
    </w:p>
    <w:p>
      <w:pPr>
        <w:keepNext/>
        <w:spacing w:before="0" w:after="80" w:line="300" w:lineRule="auto"/>
      </w:pPr>
      <w:r>
        <w:rPr>
          <w:rFonts w:ascii="Calibri" w:hAnsi="Calibri" w:eastAsia="Calibri"/>
          <w:b/>
          <w:i w:val="0"/>
          <w:color w:val="5F6B7A"/>
          <w:sz w:val="21"/>
        </w:rPr>
        <w:t>Timing: Weeks 2-8</w:t>
      </w:r>
    </w:p>
    <w:p>
      <w:pPr>
        <w:keepNext/>
        <w:spacing w:before="0" w:after="160" w:line="300" w:lineRule="auto"/>
      </w:pPr>
      <w:r>
        <w:rPr>
          <w:rFonts w:ascii="Calibri" w:hAnsi="Calibri" w:eastAsia="Calibri"/>
          <w:i w:val="0"/>
          <w:color w:val="1F2937"/>
          <w:sz w:val="22"/>
        </w:rPr>
        <w:t>Approve a company-owned architecture that can be secured, audited, restored, migrated, and operated within the approved Egyptian data and regulatory model.</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ARC-01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Refresh ADRs for Kotlin/Compose, Worker modular monolith, D1/R2/KV, Firebase identity, email, AI, billing, data residency, and deployment; record alternatives and consequences.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CTO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W2-5 | ADR set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ARC-02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Produce context, service, data-flow, trust-boundary, deployment/network, authentication, deletion, payment, logging, backup, and transfer diagrams.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CTO + DPO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W2-5 | Approved diagrams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THR-01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Threat-model account takeover, cross-store access, API abuse, admin misuse, fraud, data leakage, mobile loss, supply chain, AI prompt leakage, payment abuse, and destructive deletion.</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W3-5 | Threat model</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ENV-01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Separate development, staging, and production Firebase projects, cloud resources, databases, buckets, keys, credentials, analytics, logs, and access. Use synthetic/de-identified test data.</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Cloud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W2-7 | Environment matrix</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IAM-02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Enforce least privilege, individual accounts, MFA for privileged access, two recovery owners, quarterly review, rapid offboarding, break-glass control, and access auditing.</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 operations</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W2-6 | Access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SEC-01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Verify TLS, at-rest encryption, secrets management, key rotation, no secrets in Android/repo/logs/tickets, structured safe logging, and sensitive export approval.</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 engineering</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W3-7 | Control test pack</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CICD-01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Require protected branches, peer review, unit/integration/lint/security checks, SAST, dependency and secret scans, signed artifacts, environment approvals, release traceability, and rollback.</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Engineering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W2-6 | Pipeline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BKP-01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 RPO/RTO; test D1 Time Travel, longer-term export if required, R2 recovery, configuration/secrets recovery, and isolated restoration. Ensure restoration does not resurrect deleted data without reprocessing deletion controls.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Cloud lead + DPO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W4-8 | Restore report</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MON-01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Monitor crashes, auth, API errors/latency, D1/R2, sync, emails, deletion, rights, billing, security events, feature flags, deployments, and provider failures with severity and escalation.</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 security</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W4-8 | Alert matrix</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MOB-01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Review Android local database, device secret, backup exclusions, screen capture, logs, exported components, network security, and data at rest for the supported device range.</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 security</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W4-7 | Mobile security review</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Architecture and hosting ADRs</w:t>
      </w:r>
    </w:p>
    <w:p>
      <w:pPr>
        <w:keepNext w:val="0"/>
        <w:numPr>
          <w:ilvl w:val="0"/>
          <w:numId w:val="10"/>
        </w:numPr>
        <w:spacing w:before="0" w:after="80" w:line="300" w:lineRule="auto"/>
      </w:pPr>
      <w:r>
        <w:rPr>
          <w:rFonts w:ascii="Calibri" w:hAnsi="Calibri" w:eastAsia="Calibri"/>
          <w:color w:val="1F2937"/>
          <w:sz w:val="22"/>
        </w:rPr>
        <w:t>Threat model and risk treatment plan</w:t>
      </w:r>
    </w:p>
    <w:p>
      <w:pPr>
        <w:keepNext w:val="0"/>
        <w:numPr>
          <w:ilvl w:val="0"/>
          <w:numId w:val="10"/>
        </w:numPr>
        <w:spacing w:before="0" w:after="80" w:line="300" w:lineRule="auto"/>
      </w:pPr>
      <w:r>
        <w:rPr>
          <w:rFonts w:ascii="Calibri" w:hAnsi="Calibri" w:eastAsia="Calibri"/>
          <w:color w:val="1F2937"/>
          <w:sz w:val="22"/>
        </w:rPr>
        <w:t>Environment and access matrices</w:t>
      </w:r>
    </w:p>
    <w:p>
      <w:pPr>
        <w:keepNext w:val="0"/>
        <w:numPr>
          <w:ilvl w:val="0"/>
          <w:numId w:val="10"/>
        </w:numPr>
        <w:spacing w:before="0" w:after="80" w:line="300" w:lineRule="auto"/>
      </w:pPr>
      <w:r>
        <w:rPr>
          <w:rFonts w:ascii="Calibri" w:hAnsi="Calibri" w:eastAsia="Calibri"/>
          <w:color w:val="1F2937"/>
          <w:sz w:val="22"/>
        </w:rPr>
        <w:t>Security, logging, key, and secrets standards</w:t>
      </w:r>
    </w:p>
    <w:p>
      <w:pPr>
        <w:keepNext w:val="0"/>
        <w:numPr>
          <w:ilvl w:val="0"/>
          <w:numId w:val="10"/>
        </w:numPr>
        <w:spacing w:before="0" w:after="80" w:line="300" w:lineRule="auto"/>
      </w:pPr>
      <w:r>
        <w:rPr>
          <w:rFonts w:ascii="Calibri" w:hAnsi="Calibri" w:eastAsia="Calibri"/>
          <w:color w:val="1F2937"/>
          <w:sz w:val="22"/>
        </w:rPr>
        <w:t>CI/CD, release, rollback, and signing procedures</w:t>
      </w:r>
    </w:p>
    <w:p>
      <w:pPr>
        <w:keepNext w:val="0"/>
        <w:numPr>
          <w:ilvl w:val="0"/>
          <w:numId w:val="10"/>
        </w:numPr>
        <w:spacing w:before="0" w:after="80" w:line="300" w:lineRule="auto"/>
      </w:pPr>
      <w:r>
        <w:rPr>
          <w:rFonts w:ascii="Calibri" w:hAnsi="Calibri" w:eastAsia="Calibri"/>
          <w:color w:val="1F2937"/>
          <w:sz w:val="22"/>
        </w:rPr>
        <w:t>RPO/RTO and successful restore report</w:t>
      </w:r>
    </w:p>
    <w:p>
      <w:pPr>
        <w:keepNext w:val="0"/>
        <w:numPr>
          <w:ilvl w:val="0"/>
          <w:numId w:val="10"/>
        </w:numPr>
        <w:spacing w:before="0" w:after="80" w:line="300" w:lineRule="auto"/>
      </w:pPr>
      <w:r>
        <w:rPr>
          <w:rFonts w:ascii="Calibri" w:hAnsi="Calibri" w:eastAsia="Calibri"/>
          <w:color w:val="1F2937"/>
          <w:sz w:val="22"/>
        </w:rPr>
        <w:t>Monitoring and incident escalation matrix</w:t>
      </w:r>
    </w:p>
    <w:p>
      <w:pPr>
        <w:keepNext w:val="0"/>
        <w:numPr>
          <w:ilvl w:val="0"/>
          <w:numId w:val="10"/>
        </w:numPr>
        <w:spacing w:before="0" w:after="80" w:line="300" w:lineRule="auto"/>
      </w:pPr>
      <w:r>
        <w:rPr>
          <w:rFonts w:ascii="Calibri" w:hAnsi="Calibri" w:eastAsia="Calibri"/>
          <w:color w:val="1F2937"/>
          <w:sz w:val="22"/>
        </w:rPr>
        <w:t>Mobile data and backup review</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G5 passes when architecture, privacy, security, and operations agree that the environment is company-owned, least-privilege, recoverable, observable, transferable, and consistent with the approved hosting decision.</w:t>
            </w:r>
          </w:p>
        </w:tc>
      </w:tr>
    </w:tbl>
    <w:p>
      <w:pPr>
        <w:spacing w:after="40"/>
      </w:pPr>
    </w:p>
    <w:p>
      <w:pPr>
        <w:pStyle w:val="Heading1"/>
      </w:pPr>
      <w:r>
        <w:t>10. Phase 6 - MVP closure, API 36, billing, and evidence-by-design</w:t>
      </w:r>
    </w:p>
    <w:p>
      <w:pPr>
        <w:keepNext/>
        <w:spacing w:before="0" w:after="80" w:line="300" w:lineRule="auto"/>
      </w:pPr>
      <w:r>
        <w:rPr>
          <w:rFonts w:ascii="Calibri" w:hAnsi="Calibri" w:eastAsia="Calibri"/>
          <w:b/>
          <w:i w:val="0"/>
          <w:color w:val="5F6B7A"/>
          <w:sz w:val="21"/>
        </w:rPr>
        <w:t>Timing: Weeks 5-14</w:t>
      </w:r>
    </w:p>
    <w:p>
      <w:pPr>
        <w:keepNext/>
        <w:spacing w:before="0" w:after="160" w:line="300" w:lineRule="auto"/>
      </w:pPr>
      <w:r>
        <w:rPr>
          <w:rFonts w:ascii="Calibri" w:hAnsi="Calibri" w:eastAsia="Calibri"/>
          <w:i w:val="0"/>
          <w:color w:val="1F2937"/>
          <w:sz w:val="22"/>
        </w:rPr>
        <w:t>Close only the approved launch backlog, preserving protected contracts and attaching tests, controls, runbooks, and evidence to the Definition of Done.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SDK-36</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Upgrade compileSdk and targetSdk to API 36 by 14 August 2026; review Android 16 behavior, dependencies, background work, edge-to-edge, notifications, storage, security, and device compatibility.</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W5-6 | Passing API 36 build</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AUTH-01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Preserve Phase 1 auth contract; run verifyAuthPhase1Contract after auth edits. Complete production release/Play fingerprints, physical SMS, Play Integrity, reCAPTCHA fallback, quotas, and alerts.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 backend + release</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W5-9 | Console/test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LOC-01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Preserve localization contract; run verifyLocalizationContract after localization edits. Verify Arabic/English/French UI, RTL, pseudolocales, dates/numbers, public-catalog fallback, and bilingual legal parity.</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 QA</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W5-10 | Localization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Close core seller and buyer journeys against requirement IDs, including empty/loading/error/offline/retry/duplicate/denied/expired states.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Engineering</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W5-11 | Accepted stories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Verify server-side authz on every protected endpoint, object ownership, validation, safe errors, rate limits, idempotency, correlation IDs, session controls, and abuse monitoring.</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 security</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W5-10 | API test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DEV-03</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Complete consent, policy version, preferences, withdrawal, rights, deletion, restricted retention, downstream propagation, legal-hold, and evidence events.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 mobile + DPO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W6-12 | Privacy workflow tests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DEV-04</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Complete or gate off Play Billing; implement invoices/receipts for Orderak subscription charges and accounting reconciliation according to the approved tax model.</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 mobile + finance</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W6-12 | Billing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DEV-05</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Implement support, complaint, seller suspension, content report/appeal, cancellation, refund, notification, and audit workflows required by the PRD.</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 admin + operations</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W7-13 | Operations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DEV-06</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dependency/SDK register, licence review, SBOM, version pinning, vulnerability monitoring, retirement owner, and Data Safety mapping. Block unapproved SDKs.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Engineering + security + DPO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W5-14 | Approved SBOM/register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DEV-07</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Use controlled feature flags for billing, AI, risky admin tools, new vendors, sensitive processing, and rollback. Define owner, default, authorized operators, metrics, expiry, and audit trail.</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engineering</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W5-12 | Feature-flag register</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DEV-08</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Update API, database, migrations, architecture, setup, security, runbooks, app plan, and release notes whenever implementation changes documented behavior.</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Engineering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W5-14 | Documentation review</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RC-01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Build RC0, close requirement gaps, freeze high-risk dependencies, then build versioned RC1 for formal assurance.</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manager</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W12-14 | Signed RC1</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API 36 production candidate</w:t>
      </w:r>
    </w:p>
    <w:p>
      <w:pPr>
        <w:keepNext w:val="0"/>
        <w:numPr>
          <w:ilvl w:val="0"/>
          <w:numId w:val="10"/>
        </w:numPr>
        <w:spacing w:before="0" w:after="80" w:line="300" w:lineRule="auto"/>
      </w:pPr>
      <w:r>
        <w:rPr>
          <w:rFonts w:ascii="Calibri" w:hAnsi="Calibri" w:eastAsia="Calibri"/>
          <w:color w:val="1F2937"/>
          <w:sz w:val="22"/>
        </w:rPr>
        <w:t>Complete traceability matrix</w:t>
      </w:r>
    </w:p>
    <w:p>
      <w:pPr>
        <w:keepNext w:val="0"/>
        <w:numPr>
          <w:ilvl w:val="0"/>
          <w:numId w:val="10"/>
        </w:numPr>
        <w:spacing w:before="0" w:after="80" w:line="300" w:lineRule="auto"/>
      </w:pPr>
      <w:r>
        <w:rPr>
          <w:rFonts w:ascii="Calibri" w:hAnsi="Calibri" w:eastAsia="Calibri"/>
          <w:color w:val="1F2937"/>
          <w:sz w:val="22"/>
        </w:rPr>
        <w:t>Protected-contract test evidence</w:t>
      </w:r>
    </w:p>
    <w:p>
      <w:pPr>
        <w:keepNext w:val="0"/>
        <w:numPr>
          <w:ilvl w:val="0"/>
          <w:numId w:val="10"/>
        </w:numPr>
        <w:spacing w:before="0" w:after="80" w:line="300" w:lineRule="auto"/>
      </w:pPr>
      <w:r>
        <w:rPr>
          <w:rFonts w:ascii="Calibri" w:hAnsi="Calibri" w:eastAsia="Calibri"/>
          <w:color w:val="1F2937"/>
          <w:sz w:val="22"/>
        </w:rPr>
        <w:t>Functional and privacy control implementation</w:t>
      </w:r>
    </w:p>
    <w:p>
      <w:pPr>
        <w:keepNext w:val="0"/>
        <w:numPr>
          <w:ilvl w:val="0"/>
          <w:numId w:val="10"/>
        </w:numPr>
        <w:spacing w:before="0" w:after="80" w:line="300" w:lineRule="auto"/>
      </w:pPr>
      <w:r>
        <w:rPr>
          <w:rFonts w:ascii="Calibri" w:hAnsi="Calibri" w:eastAsia="Calibri"/>
          <w:color w:val="1F2937"/>
          <w:sz w:val="22"/>
        </w:rPr>
        <w:t>Billing implementation or enforced deferral</w:t>
      </w:r>
    </w:p>
    <w:p>
      <w:pPr>
        <w:keepNext w:val="0"/>
        <w:numPr>
          <w:ilvl w:val="0"/>
          <w:numId w:val="10"/>
        </w:numPr>
        <w:spacing w:before="0" w:after="80" w:line="300" w:lineRule="auto"/>
      </w:pPr>
      <w:r>
        <w:rPr>
          <w:rFonts w:ascii="Calibri" w:hAnsi="Calibri" w:eastAsia="Calibri"/>
          <w:color w:val="1F2937"/>
          <w:sz w:val="22"/>
        </w:rPr>
        <w:t>Approved dependencies, SDKs, and SBOM</w:t>
      </w:r>
    </w:p>
    <w:p>
      <w:pPr>
        <w:keepNext w:val="0"/>
        <w:numPr>
          <w:ilvl w:val="0"/>
          <w:numId w:val="10"/>
        </w:numPr>
        <w:spacing w:before="0" w:after="80" w:line="300" w:lineRule="auto"/>
      </w:pPr>
      <w:r>
        <w:rPr>
          <w:rFonts w:ascii="Calibri" w:hAnsi="Calibri" w:eastAsia="Calibri"/>
          <w:color w:val="1F2937"/>
          <w:sz w:val="22"/>
        </w:rPr>
        <w:t>Feature-flag and rollback register</w:t>
      </w:r>
    </w:p>
    <w:p>
      <w:pPr>
        <w:keepNext w:val="0"/>
        <w:numPr>
          <w:ilvl w:val="0"/>
          <w:numId w:val="10"/>
        </w:numPr>
        <w:spacing w:before="0" w:after="80" w:line="300" w:lineRule="auto"/>
      </w:pPr>
      <w:r>
        <w:rPr>
          <w:rFonts w:ascii="Calibri" w:hAnsi="Calibri" w:eastAsia="Calibri"/>
          <w:color w:val="1F2937"/>
          <w:sz w:val="22"/>
        </w:rPr>
        <w:t>Updated technical and operational documentation</w:t>
      </w:r>
    </w:p>
    <w:p>
      <w:pPr>
        <w:keepNext w:val="0"/>
        <w:numPr>
          <w:ilvl w:val="0"/>
          <w:numId w:val="10"/>
        </w:numPr>
        <w:spacing w:before="0" w:after="80" w:line="300" w:lineRule="auto"/>
      </w:pPr>
      <w:r>
        <w:rPr>
          <w:rFonts w:ascii="Calibri" w:hAnsi="Calibri" w:eastAsia="Calibri"/>
          <w:color w:val="1F2937"/>
          <w:sz w:val="22"/>
        </w:rPr>
        <w:t>Versioned release candidate</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G6 passes when RC1 implements every approved launch requirement, no deferred feature is accidentally exposed, all automated gates pass, and every sensitive behavior produces reviewable evidence.</w:t>
            </w:r>
          </w:p>
        </w:tc>
      </w:tr>
    </w:tbl>
    <w:p>
      <w:pPr>
        <w:spacing w:after="40"/>
      </w:pPr>
    </w:p>
    <w:p>
      <w:pPr>
        <w:pStyle w:val="Heading1"/>
      </w:pPr>
      <w:r>
        <w:t>11. Phase 7 - Policies, merchant contracts, support, and records operations</w:t>
      </w:r>
    </w:p>
    <w:p>
      <w:pPr>
        <w:keepNext/>
        <w:spacing w:before="0" w:after="80" w:line="300" w:lineRule="auto"/>
      </w:pPr>
      <w:r>
        <w:rPr>
          <w:rFonts w:ascii="Calibri" w:hAnsi="Calibri" w:eastAsia="Calibri"/>
          <w:b/>
          <w:i w:val="0"/>
          <w:color w:val="5F6B7A"/>
          <w:sz w:val="21"/>
        </w:rPr>
        <w:t>Timing: Weeks 6-14</w:t>
      </w:r>
    </w:p>
    <w:p>
      <w:pPr>
        <w:keepNext/>
        <w:spacing w:before="0" w:after="160" w:line="300" w:lineRule="auto"/>
      </w:pPr>
      <w:r>
        <w:rPr>
          <w:rFonts w:ascii="Calibri" w:hAnsi="Calibri" w:eastAsia="Calibri"/>
          <w:i w:val="0"/>
          <w:color w:val="1F2937"/>
          <w:sz w:val="22"/>
        </w:rPr>
        <w:t>Make the operating company capable of onboarding merchants, responding to users and authorities, keeping required evidence, and fulfilling privacy, consumer, tax, and incident obligations every business day.</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LEG-01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approves company Terms, Privacy Notice, seller data terms/DPA, acceptable use, prohibited products, pricing, cancellation, refund, complaint, marketing, cookies/tracking, and AI notices.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 DPO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W6-10 | Approved documents</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MER-01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merchant onboarding/KYB-lite checklist appropriate to the unregulated SaaS model: identity/business details, licence responsibility, prohibited goods, buyer data, tax/invoice responsibility, and support contact.</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 counsel</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W7-11 | Onboarding SOP</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SUP-01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Establish support@orderak.app workflow, ticket categories, privacy/security restriction, response targets, escalation, complaint references, evidence attachment, and quality review.</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Support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W6-11 | Support SOP</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CPA-01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Preserve order, invoice, warranty, refund, seller, communication, and delivery evidence needed for e-commerce complaints; provide clear merchant and Orderak escalation channels.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 product</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W7-12 | Complaint evidence design</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FIN-01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Operate subscription invoicing, settlement, reconciliation, tax evidence, refunds, charge disputes, approval limits, and month-end close. Keep buyer-to-seller funds outside Orderak.</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Finance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W7-13 | Finance runbook</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MSG-01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Classify OTP/security, transactional, legal, support, and marketing messages; approve provider authorization, sender ID, content, consent, suppression, frequency, retention, and incident contacts.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Marketing + DPO + counsel</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W7-12 | Communication matrix</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IR-01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Create 24/7 security contact, business-hours privacy/support coverage, severity matrix, decision authority, notification templates, chain of custody, and post-incident review.</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 DPO + operations</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W8-12 | Incident kit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DSR-01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Train support, engineering, finance, and merchants where relevant on rights requests, deletion, complaints, evidence handling, marketing opt-out, and escalation.</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operations</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W9-14 | Training records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BCP-01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Document provider outage, SMS failure, email failure, cloud failure, payment desync, data restore, compromised credential, malicious release, and manual customer communication runbooks.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 engineering</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W8-14 | Runbook set</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Company-approved bilingual legal and customer documents</w:t>
      </w:r>
    </w:p>
    <w:p>
      <w:pPr>
        <w:keepNext w:val="0"/>
        <w:numPr>
          <w:ilvl w:val="0"/>
          <w:numId w:val="10"/>
        </w:numPr>
        <w:spacing w:before="0" w:after="80" w:line="300" w:lineRule="auto"/>
      </w:pPr>
      <w:r>
        <w:rPr>
          <w:rFonts w:ascii="Calibri" w:hAnsi="Calibri" w:eastAsia="Calibri"/>
          <w:color w:val="1F2937"/>
          <w:sz w:val="22"/>
        </w:rPr>
        <w:t>Seller agreement/DPA and onboarding controls</w:t>
      </w:r>
    </w:p>
    <w:p>
      <w:pPr>
        <w:keepNext w:val="0"/>
        <w:numPr>
          <w:ilvl w:val="0"/>
          <w:numId w:val="10"/>
        </w:numPr>
        <w:spacing w:before="0" w:after="80" w:line="300" w:lineRule="auto"/>
      </w:pPr>
      <w:r>
        <w:rPr>
          <w:rFonts w:ascii="Calibri" w:hAnsi="Calibri" w:eastAsia="Calibri"/>
          <w:color w:val="1F2937"/>
          <w:sz w:val="22"/>
        </w:rPr>
        <w:t>Support, complaint, refund, cancellation, and finance SOPs</w:t>
      </w:r>
    </w:p>
    <w:p>
      <w:pPr>
        <w:keepNext w:val="0"/>
        <w:numPr>
          <w:ilvl w:val="0"/>
          <w:numId w:val="10"/>
        </w:numPr>
        <w:spacing w:before="0" w:after="80" w:line="300" w:lineRule="auto"/>
      </w:pPr>
      <w:r>
        <w:rPr>
          <w:rFonts w:ascii="Calibri" w:hAnsi="Calibri" w:eastAsia="Calibri"/>
          <w:color w:val="1F2937"/>
          <w:sz w:val="22"/>
        </w:rPr>
        <w:t>Communication classification and marketing suppression</w:t>
      </w:r>
    </w:p>
    <w:p>
      <w:pPr>
        <w:keepNext w:val="0"/>
        <w:numPr>
          <w:ilvl w:val="0"/>
          <w:numId w:val="10"/>
        </w:numPr>
        <w:spacing w:before="0" w:after="80" w:line="300" w:lineRule="auto"/>
      </w:pPr>
      <w:r>
        <w:rPr>
          <w:rFonts w:ascii="Calibri" w:hAnsi="Calibri" w:eastAsia="Calibri"/>
          <w:color w:val="1F2937"/>
          <w:sz w:val="22"/>
        </w:rPr>
        <w:t>Incident, authority request, and chain-of-custody kit</w:t>
      </w:r>
    </w:p>
    <w:p>
      <w:pPr>
        <w:keepNext w:val="0"/>
        <w:numPr>
          <w:ilvl w:val="0"/>
          <w:numId w:val="10"/>
        </w:numPr>
        <w:spacing w:before="0" w:after="80" w:line="300" w:lineRule="auto"/>
      </w:pPr>
      <w:r>
        <w:rPr>
          <w:rFonts w:ascii="Calibri" w:hAnsi="Calibri" w:eastAsia="Calibri"/>
          <w:color w:val="1F2937"/>
          <w:sz w:val="22"/>
        </w:rPr>
        <w:t>Business continuity and vendor-outage runbooks</w:t>
      </w:r>
    </w:p>
    <w:p>
      <w:pPr>
        <w:keepNext w:val="0"/>
        <w:numPr>
          <w:ilvl w:val="0"/>
          <w:numId w:val="10"/>
        </w:numPr>
        <w:spacing w:before="0" w:after="80" w:line="300" w:lineRule="auto"/>
      </w:pPr>
      <w:r>
        <w:rPr>
          <w:rFonts w:ascii="Calibri" w:hAnsi="Calibri" w:eastAsia="Calibri"/>
          <w:color w:val="1F2937"/>
          <w:sz w:val="22"/>
        </w:rPr>
        <w:t>Training and competency records</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Operational readiness passes when trained staff can execute each procedure in a production-like exercise without undocumented access, hidden manual steps, or inconsistent user communication.</w:t>
            </w:r>
          </w:p>
        </w:tc>
      </w:tr>
    </w:tbl>
    <w:p>
      <w:pPr>
        <w:spacing w:after="40"/>
      </w:pPr>
    </w:p>
    <w:p>
      <w:pPr>
        <w:pStyle w:val="Heading1"/>
      </w:pPr>
      <w:r>
        <w:t>12. Phase 8 - Technical, security, privacy, and resilience assurance</w:t>
      </w:r>
    </w:p>
    <w:p>
      <w:pPr>
        <w:keepNext/>
        <w:spacing w:before="0" w:after="80" w:line="300" w:lineRule="auto"/>
      </w:pPr>
      <w:r>
        <w:rPr>
          <w:rFonts w:ascii="Calibri" w:hAnsi="Calibri" w:eastAsia="Calibri"/>
          <w:b/>
          <w:i w:val="0"/>
          <w:color w:val="5F6B7A"/>
          <w:sz w:val="21"/>
        </w:rPr>
        <w:t>Timing: Weeks 13-18</w:t>
      </w:r>
    </w:p>
    <w:p>
      <w:pPr>
        <w:keepNext/>
        <w:spacing w:before="0" w:after="160" w:line="300" w:lineRule="auto"/>
      </w:pPr>
      <w:r>
        <w:rPr>
          <w:rFonts w:ascii="Calibri" w:hAnsi="Calibri" w:eastAsia="Calibri"/>
          <w:i w:val="0"/>
          <w:color w:val="1F2937"/>
          <w:sz w:val="22"/>
        </w:rPr>
        <w:t>Prove that RC1 and the production environment behave as documented under normal, hostile, degraded, recovery, and compliance scenarios.</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QA-01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 test scope, architecture/data inputs, production-like environment, roles, severity, SLAs, authorization, and evidence format.</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W13 | Test-readiness record</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QA-02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Execute functional, integration, API contract, offline/network-switch, duplicate/retry, performance/load, device/Android, accessibility, Arabic/RTL, upgrade, reinstall, and regression tests.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 mobile + backend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W13-16 | QA report</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SEC-02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Run SAST, DAST, SCA, secret, mobile, API, container/infrastructure, and cloud configuration scans; triage false positives and assign fixes.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W13-15 | Scan pack</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PEN-01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Commission independent risk-based penetration testing of Android, APIs, authentication/recovery, admin, uploads, business logic, cross-store access, and cloud-facing services; retest fixes.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 external tester</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W14-17 | Pentest/retest</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PRV-02</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Use network and storage inspection to compare actual collection, SDK transmission, countries, logs, retention, consent, policies, ROPA, and Play Data Safety declarations.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QA</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W14-16 | Compliance audit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PRV-03</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Test access, correction, withdrawal, opt-out, seller/buyer deletion, retained exceptions, processor deletion, backup expiry, legal hold, and evidence of completion.</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QA + support</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W14-17 | Rights/deletion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RES-01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Restore D1/R2/configuration/secrets into an isolated environment; measure RPO/RTO and data integrity. Test accidental deletion and primary-region/service failure.</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Cloud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W15-17 | Restore/DR report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SIM-01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Run incident tabletop with CEO, counsel, DPO, security, engineering, support, and communications; test awareness time, 72-hour decision path, evidence, containment, notifications, and recovery.</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lead</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W16-17 | Exercise report</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FND-01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Maintain one defect/finding/risk register with severity, impact, evidence, owner, due date, retest, closure approval, and risk acceptance authority.</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W13-18 | Closed register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EVD-01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Assemble masked evidence for deletion, consent, withdrawal, marketing suppression, pricing, cancellation, refunds, content controls, legal exports, restore, alerts, incident exercise, and release.</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Program + QA</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W15-18 | Evidence pack</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QA and compatibility report</w:t>
      </w:r>
    </w:p>
    <w:p>
      <w:pPr>
        <w:keepNext w:val="0"/>
        <w:numPr>
          <w:ilvl w:val="0"/>
          <w:numId w:val="10"/>
        </w:numPr>
        <w:spacing w:before="0" w:after="80" w:line="300" w:lineRule="auto"/>
      </w:pPr>
      <w:r>
        <w:rPr>
          <w:rFonts w:ascii="Calibri" w:hAnsi="Calibri" w:eastAsia="Calibri"/>
          <w:color w:val="1F2937"/>
          <w:sz w:val="22"/>
        </w:rPr>
        <w:t>Security scan and independent penetration-test reports</w:t>
      </w:r>
    </w:p>
    <w:p>
      <w:pPr>
        <w:keepNext w:val="0"/>
        <w:numPr>
          <w:ilvl w:val="0"/>
          <w:numId w:val="10"/>
        </w:numPr>
        <w:spacing w:before="0" w:after="80" w:line="300" w:lineRule="auto"/>
      </w:pPr>
      <w:r>
        <w:rPr>
          <w:rFonts w:ascii="Calibri" w:hAnsi="Calibri" w:eastAsia="Calibri"/>
          <w:color w:val="1F2937"/>
          <w:sz w:val="22"/>
        </w:rPr>
        <w:t>Cloud/production configuration review</w:t>
      </w:r>
    </w:p>
    <w:p>
      <w:pPr>
        <w:keepNext w:val="0"/>
        <w:numPr>
          <w:ilvl w:val="0"/>
          <w:numId w:val="10"/>
        </w:numPr>
        <w:spacing w:before="0" w:after="80" w:line="300" w:lineRule="auto"/>
      </w:pPr>
      <w:r>
        <w:rPr>
          <w:rFonts w:ascii="Calibri" w:hAnsi="Calibri" w:eastAsia="Calibri"/>
          <w:color w:val="1F2937"/>
          <w:sz w:val="22"/>
        </w:rPr>
        <w:t>Signed privacy and compliance audit</w:t>
      </w:r>
    </w:p>
    <w:p>
      <w:pPr>
        <w:keepNext w:val="0"/>
        <w:numPr>
          <w:ilvl w:val="0"/>
          <w:numId w:val="10"/>
        </w:numPr>
        <w:spacing w:before="0" w:after="80" w:line="300" w:lineRule="auto"/>
      </w:pPr>
      <w:r>
        <w:rPr>
          <w:rFonts w:ascii="Calibri" w:hAnsi="Calibri" w:eastAsia="Calibri"/>
          <w:color w:val="1F2937"/>
          <w:sz w:val="22"/>
        </w:rPr>
        <w:t>Rights, deletion, consent, and retention evidence</w:t>
      </w:r>
    </w:p>
    <w:p>
      <w:pPr>
        <w:keepNext w:val="0"/>
        <w:numPr>
          <w:ilvl w:val="0"/>
          <w:numId w:val="10"/>
        </w:numPr>
        <w:spacing w:before="0" w:after="80" w:line="300" w:lineRule="auto"/>
      </w:pPr>
      <w:r>
        <w:rPr>
          <w:rFonts w:ascii="Calibri" w:hAnsi="Calibri" w:eastAsia="Calibri"/>
          <w:color w:val="1F2937"/>
          <w:sz w:val="22"/>
        </w:rPr>
        <w:t>Restore, disaster recovery, and incident exercise reports</w:t>
      </w:r>
    </w:p>
    <w:p>
      <w:pPr>
        <w:keepNext w:val="0"/>
        <w:numPr>
          <w:ilvl w:val="0"/>
          <w:numId w:val="10"/>
        </w:numPr>
        <w:spacing w:before="0" w:after="80" w:line="300" w:lineRule="auto"/>
      </w:pPr>
      <w:r>
        <w:rPr>
          <w:rFonts w:ascii="Calibri" w:hAnsi="Calibri" w:eastAsia="Calibri"/>
          <w:color w:val="1F2937"/>
          <w:sz w:val="22"/>
        </w:rPr>
        <w:t>Closed defect/finding register</w:t>
      </w:r>
    </w:p>
    <w:p>
      <w:pPr>
        <w:keepNext w:val="0"/>
        <w:numPr>
          <w:ilvl w:val="0"/>
          <w:numId w:val="10"/>
        </w:numPr>
        <w:spacing w:before="0" w:after="80" w:line="300" w:lineRule="auto"/>
      </w:pPr>
      <w:r>
        <w:rPr>
          <w:rFonts w:ascii="Calibri" w:hAnsi="Calibri" w:eastAsia="Calibri"/>
          <w:color w:val="1F2937"/>
          <w:sz w:val="22"/>
        </w:rPr>
        <w:t>Go-live risk register and evidence pack</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G7 passes with no unresolved Critical or High vulnerability or defect, successful restore evidence, policy-to-practice alignment, working user-rights controls, and written approval of any permitted residual Medium/Low risk.</w:t>
            </w:r>
          </w:p>
        </w:tc>
      </w:tr>
    </w:tbl>
    <w:p>
      <w:pPr>
        <w:spacing w:after="40"/>
      </w:pPr>
    </w:p>
    <w:p>
      <w:pPr>
        <w:pStyle w:val="Heading1"/>
      </w:pPr>
      <w:r>
        <w:t>13. Phase 9 - Closed merchant pilot</w:t>
      </w:r>
    </w:p>
    <w:p>
      <w:pPr>
        <w:keepNext/>
        <w:spacing w:before="0" w:after="80" w:line="300" w:lineRule="auto"/>
      </w:pPr>
      <w:r>
        <w:rPr>
          <w:rFonts w:ascii="Calibri" w:hAnsi="Calibri" w:eastAsia="Calibri"/>
          <w:b/>
          <w:i w:val="0"/>
          <w:color w:val="5F6B7A"/>
          <w:sz w:val="21"/>
        </w:rPr>
        <w:t>Timing: Weeks 17-20</w:t>
      </w:r>
    </w:p>
    <w:p>
      <w:pPr>
        <w:keepNext/>
        <w:spacing w:before="0" w:after="160" w:line="300" w:lineRule="auto"/>
      </w:pPr>
      <w:r>
        <w:rPr>
          <w:rFonts w:ascii="Calibri" w:hAnsi="Calibri" w:eastAsia="Calibri"/>
          <w:i w:val="0"/>
          <w:color w:val="1F2937"/>
          <w:sz w:val="22"/>
        </w:rPr>
        <w:t>Validate product value, operational load, merchant onboarding, data accuracy, support, billing choice, and recovery in a controlled production cohort before public exposure.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PIL-01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Recruit a controlled pilot cohort. Recommended starting range: 10-20 Egyptian merchants across the target segment; use written participation terms and privacy information.</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operations</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W16-17 | Pilot roster</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PIL-02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Onboard with approved checklist, verify store/content legality, configure catalogs, test buyer orders, and capture time-to-first-value.</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W17-18 | Onboarding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PIL-03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Keep billing and AI flags in the approved state; do not expose unfinished monetization or unapproved AI/data transfer.</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release</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W17-20 | Flag audit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PIL-04</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Monitor auth success, sync, crashes, API errors, public catalog, buyer orders, support, complaints, deletion, privacy requests, and security alerts daily.</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 engineering</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W17-20 | Daily dashboard</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PIL-05</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Conduct weekly merchant interviews and measure activation, first catalog, first buyer order, repeat usage, willingness to pay, and top blockers.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W17-20 | Pilot report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PIL-06</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Run one live support escalation, one deletion/rights test using authorized test data, one rollback drill, and one restore verification during pilot.</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 operations</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W18-20 | Exercise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PIL-07</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Close pilot defects, revise training/runbooks/policies where behavior changed, and obtain pilot-exit approval.</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Program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W20 | Pilot exit memo</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Signed pilot roster and terms</w:t>
      </w:r>
    </w:p>
    <w:p>
      <w:pPr>
        <w:keepNext w:val="0"/>
        <w:numPr>
          <w:ilvl w:val="0"/>
          <w:numId w:val="10"/>
        </w:numPr>
        <w:spacing w:before="0" w:after="80" w:line="300" w:lineRule="auto"/>
      </w:pPr>
      <w:r>
        <w:rPr>
          <w:rFonts w:ascii="Calibri" w:hAnsi="Calibri" w:eastAsia="Calibri"/>
          <w:color w:val="1F2937"/>
          <w:sz w:val="22"/>
        </w:rPr>
        <w:t>Merchant onboarding and support evidence</w:t>
      </w:r>
    </w:p>
    <w:p>
      <w:pPr>
        <w:keepNext w:val="0"/>
        <w:numPr>
          <w:ilvl w:val="0"/>
          <w:numId w:val="10"/>
        </w:numPr>
        <w:spacing w:before="0" w:after="80" w:line="300" w:lineRule="auto"/>
      </w:pPr>
      <w:r>
        <w:rPr>
          <w:rFonts w:ascii="Calibri" w:hAnsi="Calibri" w:eastAsia="Calibri"/>
          <w:color w:val="1F2937"/>
          <w:sz w:val="22"/>
        </w:rPr>
        <w:t>Pilot KPI and interview report</w:t>
      </w:r>
    </w:p>
    <w:p>
      <w:pPr>
        <w:keepNext w:val="0"/>
        <w:numPr>
          <w:ilvl w:val="0"/>
          <w:numId w:val="10"/>
        </w:numPr>
        <w:spacing w:before="0" w:after="80" w:line="300" w:lineRule="auto"/>
      </w:pPr>
      <w:r>
        <w:rPr>
          <w:rFonts w:ascii="Calibri" w:hAnsi="Calibri" w:eastAsia="Calibri"/>
          <w:color w:val="1F2937"/>
          <w:sz w:val="22"/>
        </w:rPr>
        <w:t>Daily operational and security dashboard</w:t>
      </w:r>
    </w:p>
    <w:p>
      <w:pPr>
        <w:keepNext w:val="0"/>
        <w:numPr>
          <w:ilvl w:val="0"/>
          <w:numId w:val="10"/>
        </w:numPr>
        <w:spacing w:before="0" w:after="80" w:line="300" w:lineRule="auto"/>
      </w:pPr>
      <w:r>
        <w:rPr>
          <w:rFonts w:ascii="Calibri" w:hAnsi="Calibri" w:eastAsia="Calibri"/>
          <w:color w:val="1F2937"/>
          <w:sz w:val="22"/>
        </w:rPr>
        <w:t>Rollback, rights/deletion, and restore evidence</w:t>
      </w:r>
    </w:p>
    <w:p>
      <w:pPr>
        <w:keepNext w:val="0"/>
        <w:numPr>
          <w:ilvl w:val="0"/>
          <w:numId w:val="10"/>
        </w:numPr>
        <w:spacing w:before="0" w:after="80" w:line="300" w:lineRule="auto"/>
      </w:pPr>
      <w:r>
        <w:rPr>
          <w:rFonts w:ascii="Calibri" w:hAnsi="Calibri" w:eastAsia="Calibri"/>
          <w:color w:val="1F2937"/>
          <w:sz w:val="22"/>
        </w:rPr>
        <w:t>Closed pilot defect register</w:t>
      </w:r>
    </w:p>
    <w:p>
      <w:pPr>
        <w:keepNext w:val="0"/>
        <w:numPr>
          <w:ilvl w:val="0"/>
          <w:numId w:val="10"/>
        </w:numPr>
        <w:spacing w:before="0" w:after="80" w:line="300" w:lineRule="auto"/>
      </w:pPr>
      <w:r>
        <w:rPr>
          <w:rFonts w:ascii="Calibri" w:hAnsi="Calibri" w:eastAsia="Calibri"/>
          <w:color w:val="1F2937"/>
          <w:sz w:val="22"/>
        </w:rPr>
        <w:t>Pilot exit decision</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G8 passes when the pilot shows acceptable product value and stable operations, no material policy mismatch or uncontrolled incident, and all release-blocking findings are closed.</w:t>
            </w:r>
          </w:p>
        </w:tc>
      </w:tr>
    </w:tbl>
    <w:p>
      <w:pPr>
        <w:spacing w:after="40"/>
      </w:pPr>
    </w:p>
    <w:p>
      <w:pPr>
        <w:pStyle w:val="Heading1"/>
      </w:pPr>
      <w:r>
        <w:t>14. Phase 10 - Google Play submission and staged rollout</w:t>
      </w:r>
    </w:p>
    <w:p>
      <w:pPr>
        <w:keepNext/>
        <w:spacing w:before="0" w:after="80" w:line="300" w:lineRule="auto"/>
      </w:pPr>
      <w:r>
        <w:rPr>
          <w:rFonts w:ascii="Calibri" w:hAnsi="Calibri" w:eastAsia="Calibri"/>
          <w:b/>
          <w:i w:val="0"/>
          <w:color w:val="5F6B7A"/>
          <w:sz w:val="21"/>
        </w:rPr>
        <w:t>Timing: Weeks 19-22</w:t>
      </w:r>
    </w:p>
    <w:p>
      <w:pPr>
        <w:keepNext/>
        <w:spacing w:before="0" w:after="160" w:line="300" w:lineRule="auto"/>
      </w:pPr>
      <w:r>
        <w:rPr>
          <w:rFonts w:ascii="Calibri" w:hAnsi="Calibri" w:eastAsia="Calibri"/>
          <w:i w:val="0"/>
          <w:color w:val="1F2937"/>
          <w:sz w:val="22"/>
        </w:rPr>
        <w:t>Submit a company-owned, policy-consistent release and expand exposure only while agreed reliability, support, security, and compliance thresholds remain healthy.</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PLAY-01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Verify Organization developer account identity, company name/address/website/phone, two admins, recovery, permissions, and official account ownership.</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 operations</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W19 | Account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PLAY-02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Configure Play App Signing and upload key; register release/upload and Play signing SHA-1/SHA-256 with production Firebase; archive recovery procedure.</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 mobile</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W19 | Signing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PLAY-03</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Confirm API 36, app bundle, versioning, device support, content rating, target audience, store category, ads, pricing, subscriptions, and current testing eligibility requirements in Play Console.</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 product</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W19-20 | Console checklist</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PLAY-04</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Complete Data Safety from the final build, SDK/vendor inventory, public catalog, authentication, buyer/seller data, AI state, deletion, encryption, and transfer map.</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mobile</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W19-20 | Signed Data Safety</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PLAY-05</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Provide current privacy policy and functional account-deletion web link; verify in-app path, post-uninstall path, company/DPO identity, retention exceptions, and support flow.</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QA</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W19-20 | Link/test evidence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PLAY-06</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Review merged manifest and sensitive permissions. Orderak currently needs INTERNET only; remove or justify anything introduced by dependencies. Recheck 28 October 2026 contacts/location policy if future versions add them.</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 DPO</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W20 | Permission declaration</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PLAY-07</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Prepare Arabic/English store listing, screenshots, support contacts, release notes, privacy URLs, testing credentials, reviewer instructions, and policy-response owner.</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Growth + release</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W20 | Store package</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ROL-01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Use internal/closed testing, then staged production at 5%, 20%, 50%, and 100% only after observation windows and sign-off. Define crash, auth, API, security, support, and refund rollback thresholds.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 risk owner</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W21-22 | Rollout records</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Verified Organization Play account</w:t>
      </w:r>
    </w:p>
    <w:p>
      <w:pPr>
        <w:keepNext w:val="0"/>
        <w:numPr>
          <w:ilvl w:val="0"/>
          <w:numId w:val="10"/>
        </w:numPr>
        <w:spacing w:before="0" w:after="80" w:line="300" w:lineRule="auto"/>
      </w:pPr>
      <w:r>
        <w:rPr>
          <w:rFonts w:ascii="Calibri" w:hAnsi="Calibri" w:eastAsia="Calibri"/>
          <w:color w:val="1F2937"/>
          <w:sz w:val="22"/>
        </w:rPr>
        <w:t>Company-controlled signing and Firebase fingerprints</w:t>
      </w:r>
    </w:p>
    <w:p>
      <w:pPr>
        <w:keepNext w:val="0"/>
        <w:numPr>
          <w:ilvl w:val="0"/>
          <w:numId w:val="10"/>
        </w:numPr>
        <w:spacing w:before="0" w:after="80" w:line="300" w:lineRule="auto"/>
      </w:pPr>
      <w:r>
        <w:rPr>
          <w:rFonts w:ascii="Calibri" w:hAnsi="Calibri" w:eastAsia="Calibri"/>
          <w:color w:val="1F2937"/>
          <w:sz w:val="22"/>
        </w:rPr>
        <w:t>API 36 production App Bundle</w:t>
      </w:r>
    </w:p>
    <w:p>
      <w:pPr>
        <w:keepNext w:val="0"/>
        <w:numPr>
          <w:ilvl w:val="0"/>
          <w:numId w:val="10"/>
        </w:numPr>
        <w:spacing w:before="0" w:after="80" w:line="300" w:lineRule="auto"/>
      </w:pPr>
      <w:r>
        <w:rPr>
          <w:rFonts w:ascii="Calibri" w:hAnsi="Calibri" w:eastAsia="Calibri"/>
          <w:color w:val="1F2937"/>
          <w:sz w:val="22"/>
        </w:rPr>
        <w:t>Approved Data Safety and app-content declarations</w:t>
      </w:r>
    </w:p>
    <w:p>
      <w:pPr>
        <w:keepNext w:val="0"/>
        <w:numPr>
          <w:ilvl w:val="0"/>
          <w:numId w:val="10"/>
        </w:numPr>
        <w:spacing w:before="0" w:after="80" w:line="300" w:lineRule="auto"/>
      </w:pPr>
      <w:r>
        <w:rPr>
          <w:rFonts w:ascii="Calibri" w:hAnsi="Calibri" w:eastAsia="Calibri"/>
          <w:color w:val="1F2937"/>
          <w:sz w:val="22"/>
        </w:rPr>
        <w:t>Privacy/deletion/store listing package</w:t>
      </w:r>
    </w:p>
    <w:p>
      <w:pPr>
        <w:keepNext w:val="0"/>
        <w:numPr>
          <w:ilvl w:val="0"/>
          <w:numId w:val="10"/>
        </w:numPr>
        <w:spacing w:before="0" w:after="80" w:line="300" w:lineRule="auto"/>
      </w:pPr>
      <w:r>
        <w:rPr>
          <w:rFonts w:ascii="Calibri" w:hAnsi="Calibri" w:eastAsia="Calibri"/>
          <w:color w:val="1F2937"/>
          <w:sz w:val="22"/>
        </w:rPr>
        <w:t>Reviewer credentials and submission record</w:t>
      </w:r>
    </w:p>
    <w:p>
      <w:pPr>
        <w:keepNext w:val="0"/>
        <w:numPr>
          <w:ilvl w:val="0"/>
          <w:numId w:val="10"/>
        </w:numPr>
        <w:spacing w:before="0" w:after="80" w:line="300" w:lineRule="auto"/>
      </w:pPr>
      <w:r>
        <w:rPr>
          <w:rFonts w:ascii="Calibri" w:hAnsi="Calibri" w:eastAsia="Calibri"/>
          <w:color w:val="1F2937"/>
          <w:sz w:val="22"/>
        </w:rPr>
        <w:t>Staged rollout and rollback plan</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G9 passes when Play accepts the release, the final declarations match the binary and production behavior, and the executive risk owner authorizes the first production cohort.</w:t>
            </w:r>
          </w:p>
        </w:tc>
      </w:tr>
    </w:tbl>
    <w:p>
      <w:pPr>
        <w:spacing w:after="40"/>
      </w:pPr>
    </w:p>
    <w:p>
      <w:pPr>
        <w:pStyle w:val="Heading1"/>
      </w:pPr>
      <w:r>
        <w:t>15. Phase 11 - General availability, hypercare, and controlled scale</w:t>
      </w:r>
    </w:p>
    <w:p>
      <w:pPr>
        <w:keepNext/>
        <w:spacing w:before="0" w:after="80" w:line="300" w:lineRule="auto"/>
      </w:pPr>
      <w:r>
        <w:rPr>
          <w:rFonts w:ascii="Calibri" w:hAnsi="Calibri" w:eastAsia="Calibri"/>
          <w:b/>
          <w:i w:val="0"/>
          <w:color w:val="5F6B7A"/>
          <w:sz w:val="21"/>
        </w:rPr>
        <w:t>Timing: Weeks 23-24 and ongoing</w:t>
      </w:r>
    </w:p>
    <w:p>
      <w:pPr>
        <w:keepNext/>
        <w:spacing w:before="0" w:after="160" w:line="300" w:lineRule="auto"/>
      </w:pPr>
      <w:r>
        <w:rPr>
          <w:rFonts w:ascii="Calibri" w:hAnsi="Calibri" w:eastAsia="Calibri"/>
          <w:i w:val="0"/>
          <w:color w:val="1F2937"/>
          <w:sz w:val="22"/>
        </w:rPr>
        <w:t>Move from controlled rollout to general availability only after a signed Go decision, then operate a 14-day hypercare period and institutionalize recurring compliance, tax, security, and product governance.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850"/>
        <w:gridCol w:w="4700"/>
        <w:gridCol w:w="1550"/>
        <w:gridCol w:w="2260"/>
      </w:tblGrid>
      <w:tr>
        <w:trPr>
          <w:tblHeader w:val="true"/>
          <w:cantSplit/>
        </w:trPr>
        <w:tc>
          <w:tcPr>
            <w:tcW w:type="dxa" w:w="8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4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Action and dependency</w:t>
            </w:r>
          </w:p>
        </w:tc>
        <w:tc>
          <w:tcPr>
            <w:tcW w:type="dxa" w:w="1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Accountable owner</w:t>
            </w:r>
          </w:p>
        </w:tc>
        <w:tc>
          <w:tcPr>
            <w:tcW w:type="dxa" w:w="22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Timing and exit evidence</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Conduct final Go/Conditional Go/No-Go meeting with release version, evidence pack, licences/permits, residual risks, rollback authority, dates, and signatures.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Executive risk owner</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W23 | Signed decision</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Complete staged rollout to 100% only when monitoring remains within thresholds and no material privacy, security, billing, or support issue appears.</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manager</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W23-24 | Rollout approvals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HC-01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Run 14-day hypercare with daily engineering/operations/security review, same-day severity triage, rapid rollback, merchant communication, and defect ownership.</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Operations lead</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W23-24 | Hypercare log</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OPS-01</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Move registers, runbooks, alerts, vendor renewals, tax filings, user-rights queues, deletion, support, and access reviews into named business-as-usual ownership.</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COO / operations</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W24 | BAU handoff</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REV-01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Review data map, vendors/SDKs, transfer countries, retention jobs, deletion evidence, privileged access, policies, Play declarations, and incidents quarterly.</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CTO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Quarterly | Review minutes</w:t>
            </w:r>
          </w:p>
        </w:tc>
      </w:tr>
      <w:tr>
        <w:trPr>
          <w:cantSplit/>
        </w:trPr>
        <w:tc>
          <w:tcPr>
            <w:tcW w:type="dxa" w:w="8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REV-02</w:t>
            </w:r>
          </w:p>
        </w:tc>
        <w:tc>
          <w:tcPr>
            <w:tcW w:type="dxa" w:w="4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Exercise incident response and disaster recovery at least annually; penetration test based on risk and material change; maintain Android/API policy watch.</w:t>
            </w:r>
          </w:p>
        </w:tc>
        <w:tc>
          <w:tcPr>
            <w:tcW w:type="dxa" w:w="1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 + cloud + mobile</w:t>
            </w:r>
          </w:p>
        </w:tc>
        <w:tc>
          <w:tcPr>
            <w:tcW w:type="dxa" w:w="22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Annual/change-triggered | Test reports</w:t>
            </w:r>
          </w:p>
        </w:tc>
      </w:tr>
      <w:tr>
        <w:trPr>
          <w:cantSplit/>
        </w:trPr>
        <w:tc>
          <w:tcPr>
            <w:tcW w:type="dxa" w:w="8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SCL-01</w:t>
            </w:r>
          </w:p>
        </w:tc>
        <w:tc>
          <w:tcPr>
            <w:tcW w:type="dxa" w:w="4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Require fresh business, legal, privacy, security, Data Safety, and operational review before adding payments custody, lending, insurance, transport, health, minors, broad contacts/location, advertising, or new countries.</w:t>
            </w:r>
          </w:p>
        </w:tc>
        <w:tc>
          <w:tcPr>
            <w:tcW w:type="dxa" w:w="15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 counsel + DPO</w:t>
            </w:r>
          </w:p>
        </w:tc>
        <w:tc>
          <w:tcPr>
            <w:tcW w:type="dxa" w:w="22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Before change | Approved change</w:t>
            </w:r>
          </w:p>
        </w:tc>
      </w:tr>
    </w:tbl>
    <w:p>
      <w:pPr>
        <w:spacing w:after="40"/>
      </w:pPr>
    </w:p>
    <w:p>
      <w:pPr>
        <w:pStyle w:val="Heading2"/>
      </w:pPr>
      <w:r>
        <w:t>Required deliverables</w:t>
      </w:r>
    </w:p>
    <w:p>
      <w:pPr>
        <w:keepNext w:val="0"/>
        <w:numPr>
          <w:ilvl w:val="0"/>
          <w:numId w:val="10"/>
        </w:numPr>
        <w:spacing w:before="0" w:after="80" w:line="300" w:lineRule="auto"/>
      </w:pPr>
      <w:r>
        <w:rPr>
          <w:rFonts w:ascii="Calibri" w:hAnsi="Calibri" w:eastAsia="Calibri"/>
          <w:color w:val="1F2937"/>
          <w:sz w:val="22"/>
        </w:rPr>
        <w:t>Signed final go-live record</w:t>
      </w:r>
    </w:p>
    <w:p>
      <w:pPr>
        <w:keepNext w:val="0"/>
        <w:numPr>
          <w:ilvl w:val="0"/>
          <w:numId w:val="10"/>
        </w:numPr>
        <w:spacing w:before="0" w:after="80" w:line="300" w:lineRule="auto"/>
      </w:pPr>
      <w:r>
        <w:rPr>
          <w:rFonts w:ascii="Calibri" w:hAnsi="Calibri" w:eastAsia="Calibri"/>
          <w:color w:val="1F2937"/>
          <w:sz w:val="22"/>
        </w:rPr>
        <w:t>Staged rollout and hypercare reports</w:t>
      </w:r>
    </w:p>
    <w:p>
      <w:pPr>
        <w:keepNext w:val="0"/>
        <w:numPr>
          <w:ilvl w:val="0"/>
          <w:numId w:val="10"/>
        </w:numPr>
        <w:spacing w:before="0" w:after="80" w:line="300" w:lineRule="auto"/>
      </w:pPr>
      <w:r>
        <w:rPr>
          <w:rFonts w:ascii="Calibri" w:hAnsi="Calibri" w:eastAsia="Calibri"/>
          <w:color w:val="1F2937"/>
          <w:sz w:val="22"/>
        </w:rPr>
        <w:t>Business-as-usual ownership matrix</w:t>
      </w:r>
    </w:p>
    <w:p>
      <w:pPr>
        <w:keepNext w:val="0"/>
        <w:numPr>
          <w:ilvl w:val="0"/>
          <w:numId w:val="10"/>
        </w:numPr>
        <w:spacing w:before="0" w:after="80" w:line="300" w:lineRule="auto"/>
      </w:pPr>
      <w:r>
        <w:rPr>
          <w:rFonts w:ascii="Calibri" w:hAnsi="Calibri" w:eastAsia="Calibri"/>
          <w:color w:val="1F2937"/>
          <w:sz w:val="22"/>
        </w:rPr>
        <w:t>Recurring compliance, tax, security, Android, and vendor calendar</w:t>
      </w:r>
    </w:p>
    <w:p>
      <w:pPr>
        <w:keepNext w:val="0"/>
        <w:numPr>
          <w:ilvl w:val="0"/>
          <w:numId w:val="10"/>
        </w:numPr>
        <w:spacing w:before="0" w:after="80" w:line="300" w:lineRule="auto"/>
      </w:pPr>
      <w:r>
        <w:rPr>
          <w:rFonts w:ascii="Calibri" w:hAnsi="Calibri" w:eastAsia="Calibri"/>
          <w:color w:val="1F2937"/>
          <w:sz w:val="22"/>
        </w:rPr>
        <w:t>Post-launch improvement backlog and approved scale criteria</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Exit gate: </w:t>
            </w:r>
            <w:r>
              <w:rPr>
                <w:rFonts w:ascii="Calibri" w:hAnsi="Calibri" w:eastAsia="Calibri"/>
                <w:color w:val="1F2937"/>
                <w:sz w:val="21"/>
              </w:rPr>
              <w:t>G10/GA passes only with signed approval from business, counsel, DPO, product, engineering, security, QA, cloud, operations, finance, and release owners; lack of a required signature is a No-Go.</w:t>
            </w:r>
          </w:p>
        </w:tc>
      </w:tr>
    </w:tbl>
    <w:p>
      <w:pPr>
        <w:spacing w:after="40"/>
      </w:pPr>
    </w:p>
    <w:p>
      <w:pPr>
        <w:pStyle w:val="Heading1"/>
      </w:pPr>
      <w:r>
        <w:t>16. Governance, accountability, and operating cadence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2550"/>
        <w:gridCol w:w="6810"/>
      </w:tblGrid>
      <w:tr>
        <w:trPr>
          <w:tblHeader w:val="true"/>
          <w:cantSplit/>
        </w:trPr>
        <w:tc>
          <w:tcPr>
            <w:tcW w:type="dxa" w:w="25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Role</w:t>
            </w:r>
          </w:p>
        </w:tc>
        <w:tc>
          <w:tcPr>
            <w:tcW w:type="dxa" w:w="681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Accountability</w:t>
            </w:r>
          </w:p>
        </w:tc>
      </w:tr>
      <w:tr>
        <w:trPr>
          <w:cantSplit/>
        </w:trPr>
        <w:tc>
          <w:tcPr>
            <w:tcW w:type="dxa" w:w="25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Founder / CEO / Executive risk owner</w:t>
            </w:r>
          </w:p>
        </w:tc>
        <w:tc>
          <w:tcPr>
            <w:tcW w:type="dxa" w:w="6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funding, legal-form choice, operating model, risk appetite, regulated-feature prohibition, and final Go/No-Go.</w:t>
            </w:r>
          </w:p>
        </w:tc>
      </w:tr>
      <w:tr>
        <w:trPr>
          <w:cantSplit/>
        </w:trPr>
        <w:tc>
          <w:tcPr>
            <w:tcW w:type="dxa" w:w="2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Program / implementation lead</w:t>
            </w:r>
          </w:p>
        </w:tc>
        <w:tc>
          <w:tcPr>
            <w:tcW w:type="dxa" w:w="6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integrated plan, dependencies, dashboard, evidence repository, meeting cadence, risks, findings, and gate packs.</w:t>
            </w:r>
          </w:p>
        </w:tc>
      </w:tr>
      <w:tr>
        <w:trPr>
          <w:cantSplit/>
        </w:trPr>
        <w:tc>
          <w:tcPr>
            <w:tcW w:type="dxa" w:w="25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Egyptian legal counsel</w:t>
            </w:r>
          </w:p>
        </w:tc>
        <w:tc>
          <w:tcPr>
            <w:tcW w:type="dxa" w:w="6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legal classification, licences/permits, company/contracts, Law 175/2018, payment/telecom/consumer conclusions, and sign-off.</w:t>
            </w:r>
          </w:p>
        </w:tc>
      </w:tr>
      <w:tr>
        <w:trPr>
          <w:cantSplit/>
        </w:trPr>
        <w:tc>
          <w:tcPr>
            <w:tcW w:type="dxa" w:w="2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DPO / privacy lead</w:t>
            </w:r>
          </w:p>
        </w:tc>
        <w:tc>
          <w:tcPr>
            <w:tcW w:type="dxa" w:w="6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PDPC registration/appointment, ROPA, lawful basis, transfers, notices, rights, consent, retention, incidents, complaints, and annual reporting.</w:t>
            </w:r>
          </w:p>
        </w:tc>
      </w:tr>
      <w:tr>
        <w:trPr>
          <w:cantSplit/>
        </w:trPr>
        <w:tc>
          <w:tcPr>
            <w:tcW w:type="dxa" w:w="25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Accountant / finance lead</w:t>
            </w:r>
          </w:p>
        </w:tc>
        <w:tc>
          <w:tcPr>
            <w:tcW w:type="dxa" w:w="6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tax registration, VAT, e-invoice/e-receipt, e-seal, accounting, bank controls, subscription billing, reconciliation, and filings.</w:t>
            </w:r>
          </w:p>
        </w:tc>
      </w:tr>
      <w:tr>
        <w:trPr>
          <w:cantSplit/>
        </w:trPr>
        <w:tc>
          <w:tcPr>
            <w:tcW w:type="dxa" w:w="2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Product owner</w:t>
            </w:r>
          </w:p>
        </w:tc>
        <w:tc>
          <w:tcPr>
            <w:tcW w:type="dxa" w:w="6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market validation, PRD, role/journey/billing decisions, acceptance criteria, feature flags, pilot, and product metrics.</w:t>
            </w:r>
          </w:p>
        </w:tc>
      </w:tr>
      <w:tr>
        <w:trPr>
          <w:cantSplit/>
        </w:trPr>
        <w:tc>
          <w:tcPr>
            <w:tcW w:type="dxa" w:w="25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CTO / engineering lead</w:t>
            </w:r>
          </w:p>
        </w:tc>
        <w:tc>
          <w:tcPr>
            <w:tcW w:type="dxa" w:w="6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architecture, implementation, code review, documentation, environments, migrations, vendors, and technical readiness.</w:t>
            </w:r>
          </w:p>
        </w:tc>
      </w:tr>
      <w:tr>
        <w:trPr>
          <w:cantSplit/>
        </w:trPr>
        <w:tc>
          <w:tcPr>
            <w:tcW w:type="dxa" w:w="2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Security lead</w:t>
            </w:r>
          </w:p>
        </w:tc>
        <w:tc>
          <w:tcPr>
            <w:tcW w:type="dxa" w:w="6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threat model, security controls, scans, penetration testing, incident response, access review, evidence, and security sign-off.</w:t>
            </w:r>
          </w:p>
        </w:tc>
      </w:tr>
      <w:tr>
        <w:trPr>
          <w:cantSplit/>
        </w:trPr>
        <w:tc>
          <w:tcPr>
            <w:tcW w:type="dxa" w:w="25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QA / release manager</w:t>
            </w:r>
          </w:p>
        </w:tc>
        <w:tc>
          <w:tcPr>
            <w:tcW w:type="dxa" w:w="6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test strategy, compatibility, findings, retest, release candidate, Play submission, signing, staged rollout, and rollback.</w:t>
            </w:r>
          </w:p>
        </w:tc>
      </w:tr>
      <w:tr>
        <w:trPr>
          <w:cantSplit/>
        </w:trPr>
        <w:tc>
          <w:tcPr>
            <w:tcW w:type="dxa" w:w="25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Cloud / operations lead</w:t>
            </w:r>
          </w:p>
        </w:tc>
        <w:tc>
          <w:tcPr>
            <w:tcW w:type="dxa" w:w="68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Cloudflare/Firebase/email environment, backups, restore, monitoring, on-call, business continuity, access, and runbooks.</w:t>
            </w:r>
          </w:p>
        </w:tc>
      </w:tr>
      <w:tr>
        <w:trPr>
          <w:cantSplit/>
        </w:trPr>
        <w:tc>
          <w:tcPr>
            <w:tcW w:type="dxa" w:w="255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Support / trust lead</w:t>
            </w:r>
          </w:p>
        </w:tc>
        <w:tc>
          <w:tcPr>
            <w:tcW w:type="dxa" w:w="68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Owns merchant onboarding, tickets, complaints, prohibited content, reports/appeals, privacy request routing, and service communications.</w:t>
            </w:r>
          </w:p>
        </w:tc>
      </w:tr>
    </w:tbl>
    <w:p>
      <w:pPr>
        <w:spacing w:after="40"/>
      </w:pPr>
    </w:p>
    <w:p>
      <w:pPr>
        <w:pStyle w:val="Heading2"/>
      </w:pPr>
      <w:r>
        <w:t>Gate approval matrix</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1700"/>
        <w:gridCol w:w="2700"/>
        <w:gridCol w:w="4960"/>
      </w:tblGrid>
      <w:tr>
        <w:trPr>
          <w:tblHeader w:val="true"/>
          <w:cantSplit/>
        </w:trPr>
        <w:tc>
          <w:tcPr>
            <w:tcW w:type="dxa" w:w="1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Gate</w:t>
            </w:r>
          </w:p>
        </w:tc>
        <w:tc>
          <w:tcPr>
            <w:tcW w:type="dxa" w:w="2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Required approvers</w:t>
            </w:r>
          </w:p>
        </w:tc>
        <w:tc>
          <w:tcPr>
            <w:tcW w:type="dxa" w:w="49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Minimum evidence</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G0 Mobilized</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program lead</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Charter, owners, evidence repository, freeze rules</w:t>
            </w:r>
          </w:p>
        </w:tc>
      </w:tr>
      <w:tr>
        <w:trPr>
          <w:cantSplit/>
        </w:trPr>
        <w:tc>
          <w:tcPr>
            <w:tcW w:type="dxa" w:w="1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G1 Lawful model</w:t>
            </w:r>
          </w:p>
        </w:tc>
        <w:tc>
          <w:tcPr>
            <w:tcW w:type="dxa" w:w="2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counsel, product</w:t>
            </w:r>
          </w:p>
        </w:tc>
        <w:tc>
          <w:tcPr>
            <w:tcW w:type="dxa" w:w="4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Activity classification, no-go features, validation evidence</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G2 Company ready</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CEO, counsel, accountant</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Entity, tax, bank, IP, contracts, account ownership</w:t>
            </w:r>
          </w:p>
        </w:tc>
      </w:tr>
      <w:tr>
        <w:trPr>
          <w:cantSplit/>
        </w:trPr>
        <w:tc>
          <w:tcPr>
            <w:tcW w:type="dxa" w:w="1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G3 Privacy/transfer</w:t>
            </w:r>
          </w:p>
        </w:tc>
        <w:tc>
          <w:tcPr>
            <w:tcW w:type="dxa" w:w="2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Counsel, DPO, CTO, security, CEO</w:t>
            </w:r>
          </w:p>
        </w:tc>
        <w:tc>
          <w:tcPr>
            <w:tcW w:type="dxa" w:w="4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licences/permits, ROPA, transfer/hosting, retention, DPAs</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G4 Scope frozen</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counsel, DPO, security, finance</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PRD, billing, roles, data, acceptance criteria</w:t>
            </w:r>
          </w:p>
        </w:tc>
      </w:tr>
      <w:tr>
        <w:trPr>
          <w:cantSplit/>
        </w:trPr>
        <w:tc>
          <w:tcPr>
            <w:tcW w:type="dxa" w:w="1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G5 Platform ready</w:t>
            </w:r>
          </w:p>
        </w:tc>
        <w:tc>
          <w:tcPr>
            <w:tcW w:type="dxa" w:w="2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CTO, security, DPO, cloud</w:t>
            </w:r>
          </w:p>
        </w:tc>
        <w:tc>
          <w:tcPr>
            <w:tcW w:type="dxa" w:w="4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Architecture, environments, access, pipeline, restore, monitoring</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G6 RC ready</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engineering, QA, operations</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Traceability, automated gates, runbooks, RC1</w:t>
            </w:r>
          </w:p>
        </w:tc>
      </w:tr>
      <w:tr>
        <w:trPr>
          <w:cantSplit/>
        </w:trPr>
        <w:tc>
          <w:tcPr>
            <w:tcW w:type="dxa" w:w="1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G7 Assurance</w:t>
            </w:r>
          </w:p>
        </w:tc>
        <w:tc>
          <w:tcPr>
            <w:tcW w:type="dxa" w:w="2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security, DPO, counsel, cloud</w:t>
            </w:r>
          </w:p>
        </w:tc>
        <w:tc>
          <w:tcPr>
            <w:tcW w:type="dxa" w:w="4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QA, pentest, compliance audit, restore, incident, findings</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G8 Pilot exit</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operations, security, DPO, CEO</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Pilot metrics, incidents, support, defects, demand</w:t>
            </w:r>
          </w:p>
        </w:tc>
      </w:tr>
      <w:tr>
        <w:trPr>
          <w:cantSplit/>
        </w:trPr>
        <w:tc>
          <w:tcPr>
            <w:tcW w:type="dxa" w:w="1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G9 Play release</w:t>
            </w:r>
          </w:p>
        </w:tc>
        <w:tc>
          <w:tcPr>
            <w:tcW w:type="dxa" w:w="2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mobile, DPO, legal, CEO</w:t>
            </w:r>
          </w:p>
        </w:tc>
        <w:tc>
          <w:tcPr>
            <w:tcW w:type="dxa" w:w="4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API 36, signing, Data Safety, deletion, listing, Play approval</w:t>
            </w:r>
          </w:p>
        </w:tc>
      </w:tr>
      <w:tr>
        <w:trPr>
          <w:cantSplit/>
        </w:trPr>
        <w:tc>
          <w:tcPr>
            <w:tcW w:type="dxa" w:w="1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G10 General availability</w:t>
            </w:r>
          </w:p>
        </w:tc>
        <w:tc>
          <w:tcPr>
            <w:tcW w:type="dxa" w:w="27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All accountable signatories</w:t>
            </w:r>
          </w:p>
        </w:tc>
        <w:tc>
          <w:tcPr>
            <w:tcW w:type="dxa" w:w="4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Final evidence pack, residual risks, rollback, hypercare</w:t>
            </w:r>
          </w:p>
        </w:tc>
      </w:tr>
    </w:tbl>
    <w:p>
      <w:pPr>
        <w:spacing w:after="40"/>
      </w:pPr>
    </w:p>
    <w:p>
      <w:pPr>
        <w:pStyle w:val="Heading2"/>
      </w:pPr>
      <w:r>
        <w:t>Operating cadence</w:t>
      </w:r>
    </w:p>
    <w:p>
      <w:pPr>
        <w:keepNext w:val="0"/>
        <w:numPr>
          <w:ilvl w:val="0"/>
          <w:numId w:val="10"/>
        </w:numPr>
        <w:spacing w:before="0" w:after="80" w:line="300" w:lineRule="auto"/>
      </w:pPr>
      <w:r>
        <w:rPr>
          <w:rFonts w:ascii="Calibri" w:hAnsi="Calibri" w:eastAsia="Calibri"/>
          <w:color w:val="1F2937"/>
          <w:sz w:val="22"/>
        </w:rPr>
        <w:t>Daily during build/pilot/hypercare: engineering and operations blockers, incidents, release health, and high-severity findings.</w:t>
      </w:r>
    </w:p>
    <w:p>
      <w:pPr>
        <w:keepNext w:val="0"/>
        <w:numPr>
          <w:ilvl w:val="0"/>
          <w:numId w:val="10"/>
        </w:numPr>
        <w:spacing w:before="0" w:after="80" w:line="300" w:lineRule="auto"/>
      </w:pPr>
      <w:r>
        <w:rPr>
          <w:rFonts w:ascii="Calibri" w:hAnsi="Calibri" w:eastAsia="Calibri"/>
          <w:color w:val="1F2937"/>
          <w:sz w:val="22"/>
        </w:rPr>
        <w:t>Weekly: integrated roadmap, critical path, budget/procurement, decisions, risks, vendor status, and evidence completeness.</w:t>
      </w:r>
    </w:p>
    <w:p>
      <w:pPr>
        <w:keepNext w:val="0"/>
        <w:numPr>
          <w:ilvl w:val="0"/>
          <w:numId w:val="10"/>
        </w:numPr>
        <w:spacing w:before="0" w:after="80" w:line="300" w:lineRule="auto"/>
      </w:pPr>
      <w:r>
        <w:rPr>
          <w:rFonts w:ascii="Calibri" w:hAnsi="Calibri" w:eastAsia="Calibri"/>
          <w:color w:val="1F2937"/>
          <w:sz w:val="22"/>
        </w:rPr>
        <w:t>Fortnightly: product/privacy/security design authority for new data, permissions, SDKs, AI, billing, and architecture changes.</w:t>
      </w:r>
    </w:p>
    <w:p>
      <w:pPr>
        <w:keepNext w:val="0"/>
        <w:numPr>
          <w:ilvl w:val="0"/>
          <w:numId w:val="10"/>
        </w:numPr>
        <w:spacing w:before="0" w:after="80" w:line="300" w:lineRule="auto"/>
      </w:pPr>
      <w:r>
        <w:rPr>
          <w:rFonts w:ascii="Calibri" w:hAnsi="Calibri" w:eastAsia="Calibri"/>
          <w:color w:val="1F2937"/>
          <w:sz w:val="22"/>
        </w:rPr>
        <w:t>Monthly: executive risk and compliance committee; approve residual risk, regulator/vendor delay response, and scope/date changes.</w:t>
      </w:r>
    </w:p>
    <w:p>
      <w:pPr>
        <w:keepNext w:val="0"/>
        <w:numPr>
          <w:ilvl w:val="0"/>
          <w:numId w:val="10"/>
        </w:numPr>
        <w:spacing w:before="0" w:after="80" w:line="300" w:lineRule="auto"/>
      </w:pPr>
      <w:r>
        <w:rPr>
          <w:rFonts w:ascii="Calibri" w:hAnsi="Calibri" w:eastAsia="Calibri"/>
          <w:color w:val="1F2937"/>
          <w:sz w:val="22"/>
        </w:rPr>
        <w:t>Quarterly after launch: DPO/CTO review of ROPA, transfers, vendors, access, retention, incidents, policies, Play disclosures, and planned changes.</w:t>
      </w:r>
    </w:p>
    <w:p>
      <w:pPr>
        <w:pStyle w:val="Heading1"/>
      </w:pPr>
      <w:r>
        <w:t>17. Top program risks and required treatment</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700"/>
        <w:gridCol w:w="2450"/>
        <w:gridCol w:w="900"/>
        <w:gridCol w:w="4000"/>
        <w:gridCol w:w="1310"/>
      </w:tblGrid>
      <w:tr>
        <w:trPr>
          <w:tblHeader w:val="true"/>
          <w:cantSplit/>
        </w:trPr>
        <w:tc>
          <w:tcPr>
            <w:tcW w:type="dxa" w:w="7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ID</w:t>
            </w:r>
          </w:p>
        </w:tc>
        <w:tc>
          <w:tcPr>
            <w:tcW w:type="dxa" w:w="245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Risk</w:t>
            </w:r>
          </w:p>
        </w:tc>
        <w:tc>
          <w:tcPr>
            <w:tcW w:type="dxa" w:w="9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Rating</w:t>
            </w:r>
          </w:p>
        </w:tc>
        <w:tc>
          <w:tcPr>
            <w:tcW w:type="dxa" w:w="40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Treatment</w:t>
            </w:r>
          </w:p>
        </w:tc>
        <w:tc>
          <w:tcPr>
            <w:tcW w:type="dxa" w:w="131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Owner</w:t>
            </w:r>
          </w:p>
        </w:tc>
      </w:tr>
      <w:tr>
        <w:trPr>
          <w:cantSplit/>
        </w:trPr>
        <w:tc>
          <w:tcPr>
            <w:tcW w:type="dxa" w:w="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R-01</w:t>
            </w:r>
          </w:p>
        </w:tc>
        <w:tc>
          <w:tcPr>
            <w:tcW w:type="dxa" w:w="24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Operator/legal identity mismatch</w:t>
            </w:r>
          </w:p>
        </w:tc>
        <w:tc>
          <w:tcPr>
            <w:tcW w:type="dxa" w:w="9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Critical</w:t>
            </w:r>
          </w:p>
        </w:tc>
        <w:tc>
          <w:tcPr>
            <w:tcW w:type="dxa" w:w="4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Incorporate or approve interim model; version contracts/notices/consents/invoices after identity change.</w:t>
            </w:r>
          </w:p>
        </w:tc>
        <w:tc>
          <w:tcPr>
            <w:tcW w:type="dxa" w:w="13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CEO + counsel</w:t>
            </w:r>
          </w:p>
        </w:tc>
      </w:tr>
      <w:tr>
        <w:trPr>
          <w:cantSplit/>
        </w:trPr>
        <w:tc>
          <w:tcPr>
            <w:tcW w:type="dxa" w:w="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R-02</w:t>
            </w:r>
          </w:p>
        </w:tc>
        <w:tc>
          <w:tcPr>
            <w:tcW w:type="dxa" w:w="24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DPO, PDPC licence/permit, or filing incomplete</w:t>
            </w:r>
          </w:p>
        </w:tc>
        <w:tc>
          <w:tcPr>
            <w:tcW w:type="dxa" w:w="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Critical</w:t>
            </w:r>
          </w:p>
        </w:tc>
        <w:tc>
          <w:tcPr>
            <w:tcW w:type="dxa" w:w="4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Registered DPO and written regulatory path before public processing; no assumption-based launch.</w:t>
            </w:r>
          </w:p>
        </w:tc>
        <w:tc>
          <w:tcPr>
            <w:tcW w:type="dxa" w:w="13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DPO + counsel</w:t>
            </w:r>
          </w:p>
        </w:tc>
      </w:tr>
      <w:tr>
        <w:trPr>
          <w:cantSplit/>
        </w:trPr>
        <w:tc>
          <w:tcPr>
            <w:tcW w:type="dxa" w:w="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R-03</w:t>
            </w:r>
          </w:p>
        </w:tc>
        <w:tc>
          <w:tcPr>
            <w:tcW w:type="dxa" w:w="24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Western Europe hosting or vendor transfer not approved</w:t>
            </w:r>
          </w:p>
        </w:tc>
        <w:tc>
          <w:tcPr>
            <w:tcW w:type="dxa" w:w="9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Critical</w:t>
            </w:r>
          </w:p>
        </w:tc>
        <w:tc>
          <w:tcPr>
            <w:tcW w:type="dxa" w:w="4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Complete transfer register/options; obtain approval/permit and migrate if required.</w:t>
            </w:r>
          </w:p>
        </w:tc>
        <w:tc>
          <w:tcPr>
            <w:tcW w:type="dxa" w:w="13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CTO + DPO</w:t>
            </w:r>
          </w:p>
        </w:tc>
      </w:tr>
      <w:tr>
        <w:trPr>
          <w:cantSplit/>
        </w:trPr>
        <w:tc>
          <w:tcPr>
            <w:tcW w:type="dxa" w:w="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R-04</w:t>
            </w:r>
          </w:p>
        </w:tc>
        <w:tc>
          <w:tcPr>
            <w:tcW w:type="dxa" w:w="24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API 36 deadline missed</w:t>
            </w:r>
          </w:p>
        </w:tc>
        <w:tc>
          <w:tcPr>
            <w:tcW w:type="dxa" w:w="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High</w:t>
            </w:r>
          </w:p>
        </w:tc>
        <w:tc>
          <w:tcPr>
            <w:tcW w:type="dxa" w:w="4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Upgrade by 14 Aug; regression buffer; Play deadline owner and contingency.</w:t>
            </w:r>
          </w:p>
        </w:tc>
        <w:tc>
          <w:tcPr>
            <w:tcW w:type="dxa" w:w="13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Mobile + release</w:t>
            </w:r>
          </w:p>
        </w:tc>
      </w:tr>
      <w:tr>
        <w:trPr>
          <w:cantSplit/>
        </w:trPr>
        <w:tc>
          <w:tcPr>
            <w:tcW w:type="dxa" w:w="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R-05</w:t>
            </w:r>
          </w:p>
        </w:tc>
        <w:tc>
          <w:tcPr>
            <w:tcW w:type="dxa" w:w="24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Paid SaaS offered without compliant Play billing/entitlement</w:t>
            </w:r>
          </w:p>
        </w:tc>
        <w:tc>
          <w:tcPr>
            <w:tcW w:type="dxa" w:w="9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Critical</w:t>
            </w:r>
          </w:p>
        </w:tc>
        <w:tc>
          <w:tcPr>
            <w:tcW w:type="dxa" w:w="4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Complete server validation or disable paid in-app entry points for launch.</w:t>
            </w:r>
          </w:p>
        </w:tc>
        <w:tc>
          <w:tcPr>
            <w:tcW w:type="dxa" w:w="13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Product + finance</w:t>
            </w:r>
          </w:p>
        </w:tc>
      </w:tr>
      <w:tr>
        <w:trPr>
          <w:cantSplit/>
        </w:trPr>
        <w:tc>
          <w:tcPr>
            <w:tcW w:type="dxa" w:w="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R-06</w:t>
            </w:r>
          </w:p>
        </w:tc>
        <w:tc>
          <w:tcPr>
            <w:tcW w:type="dxa" w:w="24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Platform/merchant consumer and data roles are unclear</w:t>
            </w:r>
          </w:p>
        </w:tc>
        <w:tc>
          <w:tcPr>
            <w:tcW w:type="dxa" w:w="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High</w:t>
            </w:r>
          </w:p>
        </w:tc>
        <w:tc>
          <w:tcPr>
            <w:tcW w:type="dxa" w:w="4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Signed seller agreement/DPA, buyer notice, complaint/refund evidence, and counsel opinion.</w:t>
            </w:r>
          </w:p>
        </w:tc>
        <w:tc>
          <w:tcPr>
            <w:tcW w:type="dxa" w:w="13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Counsel + product</w:t>
            </w:r>
          </w:p>
        </w:tc>
      </w:tr>
      <w:tr>
        <w:trPr>
          <w:cantSplit/>
        </w:trPr>
        <w:tc>
          <w:tcPr>
            <w:tcW w:type="dxa" w:w="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R-07</w:t>
            </w:r>
          </w:p>
        </w:tc>
        <w:tc>
          <w:tcPr>
            <w:tcW w:type="dxa" w:w="24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AI/translation sends personal data to unapproved provider</w:t>
            </w:r>
          </w:p>
        </w:tc>
        <w:tc>
          <w:tcPr>
            <w:tcW w:type="dxa" w:w="9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High</w:t>
            </w:r>
          </w:p>
        </w:tc>
        <w:tc>
          <w:tcPr>
            <w:tcW w:type="dxa" w:w="4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Defer assistant, minimize prompts, approve vendor/DPA/transfer/retention and disclosures.</w:t>
            </w:r>
          </w:p>
        </w:tc>
        <w:tc>
          <w:tcPr>
            <w:tcW w:type="dxa" w:w="13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DPO + CTO</w:t>
            </w:r>
          </w:p>
        </w:tc>
      </w:tr>
      <w:tr>
        <w:trPr>
          <w:cantSplit/>
        </w:trPr>
        <w:tc>
          <w:tcPr>
            <w:tcW w:type="dxa" w:w="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R-08</w:t>
            </w:r>
          </w:p>
        </w:tc>
        <w:tc>
          <w:tcPr>
            <w:tcW w:type="dxa" w:w="24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Deletion or restoration leaves/revives personal data</w:t>
            </w:r>
          </w:p>
        </w:tc>
        <w:tc>
          <w:tcPr>
            <w:tcW w:type="dxa" w:w="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High</w:t>
            </w:r>
          </w:p>
        </w:tc>
        <w:tc>
          <w:tcPr>
            <w:tcW w:type="dxa" w:w="4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End-to-end deletion across vendors/backups; legal exceptions; post-restore replay and evidence.</w:t>
            </w:r>
          </w:p>
        </w:tc>
        <w:tc>
          <w:tcPr>
            <w:tcW w:type="dxa" w:w="13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DPO + cloud</w:t>
            </w:r>
          </w:p>
        </w:tc>
      </w:tr>
      <w:tr>
        <w:trPr>
          <w:cantSplit/>
        </w:trPr>
        <w:tc>
          <w:tcPr>
            <w:tcW w:type="dxa" w:w="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R-09</w:t>
            </w:r>
          </w:p>
        </w:tc>
        <w:tc>
          <w:tcPr>
            <w:tcW w:type="dxa" w:w="24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Critical auth/admin/API vulnerability</w:t>
            </w:r>
          </w:p>
        </w:tc>
        <w:tc>
          <w:tcPr>
            <w:tcW w:type="dxa" w:w="9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Critical</w:t>
            </w:r>
          </w:p>
        </w:tc>
        <w:tc>
          <w:tcPr>
            <w:tcW w:type="dxa" w:w="4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Preserve auth contract, independent pentest, no Critical/High release, MFA and least privilege.</w:t>
            </w:r>
          </w:p>
        </w:tc>
        <w:tc>
          <w:tcPr>
            <w:tcW w:type="dxa" w:w="13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Security lead</w:t>
            </w:r>
          </w:p>
        </w:tc>
      </w:tr>
      <w:tr>
        <w:trPr>
          <w:cantSplit/>
        </w:trPr>
        <w:tc>
          <w:tcPr>
            <w:tcW w:type="dxa" w:w="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R-10</w:t>
            </w:r>
          </w:p>
        </w:tc>
        <w:tc>
          <w:tcPr>
            <w:tcW w:type="dxa" w:w="24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Support/complaint capacity fails during launch</w:t>
            </w:r>
          </w:p>
        </w:tc>
        <w:tc>
          <w:tcPr>
            <w:tcW w:type="dxa" w:w="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High</w:t>
            </w:r>
          </w:p>
        </w:tc>
        <w:tc>
          <w:tcPr>
            <w:tcW w:type="dxa" w:w="4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Pilot load test, staffing/on-call, response targets, templates, escalation, pause rollout thresholds.</w:t>
            </w:r>
          </w:p>
        </w:tc>
        <w:tc>
          <w:tcPr>
            <w:tcW w:type="dxa" w:w="13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Operations</w:t>
            </w:r>
          </w:p>
        </w:tc>
      </w:tr>
      <w:tr>
        <w:trPr>
          <w:cantSplit/>
        </w:trPr>
        <w:tc>
          <w:tcPr>
            <w:tcW w:type="dxa" w:w="7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R-11</w:t>
            </w:r>
          </w:p>
        </w:tc>
        <w:tc>
          <w:tcPr>
            <w:tcW w:type="dxa" w:w="245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Low merchant demand or weak unit economics</w:t>
            </w:r>
          </w:p>
        </w:tc>
        <w:tc>
          <w:tcPr>
            <w:tcW w:type="dxa" w:w="9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High</w:t>
            </w:r>
          </w:p>
        </w:tc>
        <w:tc>
          <w:tcPr>
            <w:tcW w:type="dxa" w:w="40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Discovery and pilot gates; do not scale paid acquisition until activation, retention, and willingness-to-pay evidence exist.</w:t>
            </w:r>
          </w:p>
        </w:tc>
        <w:tc>
          <w:tcPr>
            <w:tcW w:type="dxa" w:w="131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Founder + product</w:t>
            </w:r>
          </w:p>
        </w:tc>
      </w:tr>
      <w:tr>
        <w:trPr>
          <w:cantSplit/>
        </w:trPr>
        <w:tc>
          <w:tcPr>
            <w:tcW w:type="dxa" w:w="7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6"/>
              </w:rPr>
              <w:t>R-12</w:t>
            </w:r>
          </w:p>
        </w:tc>
        <w:tc>
          <w:tcPr>
            <w:tcW w:type="dxa" w:w="245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Vendor outage, lock-in, or account loss</w:t>
            </w:r>
          </w:p>
        </w:tc>
        <w:tc>
          <w:tcPr>
            <w:tcW w:type="dxa" w:w="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High</w:t>
            </w:r>
          </w:p>
        </w:tc>
        <w:tc>
          <w:tcPr>
            <w:tcW w:type="dxa" w:w="40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Two admins, recovery, exports, restore, exit plan, feature flags, communication and fallback procedures.</w:t>
            </w:r>
          </w:p>
        </w:tc>
        <w:tc>
          <w:tcPr>
            <w:tcW w:type="dxa" w:w="131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6"/>
              </w:rPr>
              <w:t>Cloud + operations</w:t>
            </w:r>
          </w:p>
        </w:tc>
      </w:tr>
    </w:tbl>
    <w:p>
      <w:pPr>
        <w:spacing w:after="40"/>
      </w:pPr>
    </w:p>
    <w:p>
      <w:pPr>
        <w:pStyle w:val="Heading1"/>
      </w:pPr>
      <w:r>
        <w:t>18. Launch KPIs and control thresholds</w:t>
      </w:r>
    </w:p>
    <w:tbl>
      <w:tblPr>
        <w:tblW w:type="dxa" w:w="9360"/>
        <w:jc w:val="left"/>
        <w:tblLayout w:type="fixed"/>
        <w:tblLook w:firstColumn="1" w:firstRow="1" w:lastColumn="0" w:lastRow="0" w:noHBand="0" w:noVBand="1" w:val="04A0"/>
        <w:tblInd w:w="120" w:type="dxa"/>
        <w:tblBorders>
          <w:top w:val="single" w:sz="6" w:space="0" w:color="17365D"/>
          <w:left w:val="single" w:sz="6" w:space="0" w:color="17365D"/>
          <w:bottom w:val="single" w:sz="6" w:space="0" w:color="17365D"/>
          <w:right w:val="single" w:sz="6" w:space="0" w:color="17365D"/>
        </w:tblBorders>
      </w:tblPr>
      <w:tblGrid>
        <w:gridCol w:w="9360"/>
      </w:tblGrid>
      <w:tr>
        <w:trPr>
          <w:cantSplit/>
        </w:trPr>
        <w:tc>
          <w:tcPr>
            <w:tcW w:type="dxa" w:w="9360"/>
            <w:tcMar>
              <w:top w:w="80" w:type="dxa"/>
              <w:start w:w="120" w:type="dxa"/>
              <w:bottom w:w="80" w:type="dxa"/>
              <w:end w:w="120" w:type="dxa"/>
            </w:tcMar>
            <w:vAlign w:val="center"/>
            <w:shd w:fill="F4F7FB"/>
          </w:tcPr>
          <w:p>
            <w:pPr>
              <w:keepNext w:val="0"/>
              <w:spacing w:before="20" w:after="20" w:line="288" w:lineRule="auto"/>
            </w:pPr>
            <w:r>
              <w:rPr>
                <w:rFonts w:ascii="Calibri" w:hAnsi="Calibri" w:eastAsia="Calibri"/>
                <w:b/>
                <w:color w:val="17365D"/>
                <w:sz w:val="21"/>
              </w:rPr>
              <w:t xml:space="preserve">Target rule: </w:t>
            </w:r>
            <w:r>
              <w:rPr>
                <w:rFonts w:ascii="Calibri" w:hAnsi="Calibri" w:eastAsia="Calibri"/>
                <w:color w:val="1F2937"/>
                <w:sz w:val="21"/>
              </w:rPr>
              <w:t>The following are recommended starting targets. The founder, product, security, DPO, and operations owners must approve final SLOs before pilot entry.</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1200"/>
        <w:gridCol w:w="2100"/>
        <w:gridCol w:w="4500"/>
        <w:gridCol w:w="1560"/>
      </w:tblGrid>
      <w:tr>
        <w:trPr>
          <w:tblHeader w:val="true"/>
          <w:cantSplit/>
        </w:trPr>
        <w:tc>
          <w:tcPr>
            <w:tcW w:type="dxa" w:w="12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Domain</w:t>
            </w:r>
          </w:p>
        </w:tc>
        <w:tc>
          <w:tcPr>
            <w:tcW w:type="dxa" w:w="21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Metric</w:t>
            </w:r>
          </w:p>
        </w:tc>
        <w:tc>
          <w:tcPr>
            <w:tcW w:type="dxa" w:w="45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Starting target</w:t>
            </w:r>
          </w:p>
        </w:tc>
        <w:tc>
          <w:tcPr>
            <w:tcW w:type="dxa" w:w="15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Owner</w:t>
            </w:r>
          </w:p>
        </w:tc>
      </w:tr>
      <w:tr>
        <w:trPr>
          <w:cantSplit/>
        </w:trPr>
        <w:tc>
          <w:tcPr>
            <w:tcW w:type="dxa" w:w="12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Market</w:t>
            </w:r>
          </w:p>
        </w:tc>
        <w:tc>
          <w:tcPr>
            <w:tcW w:type="dxa" w:w="21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Merchant discovery</w:t>
            </w:r>
          </w:p>
        </w:tc>
        <w:tc>
          <w:tcPr>
            <w:tcW w:type="dxa" w:w="45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Approved target completed; recommendation: 15 interviews and 5 design partners before scope freeze</w:t>
            </w:r>
          </w:p>
        </w:tc>
        <w:tc>
          <w:tcPr>
            <w:tcW w:type="dxa" w:w="15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w:t>
            </w:r>
          </w:p>
        </w:tc>
      </w:tr>
      <w:tr>
        <w:trPr>
          <w:cantSplit/>
        </w:trPr>
        <w:tc>
          <w:tcPr>
            <w:tcW w:type="dxa" w:w="12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Activation</w:t>
            </w:r>
          </w:p>
        </w:tc>
        <w:tc>
          <w:tcPr>
            <w:tcW w:type="dxa" w:w="21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Time to first published catalog</w:t>
            </w:r>
          </w:p>
        </w:tc>
        <w:tc>
          <w:tcPr>
            <w:tcW w:type="dxa" w:w="45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Median &lt;= 30 minutes during pilot</w:t>
            </w:r>
          </w:p>
        </w:tc>
        <w:tc>
          <w:tcPr>
            <w:tcW w:type="dxa" w:w="15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 / operations</w:t>
            </w:r>
          </w:p>
        </w:tc>
      </w:tr>
      <w:tr>
        <w:trPr>
          <w:cantSplit/>
        </w:trPr>
        <w:tc>
          <w:tcPr>
            <w:tcW w:type="dxa" w:w="12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Activation</w:t>
            </w:r>
          </w:p>
        </w:tc>
        <w:tc>
          <w:tcPr>
            <w:tcW w:type="dxa" w:w="21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First valid buyer order</w:t>
            </w:r>
          </w:p>
        </w:tc>
        <w:tc>
          <w:tcPr>
            <w:tcW w:type="dxa" w:w="45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Track median and conversion; approve threshold from pilot baseline</w:t>
            </w:r>
          </w:p>
        </w:tc>
        <w:tc>
          <w:tcPr>
            <w:tcW w:type="dxa" w:w="15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w:t>
            </w:r>
          </w:p>
        </w:tc>
      </w:tr>
      <w:tr>
        <w:trPr>
          <w:cantSplit/>
        </w:trPr>
        <w:tc>
          <w:tcPr>
            <w:tcW w:type="dxa" w:w="12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Retention</w:t>
            </w:r>
          </w:p>
        </w:tc>
        <w:tc>
          <w:tcPr>
            <w:tcW w:type="dxa" w:w="21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Seller weekly active / D30 retention</w:t>
            </w:r>
          </w:p>
        </w:tc>
        <w:tc>
          <w:tcPr>
            <w:tcW w:type="dxa" w:w="45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Pilot baseline plus founder-approved scale threshold</w:t>
            </w:r>
          </w:p>
        </w:tc>
        <w:tc>
          <w:tcPr>
            <w:tcW w:type="dxa" w:w="15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Product</w:t>
            </w:r>
          </w:p>
        </w:tc>
      </w:tr>
      <w:tr>
        <w:trPr>
          <w:cantSplit/>
        </w:trPr>
        <w:tc>
          <w:tcPr>
            <w:tcW w:type="dxa" w:w="12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Reliability</w:t>
            </w:r>
          </w:p>
        </w:tc>
        <w:tc>
          <w:tcPr>
            <w:tcW w:type="dxa" w:w="21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Crash-free users</w:t>
            </w:r>
          </w:p>
        </w:tc>
        <w:tc>
          <w:tcPr>
            <w:tcW w:type="dxa" w:w="45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&gt;= 99.5% during pilot and staged rollout</w:t>
            </w:r>
          </w:p>
        </w:tc>
        <w:tc>
          <w:tcPr>
            <w:tcW w:type="dxa" w:w="15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 QA</w:t>
            </w:r>
          </w:p>
        </w:tc>
      </w:tr>
      <w:tr>
        <w:trPr>
          <w:cantSplit/>
        </w:trPr>
        <w:tc>
          <w:tcPr>
            <w:tcW w:type="dxa" w:w="12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Reliability</w:t>
            </w:r>
          </w:p>
        </w:tc>
        <w:tc>
          <w:tcPr>
            <w:tcW w:type="dxa" w:w="21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Core API success</w:t>
            </w:r>
          </w:p>
        </w:tc>
        <w:tc>
          <w:tcPr>
            <w:tcW w:type="dxa" w:w="45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&gt;= 99.5% excluding planned maintenance and provider-wide outages</w:t>
            </w:r>
          </w:p>
        </w:tc>
        <w:tc>
          <w:tcPr>
            <w:tcW w:type="dxa" w:w="15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 operations</w:t>
            </w:r>
          </w:p>
        </w:tc>
      </w:tr>
      <w:tr>
        <w:trPr>
          <w:cantSplit/>
        </w:trPr>
        <w:tc>
          <w:tcPr>
            <w:tcW w:type="dxa" w:w="12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Performance</w:t>
            </w:r>
          </w:p>
        </w:tc>
        <w:tc>
          <w:tcPr>
            <w:tcW w:type="dxa" w:w="21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Core API p95</w:t>
            </w:r>
          </w:p>
        </w:tc>
        <w:tc>
          <w:tcPr>
            <w:tcW w:type="dxa" w:w="45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&lt;= 1 second under approved pilot load</w:t>
            </w:r>
          </w:p>
        </w:tc>
        <w:tc>
          <w:tcPr>
            <w:tcW w:type="dxa" w:w="15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Backend / cloud</w:t>
            </w:r>
          </w:p>
        </w:tc>
      </w:tr>
      <w:tr>
        <w:trPr>
          <w:cantSplit/>
        </w:trPr>
        <w:tc>
          <w:tcPr>
            <w:tcW w:type="dxa" w:w="12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Authentication</w:t>
            </w:r>
          </w:p>
        </w:tc>
        <w:tc>
          <w:tcPr>
            <w:tcW w:type="dxa" w:w="21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OTP sign-in success</w:t>
            </w:r>
          </w:p>
        </w:tc>
        <w:tc>
          <w:tcPr>
            <w:tcW w:type="dxa" w:w="45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&gt;= 95% excluding user abandonment; investigate provider/country/device failures</w:t>
            </w:r>
          </w:p>
        </w:tc>
        <w:tc>
          <w:tcPr>
            <w:tcW w:type="dxa" w:w="15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Mobile / operations</w:t>
            </w:r>
          </w:p>
        </w:tc>
      </w:tr>
      <w:tr>
        <w:trPr>
          <w:cantSplit/>
        </w:trPr>
        <w:tc>
          <w:tcPr>
            <w:tcW w:type="dxa" w:w="12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w:t>
            </w:r>
          </w:p>
        </w:tc>
        <w:tc>
          <w:tcPr>
            <w:tcW w:type="dxa" w:w="21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Critical/High findings</w:t>
            </w:r>
          </w:p>
        </w:tc>
        <w:tc>
          <w:tcPr>
            <w:tcW w:type="dxa" w:w="45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0 open at release; no unauthorized cross-store access</w:t>
            </w:r>
          </w:p>
        </w:tc>
        <w:tc>
          <w:tcPr>
            <w:tcW w:type="dxa" w:w="15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Security</w:t>
            </w:r>
          </w:p>
        </w:tc>
      </w:tr>
      <w:tr>
        <w:trPr>
          <w:cantSplit/>
        </w:trPr>
        <w:tc>
          <w:tcPr>
            <w:tcW w:type="dxa" w:w="12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Privacy</w:t>
            </w:r>
          </w:p>
        </w:tc>
        <w:tc>
          <w:tcPr>
            <w:tcW w:type="dxa" w:w="21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Rights/deletion requests</w:t>
            </w:r>
          </w:p>
        </w:tc>
        <w:tc>
          <w:tcPr>
            <w:tcW w:type="dxa" w:w="45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100% acknowledged, tracked, and completed within counsel-approved SLA</w:t>
            </w:r>
          </w:p>
        </w:tc>
        <w:tc>
          <w:tcPr>
            <w:tcW w:type="dxa" w:w="15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support</w:t>
            </w:r>
          </w:p>
        </w:tc>
      </w:tr>
      <w:tr>
        <w:trPr>
          <w:cantSplit/>
        </w:trPr>
        <w:tc>
          <w:tcPr>
            <w:tcW w:type="dxa" w:w="12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Resilience</w:t>
            </w:r>
          </w:p>
        </w:tc>
        <w:tc>
          <w:tcPr>
            <w:tcW w:type="dxa" w:w="21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Restore</w:t>
            </w:r>
          </w:p>
        </w:tc>
        <w:tc>
          <w:tcPr>
            <w:tcW w:type="dxa" w:w="45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RPO/RTO achieved in observed test with usable and privacy-consistent data</w:t>
            </w:r>
          </w:p>
        </w:tc>
        <w:tc>
          <w:tcPr>
            <w:tcW w:type="dxa" w:w="15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Cloud / DPO</w:t>
            </w:r>
          </w:p>
        </w:tc>
      </w:tr>
      <w:tr>
        <w:trPr>
          <w:cantSplit/>
        </w:trPr>
        <w:tc>
          <w:tcPr>
            <w:tcW w:type="dxa" w:w="12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Support</w:t>
            </w:r>
          </w:p>
        </w:tc>
        <w:tc>
          <w:tcPr>
            <w:tcW w:type="dxa" w:w="21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First response</w:t>
            </w:r>
          </w:p>
        </w:tc>
        <w:tc>
          <w:tcPr>
            <w:tcW w:type="dxa" w:w="45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Recommended &lt;= 1 business day; Critical security/privacy escalation &lt;= 30 minutes</w:t>
            </w:r>
          </w:p>
        </w:tc>
        <w:tc>
          <w:tcPr>
            <w:tcW w:type="dxa" w:w="15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Support / security</w:t>
            </w:r>
          </w:p>
        </w:tc>
      </w:tr>
      <w:tr>
        <w:trPr>
          <w:cantSplit/>
        </w:trPr>
        <w:tc>
          <w:tcPr>
            <w:tcW w:type="dxa" w:w="12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Compliance</w:t>
            </w:r>
          </w:p>
        </w:tc>
        <w:tc>
          <w:tcPr>
            <w:tcW w:type="dxa" w:w="21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Policy-to-practice mismatch</w:t>
            </w:r>
          </w:p>
        </w:tc>
        <w:tc>
          <w:tcPr>
            <w:tcW w:type="dxa" w:w="450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0 material unresolved mismatch at release</w:t>
            </w:r>
          </w:p>
        </w:tc>
        <w:tc>
          <w:tcPr>
            <w:tcW w:type="dxa" w:w="15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DPO / QA</w:t>
            </w:r>
          </w:p>
        </w:tc>
      </w:tr>
      <w:tr>
        <w:trPr>
          <w:cantSplit/>
        </w:trPr>
        <w:tc>
          <w:tcPr>
            <w:tcW w:type="dxa" w:w="12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Rollout</w:t>
            </w:r>
          </w:p>
        </w:tc>
        <w:tc>
          <w:tcPr>
            <w:tcW w:type="dxa" w:w="21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Rollback readiness</w:t>
            </w:r>
          </w:p>
        </w:tc>
        <w:tc>
          <w:tcPr>
            <w:tcW w:type="dxa" w:w="45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Demonstrated before pilot and before production rollout</w:t>
            </w:r>
          </w:p>
        </w:tc>
        <w:tc>
          <w:tcPr>
            <w:tcW w:type="dxa" w:w="15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Release / cloud</w:t>
            </w:r>
          </w:p>
        </w:tc>
      </w:tr>
    </w:tbl>
    <w:p>
      <w:pPr>
        <w:spacing w:after="40"/>
      </w:pPr>
    </w:p>
    <w:p>
      <w:pPr>
        <w:pStyle w:val="Heading1"/>
      </w:pPr>
      <w:r>
        <w:t>19. Definitive Go / Conditional Go / No-Go rules</w:t>
      </w:r>
    </w:p>
    <w:p>
      <w:pPr>
        <w:pStyle w:val="Heading2"/>
      </w:pPr>
      <w:r>
        <w:t>Go</w:t>
      </w:r>
    </w:p>
    <w:p>
      <w:pPr>
        <w:keepNext w:val="0"/>
        <w:numPr>
          <w:ilvl w:val="0"/>
          <w:numId w:val="10"/>
        </w:numPr>
        <w:spacing w:before="0" w:after="80" w:line="300" w:lineRule="auto"/>
      </w:pPr>
      <w:r>
        <w:rPr>
          <w:rFonts w:ascii="Calibri" w:hAnsi="Calibri" w:eastAsia="Calibri"/>
          <w:color w:val="1F2937"/>
          <w:sz w:val="22"/>
        </w:rPr>
        <w:t>The company/operator, tax, bank, IP, contracts, account ownership, and people obligations required for launch are complete.</w:t>
      </w:r>
    </w:p>
    <w:p>
      <w:pPr>
        <w:keepNext w:val="0"/>
        <w:numPr>
          <w:ilvl w:val="0"/>
          <w:numId w:val="10"/>
        </w:numPr>
        <w:spacing w:before="0" w:after="80" w:line="300" w:lineRule="auto"/>
      </w:pPr>
      <w:r>
        <w:rPr>
          <w:rFonts w:ascii="Calibri" w:hAnsi="Calibri" w:eastAsia="Calibri"/>
          <w:color w:val="1F2937"/>
          <w:sz w:val="22"/>
        </w:rPr>
        <w:t>Counsel and the DPO have approved the operating model, licence/permit path, Law 175/2018 position, hosting/transfers, retention, and public documents.</w:t>
      </w:r>
    </w:p>
    <w:p>
      <w:pPr>
        <w:keepNext w:val="0"/>
        <w:numPr>
          <w:ilvl w:val="0"/>
          <w:numId w:val="10"/>
        </w:numPr>
        <w:spacing w:before="0" w:after="80" w:line="300" w:lineRule="auto"/>
      </w:pPr>
      <w:r>
        <w:rPr>
          <w:rFonts w:ascii="Calibri" w:hAnsi="Calibri" w:eastAsia="Calibri"/>
          <w:color w:val="1F2937"/>
          <w:sz w:val="22"/>
        </w:rPr>
        <w:t>API 36, signing, Firebase fingerprints, Play Integrity/reCAPTCHA, physical SMS, Data Safety, account deletion, target audience, and Play listing evidence are complete.</w:t>
      </w:r>
    </w:p>
    <w:p>
      <w:pPr>
        <w:keepNext w:val="0"/>
        <w:numPr>
          <w:ilvl w:val="0"/>
          <w:numId w:val="10"/>
        </w:numPr>
        <w:spacing w:before="0" w:after="80" w:line="300" w:lineRule="auto"/>
      </w:pPr>
      <w:r>
        <w:rPr>
          <w:rFonts w:ascii="Calibri" w:hAnsi="Calibri" w:eastAsia="Calibri"/>
          <w:color w:val="1F2937"/>
          <w:sz w:val="22"/>
        </w:rPr>
        <w:t>Every critical journey passes; no unapproved Critical or High defect/vulnerability remains; restore, rollback, and incident exercises pass.</w:t>
      </w:r>
    </w:p>
    <w:p>
      <w:pPr>
        <w:keepNext w:val="0"/>
        <w:numPr>
          <w:ilvl w:val="0"/>
          <w:numId w:val="10"/>
        </w:numPr>
        <w:spacing w:before="0" w:after="80" w:line="300" w:lineRule="auto"/>
      </w:pPr>
      <w:r>
        <w:rPr>
          <w:rFonts w:ascii="Calibri" w:hAnsi="Calibri" w:eastAsia="Calibri"/>
          <w:color w:val="1F2937"/>
          <w:sz w:val="22"/>
        </w:rPr>
        <w:t>Billing is either fully compliant and server-validated or disabled; AI and regulated features are in the approved flag state.</w:t>
      </w:r>
    </w:p>
    <w:p>
      <w:pPr>
        <w:keepNext w:val="0"/>
        <w:numPr>
          <w:ilvl w:val="0"/>
          <w:numId w:val="10"/>
        </w:numPr>
        <w:spacing w:before="0" w:after="80" w:line="300" w:lineRule="auto"/>
      </w:pPr>
      <w:r>
        <w:rPr>
          <w:rFonts w:ascii="Calibri" w:hAnsi="Calibri" w:eastAsia="Calibri"/>
          <w:color w:val="1F2937"/>
          <w:sz w:val="22"/>
        </w:rPr>
        <w:t>Pilot criteria are met and residual risks have owners, dates, monitoring, and authorized signatures.</w:t>
      </w:r>
    </w:p>
    <w:p>
      <w:pPr>
        <w:pStyle w:val="Heading2"/>
      </w:pPr>
      <w:r>
        <w:t>Conditional Go</w:t>
      </w:r>
    </w:p>
    <w:p>
      <w:pPr>
        <w:keepNext w:val="0"/>
        <w:spacing w:before="0" w:after="120" w:line="300" w:lineRule="auto"/>
      </w:pPr>
      <w:r>
        <w:rPr>
          <w:rFonts w:ascii="Calibri" w:hAnsi="Calibri" w:eastAsia="Calibri"/>
          <w:i w:val="0"/>
          <w:color w:val="1F2937"/>
          <w:sz w:val="22"/>
        </w:rPr>
        <w:t>Permitted only for Medium/Low issues that do not create unacceptable user, data, financial, legal, security, or operational risk. Compensating controls, monitoring, rollback triggers, owner, due date, and authorized written acceptance are mandatory. A regulatory filing, DPO, transfer, Critical/High security, deletion, billing, backup, or policy mismatch is not eligible for Conditional Go.</w:t>
      </w:r>
    </w:p>
    <w:p>
      <w:pPr>
        <w:pStyle w:val="Heading2"/>
      </w:pPr>
      <w:r>
        <w:t>No-Go</w:t>
      </w:r>
    </w:p>
    <w:p>
      <w:pPr>
        <w:keepNext w:val="0"/>
        <w:numPr>
          <w:ilvl w:val="0"/>
          <w:numId w:val="10"/>
        </w:numPr>
        <w:spacing w:before="0" w:after="80" w:line="300" w:lineRule="auto"/>
      </w:pPr>
      <w:r>
        <w:rPr>
          <w:rFonts w:ascii="Calibri" w:hAnsi="Calibri" w:eastAsia="Calibri"/>
          <w:color w:val="1F2937"/>
          <w:sz w:val="22"/>
        </w:rPr>
        <w:t>The legal operator cannot contract/invoice or public documents identify the wrong operator.</w:t>
      </w:r>
    </w:p>
    <w:p>
      <w:pPr>
        <w:keepNext w:val="0"/>
        <w:numPr>
          <w:ilvl w:val="0"/>
          <w:numId w:val="10"/>
        </w:numPr>
        <w:spacing w:before="0" w:after="80" w:line="300" w:lineRule="auto"/>
      </w:pPr>
      <w:r>
        <w:rPr>
          <w:rFonts w:ascii="Calibri" w:hAnsi="Calibri" w:eastAsia="Calibri"/>
          <w:color w:val="1F2937"/>
          <w:sz w:val="22"/>
        </w:rPr>
        <w:t>Required DPO appointment, licence, permit, cross-border transfer approval, or regulator/PSP agreement is unresolved.</w:t>
      </w:r>
    </w:p>
    <w:p>
      <w:pPr>
        <w:keepNext w:val="0"/>
        <w:numPr>
          <w:ilvl w:val="0"/>
          <w:numId w:val="10"/>
        </w:numPr>
        <w:spacing w:before="0" w:after="80" w:line="300" w:lineRule="auto"/>
      </w:pPr>
      <w:r>
        <w:rPr>
          <w:rFonts w:ascii="Calibri" w:hAnsi="Calibri" w:eastAsia="Calibri"/>
          <w:color w:val="1F2937"/>
          <w:sz w:val="22"/>
        </w:rPr>
        <w:t>Orderak holds/routes merchant buyer funds or offers another regulated feature without approved authority/licensed-partner model.</w:t>
      </w:r>
    </w:p>
    <w:p>
      <w:pPr>
        <w:keepNext w:val="0"/>
        <w:numPr>
          <w:ilvl w:val="0"/>
          <w:numId w:val="10"/>
        </w:numPr>
        <w:spacing w:before="0" w:after="80" w:line="300" w:lineRule="auto"/>
      </w:pPr>
      <w:r>
        <w:rPr>
          <w:rFonts w:ascii="Calibri" w:hAnsi="Calibri" w:eastAsia="Calibri"/>
          <w:color w:val="1F2937"/>
          <w:sz w:val="22"/>
        </w:rPr>
        <w:t>A Critical vulnerability remains, unauthorized cross-store/admin access is possible, or a High issue lacks permitted written treatment.</w:t>
      </w:r>
    </w:p>
    <w:p>
      <w:pPr>
        <w:keepNext w:val="0"/>
        <w:numPr>
          <w:ilvl w:val="0"/>
          <w:numId w:val="10"/>
        </w:numPr>
        <w:spacing w:before="0" w:after="80" w:line="300" w:lineRule="auto"/>
      </w:pPr>
      <w:r>
        <w:rPr>
          <w:rFonts w:ascii="Calibri" w:hAnsi="Calibri" w:eastAsia="Calibri"/>
          <w:color w:val="1F2937"/>
          <w:sz w:val="22"/>
        </w:rPr>
        <w:t>Deletion, consent withdrawal, privacy rights, pricing, cancellation, refunds, complaints, or backup restoration does not work.</w:t>
      </w:r>
    </w:p>
    <w:p>
      <w:pPr>
        <w:keepNext w:val="0"/>
        <w:numPr>
          <w:ilvl w:val="0"/>
          <w:numId w:val="10"/>
        </w:numPr>
        <w:spacing w:before="0" w:after="80" w:line="300" w:lineRule="auto"/>
      </w:pPr>
      <w:r>
        <w:rPr>
          <w:rFonts w:ascii="Calibri" w:hAnsi="Calibri" w:eastAsia="Calibri"/>
          <w:color w:val="1F2937"/>
          <w:sz w:val="22"/>
        </w:rPr>
        <w:t>The final binary, SDKs, data flow, billing, permissions, privacy policy, or Data Safety declaration materially disagree.</w:t>
      </w:r>
    </w:p>
    <w:p>
      <w:pPr>
        <w:keepNext w:val="0"/>
        <w:numPr>
          <w:ilvl w:val="0"/>
          <w:numId w:val="10"/>
        </w:numPr>
        <w:spacing w:before="0" w:after="80" w:line="300" w:lineRule="auto"/>
      </w:pPr>
      <w:r>
        <w:rPr>
          <w:rFonts w:ascii="Calibri" w:hAnsi="Calibri" w:eastAsia="Calibri"/>
          <w:color w:val="1F2937"/>
          <w:sz w:val="22"/>
        </w:rPr>
        <w:t>API 36, company signing, production Firebase/OTP, monitoring, rollback, on-call, or required approvals are incomplete.</w:t>
      </w:r>
    </w:p>
    <w:p>
      <w:pPr>
        <w:pStyle w:val="Heading1"/>
      </w:pPr>
      <w:r>
        <w:t>20. Evidence repository and completion package</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Folder</w:t>
            </w:r>
          </w:p>
        </w:tc>
        <w:tc>
          <w:tcPr>
            <w:tcW w:type="dxa" w:w="74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Required contents</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01 Corporate</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Incorporation, commercial registration, tax, bank, e-seal, founder/shareholder, labour, NOSI, insurance decisions</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02 IP and ownership</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Trademark, domains, code/design/data assignments, third-party licences, SBOM, accounts, recovery, signing</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03 Legal and regulatory</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Activity classification, licence/permit, Law 175, payment/NTRA/consumer opinions, regulator correspondence</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04 Privacy and DPO</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DPO registry/appointment, ROPA, role matrix, lawful basis, transfer, retention, deletion, rights, consent, incidents</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05 Vendors</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Due diligence, DPAs, sub-processors, countries, security, support access, deletion, renewal, approvals</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06 Product</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Product brief, research, PRD, roles, journeys, billing, data-to-feature, acceptance, traceability</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07 Architecture and security</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ADRs, diagrams, threat model, access, secrets, logging, environments, CI/CD, monitoring</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08 Engineering and release</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Builds, hashes, tests, migrations, change approvals, feature flags, API 36, signing, release notes</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09 Operations</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Support, complaint, refund, cancellation, finance, communications, incident, authority, chain of custody, BCP</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10 Assurance</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QA, scans, pentest, compliance audit, restore/DR, tabletop, findings, risk acceptances, pilot evidence</w:t>
            </w:r>
          </w:p>
        </w:tc>
      </w:tr>
      <w:tr>
        <w:trPr>
          <w:cantSplit/>
        </w:trPr>
        <w:tc>
          <w:tcPr>
            <w:tcW w:type="dxa" w:w="19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11 Google Play</w:t>
            </w:r>
          </w:p>
        </w:tc>
        <w:tc>
          <w:tcPr>
            <w:tcW w:type="dxa" w:w="74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Organization account, Data Safety, permissions, deletion URL, listing, reviewer, submission, rollout, policy correspondence</w:t>
            </w:r>
          </w:p>
        </w:tc>
      </w:tr>
      <w:tr>
        <w:trPr>
          <w:cantSplit/>
        </w:trPr>
        <w:tc>
          <w:tcPr>
            <w:tcW w:type="dxa" w:w="19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12 Launch and BAU</w:t>
            </w:r>
          </w:p>
        </w:tc>
        <w:tc>
          <w:tcPr>
            <w:tcW w:type="dxa" w:w="74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Go decision, rollout, hypercare, handoff, recurring calendar, quarterly reviews, post-launch actions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17365D"/>
          <w:left w:val="single" w:sz="6" w:space="0" w:color="17365D"/>
          <w:bottom w:val="single" w:sz="6" w:space="0" w:color="17365D"/>
          <w:right w:val="single" w:sz="6" w:space="0" w:color="17365D"/>
        </w:tblBorders>
      </w:tblPr>
      <w:tblGrid>
        <w:gridCol w:w="9360"/>
      </w:tblGrid>
      <w:tr>
        <w:trPr>
          <w:cantSplit/>
        </w:trPr>
        <w:tc>
          <w:tcPr>
            <w:tcW w:type="dxa" w:w="9360"/>
            <w:tcMar>
              <w:top w:w="80" w:type="dxa"/>
              <w:start w:w="120" w:type="dxa"/>
              <w:bottom w:w="80" w:type="dxa"/>
              <w:end w:w="120" w:type="dxa"/>
            </w:tcMar>
            <w:vAlign w:val="center"/>
            <w:shd w:fill="F4F7FB"/>
          </w:tcPr>
          <w:p>
            <w:pPr>
              <w:keepNext w:val="0"/>
              <w:spacing w:before="20" w:after="20" w:line="288" w:lineRule="auto"/>
            </w:pPr>
            <w:r>
              <w:rPr>
                <w:rFonts w:ascii="Calibri" w:hAnsi="Calibri" w:eastAsia="Calibri"/>
                <w:b/>
                <w:color w:val="17365D"/>
                <w:sz w:val="21"/>
              </w:rPr>
              <w:t xml:space="preserve">Evidence standard: </w:t>
            </w:r>
            <w:r>
              <w:rPr>
                <w:rFonts w:ascii="Calibri" w:hAnsi="Calibri" w:eastAsia="Calibri"/>
                <w:color w:val="1F2937"/>
                <w:sz w:val="21"/>
              </w:rPr>
              <w:t>Every artifact must identify owner, version, date, scope, environment/build, approver, source, sensitive-data handling, related requirement/risk, and retention rule. Screenshots alone are not sufficient where an export, log, test result, contract, or signed decision is available.</w:t>
            </w:r>
          </w:p>
        </w:tc>
      </w:tr>
    </w:tbl>
    <w:p>
      <w:pPr>
        <w:spacing w:after="40"/>
      </w:pPr>
    </w:p>
    <w:p>
      <w:pPr>
        <w:pStyle w:val="Heading1"/>
      </w:pPr>
      <w:r>
        <w:t>21. Source-plan reconciliation and protected decisions</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2600"/>
        <w:gridCol w:w="6760"/>
      </w:tblGrid>
      <w:tr>
        <w:trPr>
          <w:tblHeader w:val="true"/>
          <w:cantSplit/>
        </w:trPr>
        <w:tc>
          <w:tcPr>
            <w:tcW w:type="dxa" w:w="26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Source</w:t>
            </w:r>
          </w:p>
        </w:tc>
        <w:tc>
          <w:tcPr>
            <w:tcW w:type="dxa" w:w="67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How it is implemented here</w:t>
            </w:r>
          </w:p>
        </w:tc>
      </w:tr>
      <w:tr>
        <w:trPr>
          <w:cantSplit/>
        </w:trPr>
        <w:tc>
          <w:tcPr>
            <w:tcW w:type="dxa" w:w="26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Golden Prohibitions plan</w:t>
            </w:r>
          </w:p>
        </w:tc>
        <w:tc>
          <w:tcPr>
            <w:tcW w:type="dxa" w:w="67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Converted into cross-cutting freeze rules, no-go criteria, ownership controls, vendor/SDK change control, logging prohibitions, and launch signatures.</w:t>
            </w:r>
          </w:p>
        </w:tc>
      </w:tr>
      <w:tr>
        <w:trPr>
          <w:cantSplit/>
        </w:trPr>
        <w:tc>
          <w:tcPr>
            <w:tcW w:type="dxa" w:w="26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Privacy, Compliance, and Records plan</w:t>
            </w:r>
          </w:p>
        </w:tc>
        <w:tc>
          <w:tcPr>
            <w:tcW w:type="dxa" w:w="67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Expanded into DPO, licensing, ROPA, transfer, retention, rights, consent, incident, vendor, evidence, and recurring review workstreams.</w:t>
            </w:r>
          </w:p>
        </w:tc>
      </w:tr>
      <w:tr>
        <w:trPr>
          <w:cantSplit/>
        </w:trPr>
        <w:tc>
          <w:tcPr>
            <w:tcW w:type="dxa" w:w="26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MVP Specification plan</w:t>
            </w:r>
          </w:p>
        </w:tc>
        <w:tc>
          <w:tcPr>
            <w:tcW w:type="dxa" w:w="67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Converted into PRD, roles, journeys, payment/billing responsibility, admin, UGC, permissions, data-to-feature, and acceptance gates.</w:t>
            </w:r>
          </w:p>
        </w:tc>
      </w:tr>
      <w:tr>
        <w:trPr>
          <w:cantSplit/>
        </w:trPr>
        <w:tc>
          <w:tcPr>
            <w:tcW w:type="dxa" w:w="26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Technical Architecture plan</w:t>
            </w:r>
          </w:p>
        </w:tc>
        <w:tc>
          <w:tcPr>
            <w:tcW w:type="dxa" w:w="67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Converted into ADRs, threat model, ownership, environments, CI/CD, recovery, monitoring, Android SDK, and store gates.</w:t>
            </w:r>
          </w:p>
        </w:tc>
      </w:tr>
      <w:tr>
        <w:trPr>
          <w:cantSplit/>
        </w:trPr>
        <w:tc>
          <w:tcPr>
            <w:tcW w:type="dxa" w:w="26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MVP Development plan</w:t>
            </w:r>
          </w:p>
        </w:tc>
        <w:tc>
          <w:tcPr>
            <w:tcW w:type="dxa" w:w="67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Converted into traceable backlog, API/security controls, privacy workflows, billing/support, audit, SDK, feature flag, and Definition-of-Done requirements.</w:t>
            </w:r>
          </w:p>
        </w:tc>
      </w:tr>
      <w:tr>
        <w:trPr>
          <w:cantSplit/>
        </w:trPr>
        <w:tc>
          <w:tcPr>
            <w:tcW w:type="dxa" w:w="26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Go-Live Test plan</w:t>
            </w:r>
          </w:p>
        </w:tc>
        <w:tc>
          <w:tcPr>
            <w:tcW w:type="dxa" w:w="67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Converted into QA, security, privacy audit, resilience, incident simulation, findings, evidence, and final Go/Conditional Go/No-Go rules.</w:t>
            </w:r>
          </w:p>
        </w:tc>
      </w:tr>
      <w:tr>
        <w:trPr>
          <w:cantSplit/>
        </w:trPr>
        <w:tc>
          <w:tcPr>
            <w:tcW w:type="dxa" w:w="26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App Document</w:t>
            </w:r>
          </w:p>
        </w:tc>
        <w:tc>
          <w:tcPr>
            <w:tcW w:type="dxa" w:w="67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Applied as documentation-first execution: approved Markdown remains the source of truth, tasks link to requirement IDs, decisions use ADRs, tests prove implementation, and one controlled sprint is active.</w:t>
            </w:r>
          </w:p>
        </w:tc>
      </w:tr>
      <w:tr>
        <w:trPr>
          <w:cantSplit/>
        </w:trPr>
        <w:tc>
          <w:tcPr>
            <w:tcW w:type="dxa" w:w="26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7"/>
              </w:rPr>
              <w:t>Existing consolidated roadmap</w:t>
            </w:r>
          </w:p>
        </w:tc>
        <w:tc>
          <w:tcPr>
            <w:tcW w:type="dxa" w:w="67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7"/>
              </w:rPr>
              <w:t>Retained the company -&gt; compliance -&gt; product -&gt; architecture -&gt; build -&gt; test -&gt; pilot -&gt; Play -&gt; launch sequence, but reworked it in English and tailored it to Orderak's actual repository and current 2026 regulatory/platform state.</w:t>
            </w:r>
          </w:p>
        </w:tc>
      </w:tr>
    </w:tbl>
    <w:p>
      <w:pPr>
        <w:spacing w:after="40"/>
      </w:pPr>
    </w:p>
    <w:p>
      <w:pPr>
        <w:pStyle w:val="Heading2"/>
      </w:pPr>
      <w:r>
        <w:t>Material reconciliations</w:t>
      </w:r>
    </w:p>
    <w:tbl>
      <w:tblPr>
        <w:tblStyle w:val="TableGrid"/>
        <w:tblW w:type="dxa" w:w="9360"/>
        <w:jc w:val="left"/>
        <w:tblLayout w:type="fixed"/>
        <w:tblLook w:firstColumn="1" w:firstRow="1" w:lastColumn="0" w:lastRow="0" w:noHBand="0" w:noVBand="1" w:val="04A0"/>
        <w:tblInd w:w="120" w:type="dxa"/>
        <w:tblBorders>
          <w:top w:val="single" w:sz="4" w:space="0" w:color="C8D1DC"/>
          <w:left w:val="single" w:sz="4" w:space="0" w:color="C8D1DC"/>
          <w:bottom w:val="single" w:sz="4" w:space="0" w:color="C8D1DC"/>
          <w:right w:val="single" w:sz="4" w:space="0" w:color="C8D1DC"/>
          <w:insideH w:val="single" w:sz="4" w:space="0" w:color="C8D1DC"/>
          <w:insideV w:val="single" w:sz="4" w:space="0" w:color="C8D1DC"/>
        </w:tblBorders>
      </w:tblPr>
      <w:tblGrid>
        <w:gridCol w:w="2400"/>
        <w:gridCol w:w="6960"/>
      </w:tblGrid>
      <w:tr>
        <w:trPr>
          <w:tblHeader w:val="true"/>
          <w:cantSplit/>
        </w:trPr>
        <w:tc>
          <w:tcPr>
            <w:tcW w:type="dxa" w:w="240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Issue</w:t>
            </w:r>
          </w:p>
        </w:tc>
        <w:tc>
          <w:tcPr>
            <w:tcW w:type="dxa" w:w="6960"/>
            <w:shd w:fill="E8EEF5"/>
            <w:tcMar>
              <w:top w:w="80" w:type="dxa"/>
              <w:start w:w="120" w:type="dxa"/>
              <w:bottom w:w="80" w:type="dxa"/>
              <w:end w:w="120" w:type="dxa"/>
            </w:tcMar>
            <w:vAlign w:val="center"/>
          </w:tcPr>
          <w:p>
            <w:pPr>
              <w:keepNext/>
              <w:spacing w:before="0" w:after="0" w:line="252" w:lineRule="auto"/>
              <w:jc w:val="left"/>
            </w:pPr>
            <w:r>
              <w:rPr>
                <w:rFonts w:ascii="Calibri" w:hAnsi="Calibri" w:eastAsia="Calibri"/>
                <w:b/>
                <w:color w:val="17365D"/>
                <w:sz w:val="17"/>
              </w:rPr>
              <w:t>Resolution</w:t>
            </w:r>
          </w:p>
        </w:tc>
      </w:tr>
      <w:tr>
        <w:trPr>
          <w:cantSplit/>
        </w:trPr>
        <w:tc>
          <w:tcPr>
            <w:tcW w:type="dxa" w:w="24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DPO assessment vs obligation</w:t>
            </w:r>
          </w:p>
        </w:tc>
        <w:tc>
          <w:tcPr>
            <w:tcW w:type="dxa" w:w="6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Current PDPC guidance states juridical persons acting as data users must appoint a registered DPO irrespective of scale. Roadmap treats appointment as mandatory after incorporation, subject to counsel/PDPC confirmation.</w:t>
            </w:r>
          </w:p>
        </w:tc>
      </w:tr>
      <w:tr>
        <w:trPr>
          <w:cantSplit/>
        </w:trPr>
        <w:tc>
          <w:tcPr>
            <w:tcW w:type="dxa" w:w="24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Cloud hosting</w:t>
            </w:r>
          </w:p>
        </w:tc>
        <w:tc>
          <w:tcPr>
            <w:tcW w:type="dxa" w:w="6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Cloudflare is not assumed Egypt-resident. Deployed D1 and R2 are Western Europe; D1 is unconstrained. Hosting and transfer approval precede architecture freeze.</w:t>
            </w:r>
          </w:p>
        </w:tc>
      </w:tr>
      <w:tr>
        <w:trPr>
          <w:cantSplit/>
        </w:trPr>
        <w:tc>
          <w:tcPr>
            <w:tcW w:type="dxa" w:w="24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Android deadline</w:t>
            </w:r>
          </w:p>
        </w:tc>
        <w:tc>
          <w:tcPr>
            <w:tcW w:type="dxa" w:w="6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repository's API 35 baseline is valid only until the near-term Play policy change. API 36 is an immediate task with an internal 14 August deadline.</w:t>
            </w:r>
          </w:p>
        </w:tc>
      </w:tr>
      <w:tr>
        <w:trPr>
          <w:cantSplit/>
        </w:trPr>
        <w:tc>
          <w:tcPr>
            <w:tcW w:type="dxa" w:w="24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Billing</w:t>
            </w:r>
          </w:p>
        </w:tc>
        <w:tc>
          <w:tcPr>
            <w:tcW w:type="dxa" w:w="6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Merchant SaaS entitlement and merchant buyer transactions are separated. Play Billing applies to the digital SaaS decision; merchant physical-goods/services payments remain direct and outside Orderak custody.</w:t>
            </w:r>
          </w:p>
        </w:tc>
      </w:tr>
      <w:tr>
        <w:trPr>
          <w:cantSplit/>
        </w:trPr>
        <w:tc>
          <w:tcPr>
            <w:tcW w:type="dxa" w:w="24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Authentication</w:t>
            </w:r>
          </w:p>
        </w:tc>
        <w:tc>
          <w:tcPr>
            <w:tcW w:type="dxa" w:w="6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implemented Phase 1 contract is preserved. The target opaque-token migration is not silently inserted into launch scope; it requires explicit approval and contract/test/document updates.</w:t>
            </w:r>
          </w:p>
        </w:tc>
      </w:tr>
      <w:tr>
        <w:trPr>
          <w:cantSplit/>
        </w:trPr>
        <w:tc>
          <w:tcPr>
            <w:tcW w:type="dxa" w:w="24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Localization</w:t>
            </w:r>
          </w:p>
        </w:tc>
        <w:tc>
          <w:tcPr>
            <w:tcW w:type="dxa" w:w="6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existing Arabic/English/French seller UI and Arabic/English public catalog contract are preserved; legal and consent content remains Arabic-primary with bilingual parity.</w:t>
            </w:r>
          </w:p>
        </w:tc>
      </w:tr>
      <w:tr>
        <w:trPr>
          <w:cantSplit/>
        </w:trPr>
        <w:tc>
          <w:tcPr>
            <w:tcW w:type="dxa" w:w="2400"/>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Account deletion SLA</w:t>
            </w:r>
          </w:p>
        </w:tc>
        <w:tc>
          <w:tcPr>
            <w:tcW w:type="dxa" w:w="6960"/>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The protected 90-day fulfillment target is retained pending written Egyptian legal confirmation. A change requires explicit owner approval and protected contract/test/document migration.</w:t>
            </w:r>
          </w:p>
        </w:tc>
      </w:tr>
      <w:tr>
        <w:trPr>
          <w:cantSplit/>
        </w:trPr>
        <w:tc>
          <w:tcPr>
            <w:tcW w:type="dxa" w:w="240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color w:val="1F2937"/>
                <w:sz w:val="18"/>
              </w:rPr>
              <w:t>Individual to company operator</w:t>
            </w:r>
          </w:p>
        </w:tc>
        <w:tc>
          <w:tcPr>
            <w:tcW w:type="dxa" w:w="6960"/>
            <w:shd w:fill="FAFBFC"/>
            <w:tcMar>
              <w:top w:w="80" w:type="dxa"/>
              <w:start w:w="120" w:type="dxa"/>
              <w:bottom w:w="80" w:type="dxa"/>
              <w:end w:w="120" w:type="dxa"/>
            </w:tcMar>
            <w:vAlign w:val="center"/>
          </w:tcPr>
          <w:p>
            <w:pPr>
              <w:keepNext w:val="0"/>
              <w:spacing w:before="0" w:after="0" w:line="259" w:lineRule="auto"/>
            </w:pPr>
            <w:r>
              <w:rPr>
                <w:rFonts w:ascii="Calibri" w:hAnsi="Calibri" w:eastAsia="Calibri"/>
                <w:b w:val="0"/>
                <w:color w:val="1F2937"/>
                <w:sz w:val="18"/>
              </w:rPr>
              <w:t>Current policies name the founder. Company formation triggers policy/terms/seller-contract/invoice/store-listing changes and versioned acceptance/re-notice as counsel directs.</w:t>
            </w:r>
          </w:p>
        </w:tc>
      </w:tr>
    </w:tbl>
    <w:p>
      <w:pPr>
        <w:spacing w:after="40"/>
      </w:pPr>
    </w:p>
    <w:p>
      <w:pPr>
        <w:pStyle w:val="Heading1"/>
      </w:pPr>
      <w:r>
        <w:t>22. Verified references and implementation sources</w:t>
      </w:r>
    </w:p>
    <w:p>
      <w:pPr>
        <w:keepNext w:val="0"/>
        <w:spacing w:before="0" w:after="120" w:line="300" w:lineRule="auto"/>
      </w:pPr>
      <w:r>
        <w:rPr>
          <w:rFonts w:ascii="Calibri" w:hAnsi="Calibri" w:eastAsia="Calibri"/>
          <w:i w:val="0"/>
          <w:color w:val="5F6B7A"/>
          <w:sz w:val="19"/>
        </w:rPr>
        <w:t>Current or changeable claims were checked against authoritative sources available on 18 July 2026. Official portals, Play Console, cloud dashboards, and counsel must be rechecked at the moment of filing or submission.</w:t>
      </w:r>
    </w:p>
    <w:p>
      <w:pPr>
        <w:keepNext w:val="0"/>
        <w:spacing w:before="0" w:after="80" w:line="276" w:lineRule="auto"/>
      </w:pPr>
      <w:r>
        <w:rPr>
          <w:rFonts w:ascii="Calibri" w:hAnsi="Calibri" w:eastAsia="Calibri"/>
          <w:b/>
          <w:color w:val="17365D"/>
          <w:sz w:val="19"/>
        </w:rPr>
        <w:t xml:space="preserve">[R1] </w:t>
      </w:r>
      <w:hyperlink r:id="rId11">
        <w:r>
          <w:rPr>
            <w:rFonts w:ascii="Calibri" w:hAnsi="Calibri"/>
            <w:color w:val="2E74B5"/>
            <w:u w:val="single"/>
            <w:sz w:val="20"/>
          </w:rPr>
          <w:t>GAFI - new company formation system using digital identity (31 January 2026)</w:t>
        </w:r>
      </w:hyperlink>
    </w:p>
    <w:p>
      <w:pPr>
        <w:keepNext w:val="0"/>
        <w:spacing w:before="0" w:after="80" w:line="276" w:lineRule="auto"/>
      </w:pPr>
      <w:r>
        <w:rPr>
          <w:rFonts w:ascii="Calibri" w:hAnsi="Calibri" w:eastAsia="Calibri"/>
          <w:b/>
          <w:color w:val="17365D"/>
          <w:sz w:val="19"/>
        </w:rPr>
        <w:t xml:space="preserve">[R2] </w:t>
      </w:r>
      <w:hyperlink r:id="rId12">
        <w:r>
          <w:rPr>
            <w:rFonts w:ascii="Calibri" w:hAnsi="Calibri"/>
            <w:color w:val="2E74B5"/>
            <w:u w:val="single"/>
            <w:sz w:val="20"/>
          </w:rPr>
          <w:t>GAFI - company incorporation services (single-person company and LLC)</w:t>
        </w:r>
      </w:hyperlink>
    </w:p>
    <w:p>
      <w:pPr>
        <w:keepNext w:val="0"/>
        <w:spacing w:before="0" w:after="80" w:line="276" w:lineRule="auto"/>
      </w:pPr>
      <w:r>
        <w:rPr>
          <w:rFonts w:ascii="Calibri" w:hAnsi="Calibri" w:eastAsia="Calibri"/>
          <w:b/>
          <w:color w:val="17365D"/>
          <w:sz w:val="19"/>
        </w:rPr>
        <w:t xml:space="preserve">[R3] </w:t>
      </w:r>
      <w:hyperlink r:id="rId13">
        <w:r>
          <w:rPr>
            <w:rFonts w:ascii="Calibri" w:hAnsi="Calibri"/>
            <w:color w:val="2E74B5"/>
            <w:u w:val="single"/>
            <w:sz w:val="20"/>
          </w:rPr>
          <w:t>GAFI - investment, companies, and intellectual-property laws</w:t>
        </w:r>
      </w:hyperlink>
    </w:p>
    <w:p>
      <w:pPr>
        <w:keepNext w:val="0"/>
        <w:spacing w:before="0" w:after="80" w:line="276" w:lineRule="auto"/>
      </w:pPr>
      <w:r>
        <w:rPr>
          <w:rFonts w:ascii="Calibri" w:hAnsi="Calibri" w:eastAsia="Calibri"/>
          <w:b/>
          <w:color w:val="17365D"/>
          <w:sz w:val="19"/>
        </w:rPr>
        <w:t xml:space="preserve">[R4] </w:t>
      </w:r>
      <w:hyperlink r:id="rId14">
        <w:r>
          <w:rPr>
            <w:rFonts w:ascii="Calibri" w:hAnsi="Calibri"/>
            <w:color w:val="2E74B5"/>
            <w:u w:val="single"/>
            <w:sz w:val="20"/>
          </w:rPr>
          <w:t>Egyptian Tax Authority - simplified tax regime under Law 6/2025</w:t>
        </w:r>
      </w:hyperlink>
    </w:p>
    <w:p>
      <w:pPr>
        <w:keepNext w:val="0"/>
        <w:spacing w:before="0" w:after="80" w:line="276" w:lineRule="auto"/>
      </w:pPr>
      <w:r>
        <w:rPr>
          <w:rFonts w:ascii="Calibri" w:hAnsi="Calibri" w:eastAsia="Calibri"/>
          <w:b/>
          <w:color w:val="17365D"/>
          <w:sz w:val="19"/>
        </w:rPr>
        <w:t xml:space="preserve">[R5] </w:t>
      </w:r>
      <w:hyperlink r:id="rId15">
        <w:r>
          <w:rPr>
            <w:rFonts w:ascii="Calibri" w:hAnsi="Calibri"/>
            <w:color w:val="2E74B5"/>
            <w:u w:val="single"/>
            <w:sz w:val="20"/>
          </w:rPr>
          <w:t>Egyptian Tax Authority - e-invoice/e-receipt portal and taxpayer guidance</w:t>
        </w:r>
      </w:hyperlink>
    </w:p>
    <w:p>
      <w:pPr>
        <w:keepNext w:val="0"/>
        <w:spacing w:before="0" w:after="80" w:line="276" w:lineRule="auto"/>
      </w:pPr>
      <w:r>
        <w:rPr>
          <w:rFonts w:ascii="Calibri" w:hAnsi="Calibri" w:eastAsia="Calibri"/>
          <w:b/>
          <w:color w:val="17365D"/>
          <w:sz w:val="19"/>
        </w:rPr>
        <w:t xml:space="preserve">[R6] </w:t>
      </w:r>
      <w:hyperlink r:id="rId16">
        <w:r>
          <w:rPr>
            <w:rFonts w:ascii="Calibri" w:hAnsi="Calibri"/>
            <w:color w:val="2E74B5"/>
            <w:u w:val="single"/>
            <w:sz w:val="20"/>
          </w:rPr>
          <w:t>National Organization for Social Insurance - opening a new employer file</w:t>
        </w:r>
      </w:hyperlink>
    </w:p>
    <w:p>
      <w:pPr>
        <w:keepNext w:val="0"/>
        <w:spacing w:before="0" w:after="80" w:line="276" w:lineRule="auto"/>
      </w:pPr>
      <w:r>
        <w:rPr>
          <w:rFonts w:ascii="Calibri" w:hAnsi="Calibri" w:eastAsia="Calibri"/>
          <w:b/>
          <w:color w:val="17365D"/>
          <w:sz w:val="19"/>
        </w:rPr>
        <w:t xml:space="preserve">[R7] </w:t>
      </w:r>
      <w:hyperlink r:id="rId17">
        <w:r>
          <w:rPr>
            <w:rFonts w:ascii="Calibri" w:hAnsi="Calibri"/>
            <w:color w:val="2E74B5"/>
            <w:u w:val="single"/>
            <w:sz w:val="20"/>
          </w:rPr>
          <w:t>Egyptian Ministry of Labour - laws and legislation, including Labour Law 14/2025</w:t>
        </w:r>
      </w:hyperlink>
    </w:p>
    <w:p>
      <w:pPr>
        <w:keepNext w:val="0"/>
        <w:spacing w:before="0" w:after="80" w:line="276" w:lineRule="auto"/>
      </w:pPr>
      <w:r>
        <w:rPr>
          <w:rFonts w:ascii="Calibri" w:hAnsi="Calibri" w:eastAsia="Calibri"/>
          <w:b/>
          <w:color w:val="17365D"/>
          <w:sz w:val="19"/>
        </w:rPr>
        <w:t xml:space="preserve">[R8] </w:t>
      </w:r>
      <w:hyperlink r:id="rId18">
        <w:r>
          <w:rPr>
            <w:rFonts w:ascii="Calibri" w:hAnsi="Calibri"/>
            <w:color w:val="2E74B5"/>
            <w:u w:val="single"/>
            <w:sz w:val="20"/>
          </w:rPr>
          <w:t>Egyptian Personal Data Protection Center - DPO Guidelines v1.1 (26 January 2026)</w:t>
        </w:r>
      </w:hyperlink>
    </w:p>
    <w:p>
      <w:pPr>
        <w:keepNext w:val="0"/>
        <w:spacing w:before="0" w:after="80" w:line="276" w:lineRule="auto"/>
      </w:pPr>
      <w:r>
        <w:rPr>
          <w:rFonts w:ascii="Calibri" w:hAnsi="Calibri" w:eastAsia="Calibri"/>
          <w:b/>
          <w:color w:val="17365D"/>
          <w:sz w:val="19"/>
        </w:rPr>
        <w:t xml:space="preserve">[R9] </w:t>
      </w:r>
      <w:hyperlink r:id="rId19">
        <w:r>
          <w:rPr>
            <w:rFonts w:ascii="Calibri" w:hAnsi="Calibri"/>
            <w:color w:val="2E74B5"/>
            <w:u w:val="single"/>
            <w:sz w:val="20"/>
          </w:rPr>
          <w:t>Egyptian Personal Data Protection Center - Data Subject Consent Guidelines v1.1</w:t>
        </w:r>
      </w:hyperlink>
    </w:p>
    <w:p>
      <w:pPr>
        <w:keepNext w:val="0"/>
        <w:spacing w:before="0" w:after="80" w:line="276" w:lineRule="auto"/>
      </w:pPr>
      <w:r>
        <w:rPr>
          <w:rFonts w:ascii="Calibri" w:hAnsi="Calibri" w:eastAsia="Calibri"/>
          <w:b/>
          <w:color w:val="17365D"/>
          <w:sz w:val="19"/>
        </w:rPr>
        <w:t xml:space="preserve">[R10] </w:t>
      </w:r>
      <w:hyperlink r:id="rId20">
        <w:r>
          <w:rPr>
            <w:rFonts w:ascii="Calibri" w:hAnsi="Calibri"/>
            <w:color w:val="2E74B5"/>
            <w:u w:val="single"/>
            <w:sz w:val="20"/>
          </w:rPr>
          <w:t>Egyptian Personal Data Protection Center - Privacy Notice Guidelines</w:t>
        </w:r>
      </w:hyperlink>
    </w:p>
    <w:p>
      <w:pPr>
        <w:keepNext w:val="0"/>
        <w:spacing w:before="0" w:after="80" w:line="276" w:lineRule="auto"/>
      </w:pPr>
      <w:r>
        <w:rPr>
          <w:rFonts w:ascii="Calibri" w:hAnsi="Calibri" w:eastAsia="Calibri"/>
          <w:b/>
          <w:color w:val="17365D"/>
          <w:sz w:val="19"/>
        </w:rPr>
        <w:t xml:space="preserve">[R11] </w:t>
      </w:r>
      <w:hyperlink r:id="rId21">
        <w:r>
          <w:rPr>
            <w:rFonts w:ascii="Calibri" w:hAnsi="Calibri"/>
            <w:color w:val="2E74B5"/>
            <w:u w:val="single"/>
            <w:sz w:val="20"/>
          </w:rPr>
          <w:t>Central Bank of Egypt - Payment Systems and Services Oversight</w:t>
        </w:r>
      </w:hyperlink>
    </w:p>
    <w:p>
      <w:pPr>
        <w:keepNext w:val="0"/>
        <w:spacing w:before="0" w:after="80" w:line="276" w:lineRule="auto"/>
      </w:pPr>
      <w:r>
        <w:rPr>
          <w:rFonts w:ascii="Calibri" w:hAnsi="Calibri" w:eastAsia="Calibri"/>
          <w:b/>
          <w:color w:val="17365D"/>
          <w:sz w:val="19"/>
        </w:rPr>
        <w:t xml:space="preserve">[R12] </w:t>
      </w:r>
      <w:hyperlink r:id="rId22">
        <w:r>
          <w:rPr>
            <w:rFonts w:ascii="Calibri" w:hAnsi="Calibri"/>
            <w:color w:val="2E74B5"/>
            <w:u w:val="single"/>
            <w:sz w:val="20"/>
          </w:rPr>
          <w:t>Financial Regulatory Authority - fintech regulations and decisions</w:t>
        </w:r>
      </w:hyperlink>
    </w:p>
    <w:p>
      <w:pPr>
        <w:keepNext w:val="0"/>
        <w:spacing w:before="0" w:after="80" w:line="276" w:lineRule="auto"/>
      </w:pPr>
      <w:r>
        <w:rPr>
          <w:rFonts w:ascii="Calibri" w:hAnsi="Calibri" w:eastAsia="Calibri"/>
          <w:b/>
          <w:color w:val="17365D"/>
          <w:sz w:val="19"/>
        </w:rPr>
        <w:t xml:space="preserve">[R13] </w:t>
      </w:r>
      <w:hyperlink r:id="rId23">
        <w:r>
          <w:rPr>
            <w:rFonts w:ascii="Calibri" w:hAnsi="Calibri"/>
            <w:color w:val="2E74B5"/>
            <w:u w:val="single"/>
            <w:sz w:val="20"/>
          </w:rPr>
          <w:t>NTRA - rules and conditions for mobile value-added services</w:t>
        </w:r>
      </w:hyperlink>
    </w:p>
    <w:p>
      <w:pPr>
        <w:keepNext w:val="0"/>
        <w:spacing w:before="0" w:after="80" w:line="276" w:lineRule="auto"/>
      </w:pPr>
      <w:r>
        <w:rPr>
          <w:rFonts w:ascii="Calibri" w:hAnsi="Calibri" w:eastAsia="Calibri"/>
          <w:b/>
          <w:color w:val="17365D"/>
          <w:sz w:val="19"/>
        </w:rPr>
        <w:t xml:space="preserve">[R14] </w:t>
      </w:r>
      <w:hyperlink r:id="rId24">
        <w:r>
          <w:rPr>
            <w:rFonts w:ascii="Calibri" w:hAnsi="Calibri"/>
            <w:color w:val="2E74B5"/>
            <w:u w:val="single"/>
            <w:sz w:val="20"/>
          </w:rPr>
          <w:t>Consumer Protection Agency - definitions, invoices, returns, and digital transactions</w:t>
        </w:r>
      </w:hyperlink>
    </w:p>
    <w:p>
      <w:pPr>
        <w:keepNext w:val="0"/>
        <w:spacing w:before="0" w:after="80" w:line="276" w:lineRule="auto"/>
      </w:pPr>
      <w:r>
        <w:rPr>
          <w:rFonts w:ascii="Calibri" w:hAnsi="Calibri" w:eastAsia="Calibri"/>
          <w:b/>
          <w:color w:val="17365D"/>
          <w:sz w:val="19"/>
        </w:rPr>
        <w:t xml:space="preserve">[R15] </w:t>
      </w:r>
      <w:hyperlink r:id="rId25">
        <w:r>
          <w:rPr>
            <w:rFonts w:ascii="Calibri" w:hAnsi="Calibri"/>
            <w:color w:val="2E74B5"/>
            <w:u w:val="single"/>
            <w:sz w:val="20"/>
          </w:rPr>
          <w:t>Google Play - target API level requirements</w:t>
        </w:r>
      </w:hyperlink>
    </w:p>
    <w:p>
      <w:pPr>
        <w:keepNext w:val="0"/>
        <w:spacing w:before="0" w:after="80" w:line="276" w:lineRule="auto"/>
      </w:pPr>
      <w:r>
        <w:rPr>
          <w:rFonts w:ascii="Calibri" w:hAnsi="Calibri" w:eastAsia="Calibri"/>
          <w:b/>
          <w:color w:val="17365D"/>
          <w:sz w:val="19"/>
        </w:rPr>
        <w:t xml:space="preserve">[R16] </w:t>
      </w:r>
      <w:hyperlink r:id="rId26">
        <w:r>
          <w:rPr>
            <w:rFonts w:ascii="Calibri" w:hAnsi="Calibri"/>
            <w:color w:val="2E74B5"/>
            <w:u w:val="single"/>
            <w:sz w:val="20"/>
          </w:rPr>
          <w:t>Google Play - Data Safety form requirements</w:t>
        </w:r>
      </w:hyperlink>
    </w:p>
    <w:p>
      <w:pPr>
        <w:keepNext w:val="0"/>
        <w:spacing w:before="0" w:after="80" w:line="276" w:lineRule="auto"/>
      </w:pPr>
      <w:r>
        <w:rPr>
          <w:rFonts w:ascii="Calibri" w:hAnsi="Calibri" w:eastAsia="Calibri"/>
          <w:b/>
          <w:color w:val="17365D"/>
          <w:sz w:val="19"/>
        </w:rPr>
        <w:t xml:space="preserve">[R17] </w:t>
      </w:r>
      <w:hyperlink r:id="rId27">
        <w:r>
          <w:rPr>
            <w:rFonts w:ascii="Calibri" w:hAnsi="Calibri"/>
            <w:color w:val="2E74B5"/>
            <w:u w:val="single"/>
            <w:sz w:val="20"/>
          </w:rPr>
          <w:t>Google Play - app account deletion requirements</w:t>
        </w:r>
      </w:hyperlink>
    </w:p>
    <w:p>
      <w:pPr>
        <w:keepNext w:val="0"/>
        <w:spacing w:before="0" w:after="80" w:line="276" w:lineRule="auto"/>
      </w:pPr>
      <w:r>
        <w:rPr>
          <w:rFonts w:ascii="Calibri" w:hAnsi="Calibri" w:eastAsia="Calibri"/>
          <w:b/>
          <w:color w:val="17365D"/>
          <w:sz w:val="19"/>
        </w:rPr>
        <w:t xml:space="preserve">[R18] </w:t>
      </w:r>
      <w:hyperlink r:id="rId28">
        <w:r>
          <w:rPr>
            <w:rFonts w:ascii="Calibri" w:hAnsi="Calibri"/>
            <w:color w:val="2E74B5"/>
            <w:u w:val="single"/>
            <w:sz w:val="20"/>
          </w:rPr>
          <w:t>Google Play - payments policy and billing classification</w:t>
        </w:r>
      </w:hyperlink>
    </w:p>
    <w:p>
      <w:pPr>
        <w:keepNext w:val="0"/>
        <w:spacing w:before="0" w:after="80" w:line="276" w:lineRule="auto"/>
      </w:pPr>
      <w:r>
        <w:rPr>
          <w:rFonts w:ascii="Calibri" w:hAnsi="Calibri" w:eastAsia="Calibri"/>
          <w:b/>
          <w:color w:val="17365D"/>
          <w:sz w:val="19"/>
        </w:rPr>
        <w:t xml:space="preserve">[R19] </w:t>
      </w:r>
      <w:hyperlink r:id="rId29">
        <w:r>
          <w:rPr>
            <w:rFonts w:ascii="Calibri" w:hAnsi="Calibri"/>
            <w:color w:val="2E74B5"/>
            <w:u w:val="single"/>
            <w:sz w:val="20"/>
          </w:rPr>
          <w:t>Google Play - contacts permissions and minimum-scope alternatives</w:t>
        </w:r>
      </w:hyperlink>
    </w:p>
    <w:p>
      <w:pPr>
        <w:keepNext w:val="0"/>
        <w:spacing w:before="0" w:after="80" w:line="276" w:lineRule="auto"/>
      </w:pPr>
      <w:r>
        <w:rPr>
          <w:rFonts w:ascii="Calibri" w:hAnsi="Calibri" w:eastAsia="Calibri"/>
          <w:b/>
          <w:color w:val="17365D"/>
          <w:sz w:val="19"/>
        </w:rPr>
        <w:t xml:space="preserve">[R20] </w:t>
      </w:r>
      <w:hyperlink r:id="rId30">
        <w:r>
          <w:rPr>
            <w:rFonts w:ascii="Calibri" w:hAnsi="Calibri"/>
            <w:color w:val="2E74B5"/>
            <w:u w:val="single"/>
            <w:sz w:val="20"/>
          </w:rPr>
          <w:t>Cloudflare D1 - data location and jurisdiction constraints</w:t>
        </w:r>
      </w:hyperlink>
    </w:p>
    <w:p>
      <w:pPr>
        <w:keepNext w:val="0"/>
        <w:spacing w:before="0" w:after="80" w:line="276" w:lineRule="auto"/>
      </w:pPr>
      <w:r>
        <w:rPr>
          <w:rFonts w:ascii="Calibri" w:hAnsi="Calibri" w:eastAsia="Calibri"/>
          <w:b/>
          <w:color w:val="17365D"/>
          <w:sz w:val="19"/>
        </w:rPr>
        <w:t xml:space="preserve">[R21] </w:t>
      </w:r>
      <w:hyperlink r:id="rId31">
        <w:r>
          <w:rPr>
            <w:rFonts w:ascii="Calibri" w:hAnsi="Calibri"/>
            <w:color w:val="2E74B5"/>
            <w:u w:val="single"/>
            <w:sz w:val="20"/>
          </w:rPr>
          <w:t>Cloudflare D1 - Time Travel and backup/restore</w:t>
        </w:r>
      </w:hyperlink>
    </w:p>
    <w:p>
      <w:pPr>
        <w:keepNext w:val="0"/>
        <w:spacing w:before="0" w:after="80" w:line="276" w:lineRule="auto"/>
      </w:pPr>
      <w:r>
        <w:rPr>
          <w:rFonts w:ascii="Calibri" w:hAnsi="Calibri" w:eastAsia="Calibri"/>
          <w:b/>
          <w:color w:val="17365D"/>
          <w:sz w:val="19"/>
        </w:rPr>
        <w:t xml:space="preserve">[R22] </w:t>
      </w:r>
      <w:hyperlink r:id="rId32">
        <w:r>
          <w:rPr>
            <w:rFonts w:ascii="Calibri" w:hAnsi="Calibri"/>
            <w:color w:val="2E74B5"/>
            <w:u w:val="single"/>
            <w:sz w:val="20"/>
          </w:rPr>
          <w:t>Cloudflare Data Localization Suite - processing, keys, logs, and regional services</w:t>
        </w:r>
      </w:hyperlink>
    </w:p>
    <w:p>
      <w:pPr>
        <w:keepNext w:val="0"/>
        <w:spacing w:before="0" w:after="80" w:line="276" w:lineRule="auto"/>
      </w:pPr>
      <w:r>
        <w:rPr>
          <w:rFonts w:ascii="Calibri" w:hAnsi="Calibri" w:eastAsia="Calibri"/>
          <w:b/>
          <w:color w:val="17365D"/>
          <w:sz w:val="19"/>
        </w:rPr>
        <w:t xml:space="preserve">[R23] </w:t>
      </w:r>
      <w:hyperlink r:id="rId33">
        <w:r>
          <w:rPr>
            <w:rFonts w:ascii="Calibri" w:hAnsi="Calibri"/>
            <w:color w:val="2E74B5"/>
            <w:u w:val="single"/>
            <w:sz w:val="20"/>
          </w:rPr>
          <w:t>Cloudflare Workers KV - global storage behavior</w:t>
        </w:r>
      </w:hyperlink>
    </w:p>
    <w:p>
      <w:pPr>
        <w:keepNext w:val="0"/>
        <w:spacing w:before="0" w:after="80" w:line="276" w:lineRule="auto"/>
      </w:pPr>
      <w:r>
        <w:rPr>
          <w:rFonts w:ascii="Calibri" w:hAnsi="Calibri" w:eastAsia="Calibri"/>
          <w:b/>
          <w:color w:val="17365D"/>
          <w:sz w:val="19"/>
        </w:rPr>
        <w:t xml:space="preserve">[R24] </w:t>
      </w:r>
      <w:hyperlink r:id="rId34">
        <w:r>
          <w:rPr>
            <w:rFonts w:ascii="Calibri" w:hAnsi="Calibri"/>
            <w:color w:val="2E74B5"/>
            <w:u w:val="single"/>
            <w:sz w:val="20"/>
          </w:rPr>
          <w:t>Cloudflare R2 - object storage and location hints</w:t>
        </w:r>
      </w:hyperlink>
    </w:p>
    <w:p>
      <w:pPr>
        <w:pStyle w:val="Heading2"/>
      </w:pPr>
      <w:r>
        <w:t>Internal implementation sources</w:t>
      </w:r>
    </w:p>
    <w:p>
      <w:pPr>
        <w:keepNext w:val="0"/>
        <w:numPr>
          <w:ilvl w:val="0"/>
          <w:numId w:val="10"/>
        </w:numPr>
        <w:spacing w:before="0" w:after="80" w:line="300" w:lineRule="auto"/>
      </w:pPr>
      <w:r>
        <w:rPr>
          <w:rFonts w:ascii="Calibri" w:hAnsi="Calibri" w:eastAsia="Calibri"/>
          <w:color w:val="1F2937"/>
          <w:sz w:val="22"/>
        </w:rPr>
        <w:t>docs/PLAN/0. Prohibitions Compliance Implementation Plan.docx</w:t>
      </w:r>
    </w:p>
    <w:p>
      <w:pPr>
        <w:keepNext w:val="0"/>
        <w:numPr>
          <w:ilvl w:val="0"/>
          <w:numId w:val="10"/>
        </w:numPr>
        <w:spacing w:before="0" w:after="80" w:line="300" w:lineRule="auto"/>
      </w:pPr>
      <w:r>
        <w:rPr>
          <w:rFonts w:ascii="Calibri" w:hAnsi="Calibri" w:eastAsia="Calibri"/>
          <w:color w:val="1F2937"/>
          <w:sz w:val="22"/>
        </w:rPr>
        <w:t>docs/PLAN/5. Privacy, Compliance, and Records Implementation Plan.docx</w:t>
      </w:r>
    </w:p>
    <w:p>
      <w:pPr>
        <w:keepNext w:val="0"/>
        <w:numPr>
          <w:ilvl w:val="0"/>
          <w:numId w:val="10"/>
        </w:numPr>
        <w:spacing w:before="0" w:after="80" w:line="300" w:lineRule="auto"/>
      </w:pPr>
      <w:r>
        <w:rPr>
          <w:rFonts w:ascii="Calibri" w:hAnsi="Calibri" w:eastAsia="Calibri"/>
          <w:color w:val="1F2937"/>
          <w:sz w:val="22"/>
        </w:rPr>
        <w:t>docs/PLAN/6. MVP Specification and Compliance Planning.docx</w:t>
      </w:r>
    </w:p>
    <w:p>
      <w:pPr>
        <w:keepNext w:val="0"/>
        <w:numPr>
          <w:ilvl w:val="0"/>
          <w:numId w:val="10"/>
        </w:numPr>
        <w:spacing w:before="0" w:after="80" w:line="300" w:lineRule="auto"/>
      </w:pPr>
      <w:r>
        <w:rPr>
          <w:rFonts w:ascii="Calibri" w:hAnsi="Calibri" w:eastAsia="Calibri"/>
          <w:color w:val="1F2937"/>
          <w:sz w:val="22"/>
        </w:rPr>
        <w:t>docs/PLAN/7. Technical Architecture and Platform Readiness Plan.docx</w:t>
      </w:r>
    </w:p>
    <w:p>
      <w:pPr>
        <w:keepNext w:val="0"/>
        <w:numPr>
          <w:ilvl w:val="0"/>
          <w:numId w:val="10"/>
        </w:numPr>
        <w:spacing w:before="0" w:after="80" w:line="300" w:lineRule="auto"/>
      </w:pPr>
      <w:r>
        <w:rPr>
          <w:rFonts w:ascii="Calibri" w:hAnsi="Calibri" w:eastAsia="Calibri"/>
          <w:color w:val="1F2937"/>
          <w:sz w:val="22"/>
        </w:rPr>
        <w:t>docs/PLAN/8. MVP Development and Compliance Implementation Plan.docx</w:t>
      </w:r>
    </w:p>
    <w:p>
      <w:pPr>
        <w:keepNext w:val="0"/>
        <w:numPr>
          <w:ilvl w:val="0"/>
          <w:numId w:val="10"/>
        </w:numPr>
        <w:spacing w:before="0" w:after="80" w:line="300" w:lineRule="auto"/>
      </w:pPr>
      <w:r>
        <w:rPr>
          <w:rFonts w:ascii="Calibri" w:hAnsi="Calibri" w:eastAsia="Calibri"/>
          <w:color w:val="1F2937"/>
          <w:sz w:val="22"/>
        </w:rPr>
        <w:t>docs/PLAN/9. Technical, Security, and Compliance Go-Live Test Plan.docx</w:t>
      </w:r>
    </w:p>
    <w:p>
      <w:pPr>
        <w:keepNext w:val="0"/>
        <w:numPr>
          <w:ilvl w:val="0"/>
          <w:numId w:val="10"/>
        </w:numPr>
        <w:spacing w:before="0" w:after="80" w:line="300" w:lineRule="auto"/>
      </w:pPr>
      <w:r>
        <w:rPr>
          <w:rFonts w:ascii="Calibri" w:hAnsi="Calibri" w:eastAsia="Calibri"/>
          <w:color w:val="1F2937"/>
          <w:sz w:val="22"/>
        </w:rPr>
        <w:t>docs/PLAN/App Document.docx</w:t>
      </w:r>
    </w:p>
    <w:p>
      <w:pPr>
        <w:keepNext w:val="0"/>
        <w:numPr>
          <w:ilvl w:val="0"/>
          <w:numId w:val="10"/>
        </w:numPr>
        <w:spacing w:before="0" w:after="80" w:line="300" w:lineRule="auto"/>
      </w:pPr>
      <w:r>
        <w:rPr>
          <w:rFonts w:ascii="Calibri" w:hAnsi="Calibri" w:eastAsia="Calibri"/>
          <w:color w:val="1F2937"/>
          <w:sz w:val="22"/>
        </w:rPr>
        <w:t>docs/PLAN/roadmap_egypt_android_company_final.docx</w:t>
      </w:r>
    </w:p>
    <w:p>
      <w:pPr>
        <w:keepNext w:val="0"/>
        <w:numPr>
          <w:ilvl w:val="0"/>
          <w:numId w:val="10"/>
        </w:numPr>
        <w:spacing w:before="0" w:after="80" w:line="300" w:lineRule="auto"/>
      </w:pPr>
      <w:r>
        <w:rPr>
          <w:rFonts w:ascii="Calibri" w:hAnsi="Calibri" w:eastAsia="Calibri"/>
          <w:color w:val="1F2937"/>
          <w:sz w:val="22"/>
        </w:rPr>
        <w:t>docs/app-plan.md, docs/architecture/*, docs/auth-phase1-contract.md, docs/localization-architecture.md, docs/production-auth-plan.md, docs/legal/*, and docs/runbooks/*</w:t>
      </w:r>
    </w:p>
    <w:tbl>
      <w:tblPr>
        <w:tblW w:type="dxa" w:w="9360"/>
        <w:jc w:val="left"/>
        <w:tblLayout w:type="fixed"/>
        <w:tblLook w:firstColumn="1" w:firstRow="1" w:lastColumn="0" w:lastRow="0" w:noHBand="0" w:noVBand="1" w:val="04A0"/>
        <w:tblInd w:w="120" w:type="dxa"/>
        <w:tblBorders>
          <w:top w:val="single" w:sz="6" w:space="0" w:color="2F6B3C"/>
          <w:left w:val="single" w:sz="6" w:space="0" w:color="2F6B3C"/>
          <w:bottom w:val="single" w:sz="6" w:space="0" w:color="2F6B3C"/>
          <w:right w:val="single" w:sz="6" w:space="0" w:color="2F6B3C"/>
        </w:tblBorders>
      </w:tblPr>
      <w:tblGrid>
        <w:gridCol w:w="9360"/>
      </w:tblGrid>
      <w:tr>
        <w:trPr>
          <w:cantSplit/>
        </w:trPr>
        <w:tc>
          <w:tcPr>
            <w:tcW w:type="dxa" w:w="9360"/>
            <w:tcMar>
              <w:top w:w="80" w:type="dxa"/>
              <w:start w:w="120" w:type="dxa"/>
              <w:bottom w:w="80" w:type="dxa"/>
              <w:end w:w="120" w:type="dxa"/>
            </w:tcMar>
            <w:vAlign w:val="center"/>
            <w:shd w:fill="EAF4EC"/>
          </w:tcPr>
          <w:p>
            <w:pPr>
              <w:keepNext w:val="0"/>
              <w:spacing w:before="20" w:after="20" w:line="288" w:lineRule="auto"/>
            </w:pPr>
            <w:r>
              <w:rPr>
                <w:rFonts w:ascii="Calibri" w:hAnsi="Calibri" w:eastAsia="Calibri"/>
                <w:b/>
                <w:color w:val="2F6B3C"/>
                <w:sz w:val="21"/>
              </w:rPr>
              <w:t xml:space="preserve">Final handoff: </w:t>
            </w:r>
            <w:r>
              <w:rPr>
                <w:rFonts w:ascii="Calibri" w:hAnsi="Calibri" w:eastAsia="Calibri"/>
                <w:color w:val="1F2937"/>
                <w:sz w:val="21"/>
              </w:rPr>
              <w:t>The implementation lead should convert the approved first-30-day actions into the active sprint and assign requirement IDs. No engineering task is complete until its tests, documentation, privacy/security review, operational procedure, and release evidence are accepted.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360" w:val="right"/>
      </w:tabs>
      <w:spacing w:before="0" w:after="0" w:line="240" w:lineRule="auto"/>
      <w:jc w:val="left"/>
    </w:pPr>
    <w:r>
      <w:rPr>
        <w:rFonts w:ascii="Calibri" w:hAnsi="Calibri" w:eastAsia="Calibri"/>
        <w:color w:val="5F6B7A"/>
        <w:sz w:val="16"/>
      </w:rPr>
      <w:t>Confidential working document  |  Counsel and accountant confirmation required</w:t>
    </w:r>
    <w:r>
      <w:rPr>
        <w:rFonts w:ascii="Calibri" w:hAnsi="Calibri" w:eastAsia="Calibri"/>
        <w:color w:val="5F6B7A"/>
        <w:sz w:val="16"/>
      </w:rPr>
      <w:tab/>
      <w:t xml:space="preserve">Page </w:t>
    </w:r>
    <w:r>
      <w:rPr>
        <w:rFonts w:ascii="Calibri" w:hAnsi="Calibri" w:eastAsia="Calibri"/>
        <w:color w:val="5F6B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tabs>
        <w:tab w:pos="9360" w:val="right"/>
      </w:tabs>
      <w:spacing w:before="0" w:after="0" w:line="240" w:lineRule="auto"/>
      <w:jc w:val="left"/>
    </w:pPr>
    <w:r>
      <w:rPr>
        <w:rFonts w:ascii="Calibri" w:hAnsi="Calibri" w:eastAsia="Calibri"/>
        <w:b/>
        <w:color w:val="5F6B7A"/>
        <w:sz w:val="17"/>
      </w:rPr>
      <w:t>ORDERAK  |  EGYPT LAUNCH ROADMAP</w:t>
    </w:r>
    <w:r>
      <w:rPr>
        <w:rFonts w:ascii="Calibri" w:hAnsi="Calibri" w:eastAsia="Calibri"/>
        <w:color w:val="5F6B7A"/>
        <w:sz w:val="17"/>
      </w:rPr>
      <w:tab/>
      <w:t>EXECUTION BASELINE - 18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rPr>
    </w:lvl>
    <w:lvl w:ilvl="1">
      <w:start w:val="1"/>
      <w:numFmt w:val="bullet"/>
      <w:lvlText w:val="◦"/>
      <w:lvlJc w:val="left"/>
      <w:pPr>
        <w:tabs>
          <w:tab w:val="num" w:pos="900"/>
        </w:tabs>
        <w:ind w:left="900" w:hanging="270"/>
        <w:spacing w:after="80" w:line="300" w:lineRule="auto"/>
      </w:pPr>
      <w:rPr>
        <w:rFonts w:ascii="Calibri" w:hAnsi="Calibri"/>
      </w:rPr>
    </w:lvl>
    <w:lvl w:ilvl="2">
      <w:start w:val="1"/>
      <w:numFmt w:val="bullet"/>
      <w:lvlText w:val="▪"/>
      <w:lvlJc w:val="left"/>
      <w:pPr>
        <w:tabs>
          <w:tab w:val="num" w:pos="1260"/>
        </w:tabs>
        <w:ind w:left="1260" w:hanging="270"/>
        <w:spacing w:after="80" w:line="300" w:lineRule="auto"/>
      </w:pPr>
      <w:rPr>
        <w:rFonts w:ascii="Calibri" w:hAnsi="Calibri"/>
      </w:rPr>
    </w:lvl>
  </w:abstractNum>
  <w:abstractNum w:abstractNumId="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afi.gov.eg/Arabic/MediaCenter/News/Pages/%D8%AA%D8%B4%D8%BA%D9%8A%D9%84-%D9%86%D8%B8%D8%A7%D9%85-%D8%AA%D8%A3%D8%B3%D9%8A%D8%B3-%D8%AC%D8%AF%D9%8A%D8%AF-%D9%8A%D8%B9%D8%AA%D9%85%D8%AF-%D8%B9%D9%84%D9%89-%D8%A7%D9%84%D9%87%D9%88%D9%8A%D8%A9-%D8%A7%D9%84%D8%B1%D9%82%D9%85%D9%8A%D8%A9.aspx" TargetMode="External"/><Relationship Id="rId12" Type="http://schemas.openxmlformats.org/officeDocument/2006/relationships/hyperlink" Target="https://www.gafi.gov.eg/English/eServices/Pages/DepartmentService.aspx?DSID=7" TargetMode="External"/><Relationship Id="rId13" Type="http://schemas.openxmlformats.org/officeDocument/2006/relationships/hyperlink" Target="https://www.gafi.gov.eg/english/StartaBusiness/Laws-and-Regulations/Pages/BusinessLaws.aspx" TargetMode="External"/><Relationship Id="rId14" Type="http://schemas.openxmlformats.org/officeDocument/2006/relationships/hyperlink" Target="https://www.eta.gov.eg/ar/news/alnzam-aldryby-almbst-wfqa-llqanwn-rqm-6-lsnt-2025-frst-daymt-ldm-almnshat-alsghyrt-wthqyq" TargetMode="External"/><Relationship Id="rId15" Type="http://schemas.openxmlformats.org/officeDocument/2006/relationships/hyperlink" Target="https://portal.eta.gov.eg/ar/home" TargetMode="External"/><Relationship Id="rId16" Type="http://schemas.openxmlformats.org/officeDocument/2006/relationships/hyperlink" Target="https://www.nosi.gov.eg/ar/Services/Pages/Info/ANewEmployerFile.aspx" TargetMode="External"/><Relationship Id="rId17" Type="http://schemas.openxmlformats.org/officeDocument/2006/relationships/hyperlink" Target="https://www.labour.gov.eg/en/laws-and-legislations/" TargetMode="External"/><Relationship Id="rId18" Type="http://schemas.openxmlformats.org/officeDocument/2006/relationships/hyperlink" Target="https://pdpc.gov.eg/assets/pdf-data/Guidelines/DPO.pdf" TargetMode="External"/><Relationship Id="rId19" Type="http://schemas.openxmlformats.org/officeDocument/2006/relationships/hyperlink" Target="https://pdpc.gov.eg/assets/pdf-data/Guidelines/DSConsent.pdf" TargetMode="External"/><Relationship Id="rId20" Type="http://schemas.openxmlformats.org/officeDocument/2006/relationships/hyperlink" Target="https://pdpc.gov.eg/assets/pdf-data/Guidelines/Privacy%20Notice.pdf" TargetMode="External"/><Relationship Id="rId21" Type="http://schemas.openxmlformats.org/officeDocument/2006/relationships/hyperlink" Target="https://www.cbe.org.eg/en/payment-systems-and-services/payment-systems-and-services-oversight" TargetMode="External"/><Relationship Id="rId22" Type="http://schemas.openxmlformats.org/officeDocument/2006/relationships/hyperlink" Target="https://fra.gov.eg/en/%D8%A7%D9%84%D9%82%D8%B1%D8%A7%D8%B1%D8%A7%D8%AA-%D9%88%D8%A7%D9%84%D8%B6%D9%88%D8%A7%D8%A8%D8%B7-%D8%A7%D9%84%D9%85%D9%86%D8%B8%D9%85%D8%A9/" TargetMode="External"/><Relationship Id="rId23" Type="http://schemas.openxmlformats.org/officeDocument/2006/relationships/hyperlink" Target="https://www.tra.gov.eg/en/regulations/consumer-manuals-and-tips/rules-and-conditions-for-mobile-value-added-services/" TargetMode="External"/><Relationship Id="rId24" Type="http://schemas.openxmlformats.org/officeDocument/2006/relationships/hyperlink" Target="https://cpa.gov.eg/ar-eg/%D8%AA%D8%B9%D8%B1%D9%8A%D9%81%D8%A7%D8%AA" TargetMode="External"/><Relationship Id="rId25" Type="http://schemas.openxmlformats.org/officeDocument/2006/relationships/hyperlink" Target="https://support.google.com/googleplay/android-developer/answer/11926878?hl=en" TargetMode="External"/><Relationship Id="rId26" Type="http://schemas.openxmlformats.org/officeDocument/2006/relationships/hyperlink" Target="https://support.google.com/googleplay/android-developer/answer/10787469?hl=en" TargetMode="External"/><Relationship Id="rId27" Type="http://schemas.openxmlformats.org/officeDocument/2006/relationships/hyperlink" Target="https://support.google.com/googleplay/android-developer/answer/13327111?hl=en" TargetMode="External"/><Relationship Id="rId28" Type="http://schemas.openxmlformats.org/officeDocument/2006/relationships/hyperlink" Target="https://support.google.com/googleplay/android-developer/answer/10281818?hl=en" TargetMode="External"/><Relationship Id="rId29" Type="http://schemas.openxmlformats.org/officeDocument/2006/relationships/hyperlink" Target="https://support.google.com/googleplay/android-developer/answer/16935362?hl=en" TargetMode="External"/><Relationship Id="rId30" Type="http://schemas.openxmlformats.org/officeDocument/2006/relationships/hyperlink" Target="https://developers.cloudflare.com/d1/configuration/data-location/" TargetMode="External"/><Relationship Id="rId31" Type="http://schemas.openxmlformats.org/officeDocument/2006/relationships/hyperlink" Target="https://developers.cloudflare.com/d1/reference/time-travel/" TargetMode="External"/><Relationship Id="rId32" Type="http://schemas.openxmlformats.org/officeDocument/2006/relationships/hyperlink" Target="https://developers.cloudflare.com/data-localization/" TargetMode="External"/><Relationship Id="rId33" Type="http://schemas.openxmlformats.org/officeDocument/2006/relationships/hyperlink" Target="https://developers.cloudflare.com/kv/concepts/how-kv-works/" TargetMode="External"/><Relationship Id="rId34" Type="http://schemas.openxmlformats.org/officeDocument/2006/relationships/hyperlink" Target="https://developers.cloudflare.com/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Orderak Egypt Company and Android Launch Implementation Roadmap</dc:title>
  <dc:subject>Integrated company formation, privacy, compliance, product, technology, testing, and launch roadmap</dc:subject>
  <dc:creator>Orderak Program Office</dc:creator>
  <cp:keywords>Orderak, Egypt, Android, implementation roadmap, privacy, compliance, Google Play</cp:keywords>
  <dc:description>generated by python-docx</dc:description>
  <cp:lastModifiedBy/>
  <cp:revision>1</cp:revision>
  <dcterms:created xsi:type="dcterms:W3CDTF">2013-12-23T23:15:00Z</dcterms:created>
  <dcterms:modified xsi:type="dcterms:W3CDTF">2013-12-23T23:15:00Z</dcterms:modified>
  <cp:category/>
</cp:coreProperties>
</file>