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Extending Syda: Scenario-Driven Generation, AI Agent Interface, and Evaluation Framework</w:t>
      </w:r>
    </w:p>
    <w:p>
      <w:pPr>
        <w:jc w:val="center"/>
      </w:pPr>
      <w:r>
        <w:rPr>
          <w:color w:val="595959"/>
          <w:sz w:val="22"/>
        </w:rPr>
        <w:t>Capstone Specification — Fall 2026</w:t>
        <w:br/>
        <w:t>Kennesaw State University, College of Computing and Software Engineering</w:t>
      </w:r>
    </w:p>
    <w:p/>
    <w:p>
      <w:r>
        <w:rPr>
          <w:b/>
          <w:color w:val="1F497D"/>
          <w:sz w:val="32"/>
        </w:rPr>
        <w:t>Sponsor Information</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after="40"/>
            </w:pPr>
            <w:r>
              <w:rPr>
                <w:b/>
                <w:color w:val="FFFFFF"/>
                <w:sz w:val="20"/>
              </w:rPr>
              <w:t>Field</w:t>
            </w:r>
          </w:p>
        </w:tc>
        <w:tc>
          <w:tcPr>
            <w:tcW w:type="dxa" w:w="4392"/>
            <w:shd w:val="clear" w:color="auto" w:fill="2E74B5"/>
          </w:tcPr>
          <w:p>
            <w:pPr>
              <w:spacing w:after="40"/>
            </w:pPr>
            <w:r>
              <w:rPr>
                <w:b/>
                <w:color w:val="FFFFFF"/>
                <w:sz w:val="20"/>
              </w:rPr>
              <w:t>Detail</w:t>
            </w:r>
          </w:p>
        </w:tc>
      </w:tr>
      <w:tr>
        <w:tc>
          <w:tcPr>
            <w:tcW w:type="dxa" w:w="4392"/>
          </w:tcPr>
          <w:p>
            <w:pPr>
              <w:spacing w:after="40"/>
            </w:pPr>
            <w:r>
              <w:rPr>
                <w:sz w:val="20"/>
              </w:rPr>
              <w:t>Sponsor</w:t>
            </w:r>
          </w:p>
        </w:tc>
        <w:tc>
          <w:tcPr>
            <w:tcW w:type="dxa" w:w="4392"/>
          </w:tcPr>
          <w:p>
            <w:pPr>
              <w:spacing w:after="40"/>
            </w:pPr>
            <w:r>
              <w:rPr>
                <w:sz w:val="20"/>
              </w:rPr>
              <w:t>Individual industry expert (not company-sponsored)</w:t>
            </w:r>
          </w:p>
        </w:tc>
      </w:tr>
      <w:tr>
        <w:tc>
          <w:tcPr>
            <w:tcW w:type="dxa" w:w="4392"/>
            <w:shd w:val="clear" w:color="auto" w:fill="DEEAF1"/>
          </w:tcPr>
          <w:p>
            <w:pPr>
              <w:spacing w:after="40"/>
            </w:pPr>
            <w:r>
              <w:rPr>
                <w:sz w:val="20"/>
              </w:rPr>
              <w:t>Industry Mentor</w:t>
            </w:r>
          </w:p>
        </w:tc>
        <w:tc>
          <w:tcPr>
            <w:tcW w:type="dxa" w:w="4392"/>
            <w:shd w:val="clear" w:color="auto" w:fill="DEEAF1"/>
          </w:tcPr>
          <w:p>
            <w:pPr>
              <w:spacing w:after="40"/>
            </w:pPr>
            <w:r>
              <w:rPr>
                <w:sz w:val="20"/>
              </w:rPr>
              <w:t>Rama Krishna Kumar Lingamgunta</w:t>
            </w:r>
          </w:p>
        </w:tc>
      </w:tr>
      <w:tr>
        <w:tc>
          <w:tcPr>
            <w:tcW w:type="dxa" w:w="4392"/>
          </w:tcPr>
          <w:p>
            <w:pPr>
              <w:spacing w:after="40"/>
            </w:pPr>
            <w:r>
              <w:rPr>
                <w:sz w:val="20"/>
              </w:rPr>
              <w:t>Email</w:t>
            </w:r>
          </w:p>
        </w:tc>
        <w:tc>
          <w:tcPr>
            <w:tcW w:type="dxa" w:w="4392"/>
          </w:tcPr>
          <w:p>
            <w:pPr>
              <w:spacing w:after="40"/>
            </w:pPr>
            <w:r>
              <w:rPr>
                <w:sz w:val="20"/>
              </w:rPr>
              <w:t>ramkumar2606@gmail.com</w:t>
            </w:r>
          </w:p>
        </w:tc>
      </w:tr>
      <w:tr>
        <w:tc>
          <w:tcPr>
            <w:tcW w:type="dxa" w:w="4392"/>
            <w:shd w:val="clear" w:color="auto" w:fill="DEEAF1"/>
          </w:tcPr>
          <w:p>
            <w:pPr>
              <w:spacing w:after="40"/>
            </w:pPr>
            <w:r>
              <w:rPr>
                <w:sz w:val="20"/>
              </w:rPr>
              <w:t>Project Type</w:t>
            </w:r>
          </w:p>
        </w:tc>
        <w:tc>
          <w:tcPr>
            <w:tcW w:type="dxa" w:w="4392"/>
            <w:shd w:val="clear" w:color="auto" w:fill="DEEAF1"/>
          </w:tcPr>
          <w:p>
            <w:pPr>
              <w:spacing w:after="40"/>
            </w:pPr>
            <w:r>
              <w:rPr>
                <w:sz w:val="20"/>
              </w:rPr>
              <w:t>Open-source extension, AI agent interface, and evaluation</w:t>
            </w:r>
          </w:p>
        </w:tc>
      </w:tr>
      <w:tr>
        <w:tc>
          <w:tcPr>
            <w:tcW w:type="dxa" w:w="4392"/>
          </w:tcPr>
          <w:p>
            <w:pPr>
              <w:spacing w:after="40"/>
            </w:pPr>
            <w:r>
              <w:rPr>
                <w:sz w:val="20"/>
              </w:rPr>
              <w:t>Codebase</w:t>
            </w:r>
          </w:p>
        </w:tc>
        <w:tc>
          <w:tcPr>
            <w:tcW w:type="dxa" w:w="4392"/>
          </w:tcPr>
          <w:p>
            <w:pPr>
              <w:spacing w:after="40"/>
            </w:pPr>
            <w:r>
              <w:rPr>
                <w:sz w:val="20"/>
              </w:rPr>
              <w:t>https://github.com/syda-ai/syda</w:t>
            </w:r>
          </w:p>
        </w:tc>
      </w:tr>
      <w:tr>
        <w:tc>
          <w:tcPr>
            <w:tcW w:type="dxa" w:w="4392"/>
            <w:shd w:val="clear" w:color="auto" w:fill="DEEAF1"/>
          </w:tcPr>
          <w:p>
            <w:pPr>
              <w:spacing w:after="40"/>
            </w:pPr>
            <w:r>
              <w:rPr>
                <w:sz w:val="20"/>
              </w:rPr>
              <w:t>PyPI</w:t>
            </w:r>
          </w:p>
        </w:tc>
        <w:tc>
          <w:tcPr>
            <w:tcW w:type="dxa" w:w="4392"/>
            <w:shd w:val="clear" w:color="auto" w:fill="DEEAF1"/>
          </w:tcPr>
          <w:p>
            <w:pPr>
              <w:spacing w:after="40"/>
            </w:pPr>
            <w:r>
              <w:rPr>
                <w:sz w:val="20"/>
              </w:rPr>
              <w:t>pip install syda</w:t>
            </w:r>
          </w:p>
        </w:tc>
      </w:tr>
    </w:tbl>
    <w:p/>
    <w:p>
      <w:r>
        <w:rPr>
          <w:b/>
          <w:color w:val="1F497D"/>
          <w:sz w:val="32"/>
        </w:rPr>
        <w:t>One-Sentence Program Context</w:t>
      </w:r>
    </w:p>
    <w:p>
      <w:pPr>
        <w:spacing w:after="120"/>
      </w:pPr>
      <w:r>
        <w:rPr>
          <w:sz w:val="22"/>
        </w:rPr>
        <w:t>This specification outlines the deliverables for a one-semester computing capstone project at Kennesaw State University, extending an active open-source Python library used in enterprise AI and synthetic data workflows.</w:t>
      </w:r>
    </w:p>
    <w:p>
      <w:r>
        <w:rPr>
          <w:b/>
          <w:color w:val="1F497D"/>
          <w:sz w:val="32"/>
        </w:rPr>
        <w:t>Syda v0.2.0 Foundation — What Already Exists</w:t>
      </w:r>
    </w:p>
    <w:p>
      <w:pPr>
        <w:spacing w:after="120"/>
      </w:pPr>
      <w:r>
        <w:rPr>
          <w:sz w:val="22"/>
        </w:rPr>
        <w:t>Before defining scope, students must understand what Syda already provides so they build on it rather than reinvent it.</w:t>
      </w:r>
    </w:p>
    <w:p>
      <w:pPr>
        <w:spacing w:after="120"/>
      </w:pPr>
      <w:r>
        <w:rPr>
          <w:sz w:val="22"/>
        </w:rPr>
        <w:t>Syda is a production-ready Python library (MIT license, publicly available via pip install syda) that generates realistic synthetic data using large language models while preserving referential integrity across related database tables.</w:t>
      </w:r>
    </w:p>
    <w:p>
      <w:pPr>
        <w:spacing w:after="120"/>
      </w:pPr>
      <w:r>
        <w:rPr>
          <w:sz w:val="22"/>
        </w:rPr>
        <w:t>As of v0.2.0 (released June 2026), Syda includes:</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after="40"/>
            </w:pPr>
            <w:r>
              <w:rPr>
                <w:b/>
                <w:color w:val="FFFFFF"/>
                <w:sz w:val="20"/>
              </w:rPr>
              <w:t>Capability</w:t>
            </w:r>
          </w:p>
        </w:tc>
        <w:tc>
          <w:tcPr>
            <w:tcW w:type="dxa" w:w="4392"/>
            <w:shd w:val="clear" w:color="auto" w:fill="2E74B5"/>
          </w:tcPr>
          <w:p>
            <w:pPr>
              <w:spacing w:after="40"/>
            </w:pPr>
            <w:r>
              <w:rPr>
                <w:b/>
                <w:color w:val="FFFFFF"/>
                <w:sz w:val="20"/>
              </w:rPr>
              <w:t>Description</w:t>
            </w:r>
          </w:p>
        </w:tc>
      </w:tr>
      <w:tr>
        <w:tc>
          <w:tcPr>
            <w:tcW w:type="dxa" w:w="4392"/>
          </w:tcPr>
          <w:p>
            <w:pPr>
              <w:spacing w:after="40"/>
            </w:pPr>
            <w:r>
              <w:rPr>
                <w:sz w:val="20"/>
              </w:rPr>
              <w:t>Multi-provider LLM support</w:t>
            </w:r>
          </w:p>
        </w:tc>
        <w:tc>
          <w:tcPr>
            <w:tcW w:type="dxa" w:w="4392"/>
          </w:tcPr>
          <w:p>
            <w:pPr>
              <w:spacing w:after="40"/>
            </w:pPr>
            <w:r>
              <w:rPr>
                <w:sz w:val="20"/>
              </w:rPr>
              <w:t>Claude, GPT, Gemini, Grok, Ollama, and any OpenAI-compatible API</w:t>
            </w:r>
          </w:p>
        </w:tc>
      </w:tr>
      <w:tr>
        <w:tc>
          <w:tcPr>
            <w:tcW w:type="dxa" w:w="4392"/>
            <w:shd w:val="clear" w:color="auto" w:fill="DEEAF1"/>
          </w:tcPr>
          <w:p>
            <w:pPr>
              <w:spacing w:after="40"/>
            </w:pPr>
            <w:r>
              <w:rPr>
                <w:sz w:val="20"/>
              </w:rPr>
              <w:t>Referential integrity</w:t>
            </w:r>
          </w:p>
        </w:tc>
        <w:tc>
          <w:tcPr>
            <w:tcW w:type="dxa" w:w="4392"/>
            <w:shd w:val="clear" w:color="auto" w:fill="DEEAF1"/>
          </w:tcPr>
          <w:p>
            <w:pPr>
              <w:spacing w:after="40"/>
            </w:pPr>
            <w:r>
              <w:rPr>
                <w:sz w:val="20"/>
              </w:rPr>
              <w:t>Foreign key relationships are preserved and validated across tables</w:t>
            </w:r>
          </w:p>
        </w:tc>
      </w:tr>
      <w:tr>
        <w:tc>
          <w:tcPr>
            <w:tcW w:type="dxa" w:w="4392"/>
          </w:tcPr>
          <w:p>
            <w:pPr>
              <w:spacing w:after="40"/>
            </w:pPr>
            <w:r>
              <w:rPr>
                <w:sz w:val="20"/>
              </w:rPr>
              <w:t>Schema flexibility</w:t>
            </w:r>
          </w:p>
        </w:tc>
        <w:tc>
          <w:tcPr>
            <w:tcW w:type="dxa" w:w="4392"/>
          </w:tcPr>
          <w:p>
            <w:pPr>
              <w:spacing w:after="40"/>
            </w:pPr>
            <w:r>
              <w:rPr>
                <w:sz w:val="20"/>
              </w:rPr>
              <w:t>Accepts SQLAlchemy models, YAML, JSON, or Python dicts</w:t>
            </w:r>
          </w:p>
        </w:tc>
      </w:tr>
      <w:tr>
        <w:tc>
          <w:tcPr>
            <w:tcW w:type="dxa" w:w="4392"/>
            <w:shd w:val="clear" w:color="auto" w:fill="DEEAF1"/>
          </w:tcPr>
          <w:p>
            <w:pPr>
              <w:spacing w:after="40"/>
            </w:pPr>
            <w:r>
              <w:rPr>
                <w:sz w:val="20"/>
              </w:rPr>
              <w:t>Database integration</w:t>
            </w:r>
          </w:p>
        </w:tc>
        <w:tc>
          <w:tcPr>
            <w:tcW w:type="dxa" w:w="4392"/>
            <w:shd w:val="clear" w:color="auto" w:fill="DEEAF1"/>
          </w:tcPr>
          <w:p>
            <w:pPr>
              <w:spacing w:after="40"/>
            </w:pPr>
            <w:r>
              <w:rPr>
                <w:sz w:val="20"/>
              </w:rPr>
              <w:t>Schema inference from live databases; FK-safe write-back</w:t>
            </w:r>
          </w:p>
        </w:tc>
      </w:tr>
      <w:tr>
        <w:tc>
          <w:tcPr>
            <w:tcW w:type="dxa" w:w="4392"/>
          </w:tcPr>
          <w:p>
            <w:pPr>
              <w:spacing w:after="40"/>
            </w:pPr>
            <w:r>
              <w:rPr>
                <w:sz w:val="20"/>
              </w:rPr>
              <w:t>Large dataset mode</w:t>
            </w:r>
          </w:p>
        </w:tc>
        <w:tc>
          <w:tcPr>
            <w:tcW w:type="dxa" w:w="4392"/>
          </w:tcPr>
          <w:p>
            <w:pPr>
              <w:spacing w:after="40"/>
            </w:pPr>
            <w:r>
              <w:rPr>
                <w:sz w:val="20"/>
              </w:rPr>
              <w:t>Auto-switches to code-gen mode above 500 rows (10,000 rows in ~3 LLM calls)</w:t>
            </w:r>
          </w:p>
        </w:tc>
      </w:tr>
      <w:tr>
        <w:tc>
          <w:tcPr>
            <w:tcW w:type="dxa" w:w="4392"/>
            <w:shd w:val="clear" w:color="auto" w:fill="DEEAF1"/>
          </w:tcPr>
          <w:p>
            <w:pPr>
              <w:spacing w:after="40"/>
            </w:pPr>
            <w:r>
              <w:rPr>
                <w:sz w:val="20"/>
              </w:rPr>
              <w:t>CLI</w:t>
            </w:r>
          </w:p>
        </w:tc>
        <w:tc>
          <w:tcPr>
            <w:tcW w:type="dxa" w:w="4392"/>
            <w:shd w:val="clear" w:color="auto" w:fill="DEEAF1"/>
          </w:tcPr>
          <w:p>
            <w:pPr>
              <w:spacing w:after="40"/>
            </w:pPr>
            <w:r>
              <w:rPr>
                <w:sz w:val="20"/>
              </w:rPr>
              <w:t>syda generate, syda validate, syda db commands</w:t>
            </w:r>
          </w:p>
        </w:tc>
      </w:tr>
      <w:tr>
        <w:tc>
          <w:tcPr>
            <w:tcW w:type="dxa" w:w="4392"/>
          </w:tcPr>
          <w:p>
            <w:pPr>
              <w:spacing w:after="40"/>
            </w:pPr>
            <w:r>
              <w:rPr>
                <w:sz w:val="20"/>
              </w:rPr>
              <w:t>Cost and observability</w:t>
            </w:r>
          </w:p>
        </w:tc>
        <w:tc>
          <w:tcPr>
            <w:tcW w:type="dxa" w:w="4392"/>
          </w:tcPr>
          <w:p>
            <w:pPr>
              <w:spacing w:after="40"/>
            </w:pPr>
            <w:r>
              <w:rPr>
                <w:sz w:val="20"/>
              </w:rPr>
              <w:t>Per-column token/cost tracking with HTML run reports</w:t>
            </w:r>
          </w:p>
        </w:tc>
      </w:tr>
      <w:tr>
        <w:tc>
          <w:tcPr>
            <w:tcW w:type="dxa" w:w="4392"/>
            <w:shd w:val="clear" w:color="auto" w:fill="DEEAF1"/>
          </w:tcPr>
          <w:p>
            <w:pPr>
              <w:spacing w:after="40"/>
            </w:pPr>
            <w:r>
              <w:rPr>
                <w:sz w:val="20"/>
              </w:rPr>
              <w:t>Document generation</w:t>
            </w:r>
          </w:p>
        </w:tc>
        <w:tc>
          <w:tcPr>
            <w:tcW w:type="dxa" w:w="4392"/>
            <w:shd w:val="clear" w:color="auto" w:fill="DEEAF1"/>
          </w:tcPr>
          <w:p>
            <w:pPr>
              <w:spacing w:after="40"/>
            </w:pPr>
            <w:r>
              <w:rPr>
                <w:sz w:val="20"/>
              </w:rPr>
              <w:t>AI-linked PDF and HTML output alongside structured data</w:t>
            </w:r>
          </w:p>
        </w:tc>
      </w:tr>
    </w:tbl>
    <w:p/>
    <w:p>
      <w:pPr>
        <w:spacing w:after="120"/>
      </w:pPr>
      <w:r>
        <w:rPr>
          <w:sz w:val="22"/>
        </w:rPr>
        <w:t>What is NOT in Syda and is the focus of this capstone:</w:t>
      </w:r>
    </w:p>
    <w:p>
      <w:pPr>
        <w:pStyle w:val="ListBullet"/>
        <w:spacing w:after="60"/>
      </w:pPr>
      <w:r>
        <w:rPr>
          <w:sz w:val="22"/>
        </w:rPr>
        <w:t>No concept of business workflows or scenario sequences (e.g., diagnosis followed by claim followed by adjudication)</w:t>
      </w:r>
    </w:p>
    <w:p>
      <w:pPr>
        <w:pStyle w:val="ListBullet"/>
        <w:spacing w:after="60"/>
      </w:pPr>
      <w:r>
        <w:rPr>
          <w:sz w:val="22"/>
        </w:rPr>
        <w:t>No causal ordering enforcement across generated rows</w:t>
      </w:r>
    </w:p>
    <w:p>
      <w:pPr>
        <w:pStyle w:val="ListBullet"/>
        <w:spacing w:after="60"/>
      </w:pPr>
      <w:r>
        <w:rPr>
          <w:sz w:val="22"/>
        </w:rPr>
        <w:t>No web UI or REST API — requires Python knowledge to use</w:t>
      </w:r>
    </w:p>
    <w:p>
      <w:pPr>
        <w:pStyle w:val="ListBullet"/>
        <w:spacing w:after="60"/>
      </w:pPr>
      <w:r>
        <w:rPr>
          <w:sz w:val="22"/>
        </w:rPr>
        <w:t>No conversational agent interface</w:t>
      </w:r>
    </w:p>
    <w:p>
      <w:pPr>
        <w:pStyle w:val="ListBullet"/>
        <w:spacing w:after="60"/>
      </w:pPr>
      <w:r>
        <w:rPr>
          <w:sz w:val="22"/>
        </w:rPr>
        <w:t>No evaluation framework for quality, semantic correctness, or privacy leakage</w:t>
      </w:r>
    </w:p>
    <w:p>
      <w:r>
        <w:rPr>
          <w:b/>
          <w:color w:val="1F497D"/>
          <w:sz w:val="32"/>
        </w:rPr>
        <w:t>Project Overview</w:t>
      </w:r>
    </w:p>
    <w:p>
      <w:pPr>
        <w:spacing w:after="120"/>
      </w:pPr>
      <w:r>
        <w:rPr>
          <w:sz w:val="22"/>
        </w:rPr>
        <w:t>Enterprises in regulated industries such as healthcare, finance, and retail face persistent challenges when using real production data for testing, analytics, and AI development due to privacy, security, and compliance constraints. Teams often lack realistic data that reflects the full causal lifecycle of a business workflow.</w:t>
      </w:r>
    </w:p>
    <w:p>
      <w:pPr>
        <w:spacing w:after="120"/>
      </w:pPr>
      <w:r>
        <w:rPr>
          <w:sz w:val="22"/>
        </w:rPr>
        <w:t>Syda addresses the data generation problem at the row and table level. This capstone addresses two higher-order gaps: (1) making Syda workflow-aware through scenario-driven generation with causal integrity, and (2) making Syda accessible to non-technical domain experts through an AI agent interface and REST API.</w:t>
      </w:r>
    </w:p>
    <w:p>
      <w:pPr>
        <w:spacing w:after="120"/>
      </w:pPr>
      <w:r>
        <w:rPr>
          <w:sz w:val="22"/>
        </w:rPr>
        <w:t>This is not a greenfield AI project. Students will extend an established, actively maintained codebase and ship features that are planned for the Syda roadmap.</w:t>
      </w:r>
    </w:p>
    <w:p>
      <w:r>
        <w:rPr>
          <w:b/>
          <w:color w:val="1F497D"/>
          <w:sz w:val="32"/>
        </w:rPr>
        <w:t>Phase 1 Goal (One-Semester MVP Scope)</w:t>
      </w:r>
    </w:p>
    <w:p>
      <w:pPr>
        <w:spacing w:after="120"/>
      </w:pPr>
      <w:r>
        <w:rPr>
          <w:sz w:val="22"/>
        </w:rPr>
        <w:t>Extend Syda with four capabilities:</w:t>
      </w:r>
    </w:p>
    <w:p>
      <w:pPr>
        <w:pStyle w:val="ListBullet"/>
        <w:spacing w:after="60"/>
      </w:pPr>
      <w:r>
        <w:rPr>
          <w:sz w:val="22"/>
        </w:rPr>
        <w:t>Scenario-driven, causally-ordered synthetic data generation</w:t>
      </w:r>
    </w:p>
    <w:p>
      <w:pPr>
        <w:pStyle w:val="ListBullet"/>
        <w:spacing w:after="60"/>
      </w:pPr>
      <w:r>
        <w:rPr>
          <w:sz w:val="22"/>
        </w:rPr>
        <w:t>AI agent interface with web UI and REST API</w:t>
      </w:r>
    </w:p>
    <w:p>
      <w:pPr>
        <w:pStyle w:val="ListBullet"/>
        <w:spacing w:after="60"/>
      </w:pPr>
      <w:r>
        <w:rPr>
          <w:sz w:val="22"/>
        </w:rPr>
        <w:t>Causal workflow integrity enforcement</w:t>
      </w:r>
    </w:p>
    <w:p>
      <w:pPr>
        <w:pStyle w:val="ListBullet"/>
        <w:spacing w:after="60"/>
      </w:pPr>
      <w:r>
        <w:rPr>
          <w:sz w:val="22"/>
        </w:rPr>
        <w:t>Evaluation and validation framework</w:t>
      </w:r>
    </w:p>
    <w:p>
      <w:r>
        <w:rPr>
          <w:b/>
          <w:color w:val="1F497D"/>
          <w:sz w:val="32"/>
        </w:rPr>
        <w:t>Core MVP Features</w:t>
      </w:r>
    </w:p>
    <w:p>
      <w:r>
        <w:rPr>
          <w:b/>
          <w:color w:val="2E74B5"/>
          <w:sz w:val="26"/>
        </w:rPr>
        <w:t>Feature 1 — Scenario-Driven Generation</w:t>
      </w:r>
    </w:p>
    <w:p>
      <w:pPr>
        <w:spacing w:after="120"/>
      </w:pPr>
      <w:r>
        <w:rPr>
          <w:sz w:val="22"/>
        </w:rPr>
        <w:t>Gap: Syda currently generates data row-by-row without knowledge of business workflows. There is no concept of a scenario — a sequence of causally related records that must be generated together to be realistic.</w:t>
      </w:r>
    </w:p>
    <w:p>
      <w:pPr>
        <w:spacing w:after="120"/>
      </w:pPr>
      <w:r>
        <w:rPr>
          <w:sz w:val="22"/>
        </w:rPr>
        <w:t>Deliverable: A scenario engine that:</w:t>
      </w:r>
    </w:p>
    <w:p>
      <w:pPr>
        <w:pStyle w:val="ListBullet"/>
        <w:spacing w:after="60"/>
      </w:pPr>
      <w:r>
        <w:rPr>
          <w:sz w:val="22"/>
        </w:rPr>
        <w:t>Accepts a scenario definition (e.g., healthcare claims processing: patient enrollment followed by visit followed by claim followed by adjudication followed by payment)</w:t>
      </w:r>
    </w:p>
    <w:p>
      <w:pPr>
        <w:pStyle w:val="ListBullet"/>
        <w:spacing w:after="60"/>
      </w:pPr>
      <w:r>
        <w:rPr>
          <w:sz w:val="22"/>
        </w:rPr>
        <w:t>Generates a coherent set of records across multiple tables in the correct causal sequence</w:t>
      </w:r>
    </w:p>
    <w:p>
      <w:pPr>
        <w:pStyle w:val="ListBullet"/>
        <w:spacing w:after="60"/>
      </w:pPr>
      <w:r>
        <w:rPr>
          <w:sz w:val="22"/>
        </w:rPr>
        <w:t>Ensures scenario-level attributes (patient ID, claim ID, dates, status fields) are consistent across all generated records in a scenario</w:t>
      </w:r>
    </w:p>
    <w:p>
      <w:pPr>
        <w:pStyle w:val="ListBullet"/>
        <w:spacing w:after="60"/>
      </w:pPr>
      <w:r>
        <w:rPr>
          <w:sz w:val="22"/>
        </w:rPr>
        <w:t>Supports batch generation of multiple scenario instances (e.g., 200 complete claims lifecycle instances)</w:t>
      </w:r>
    </w:p>
    <w:p>
      <w:pPr>
        <w:spacing w:after="120"/>
      </w:pPr>
      <w:r>
        <w:rPr>
          <w:sz w:val="22"/>
        </w:rPr>
        <w:t>The scenario engine must integrate with Syda's existing schema and provider infrastructure. It should be a layer on top of existing generation, not a replacement.</w:t>
      </w:r>
    </w:p>
    <w:p>
      <w:r>
        <w:rPr>
          <w:b/>
          <w:color w:val="2E74B5"/>
          <w:sz w:val="26"/>
        </w:rPr>
        <w:t>Feature 2 — Syda Agent with Web Interface and REST API</w:t>
      </w:r>
    </w:p>
    <w:p>
      <w:pPr>
        <w:spacing w:after="120"/>
      </w:pPr>
      <w:r>
        <w:rPr>
          <w:sz w:val="22"/>
        </w:rPr>
        <w:t>Gap: Syda requires Python knowledge. Non-technical users (healthcare compliance analysts, QA testers, data engineers) cannot use it without writing code. There is no service API for integration into CI pipelines or data platforms.</w:t>
      </w:r>
    </w:p>
    <w:p>
      <w:pPr>
        <w:spacing w:after="120"/>
      </w:pPr>
      <w:r>
        <w:rPr>
          <w:sz w:val="22"/>
        </w:rPr>
        <w:t>Deliverable: Two components:</w:t>
      </w:r>
    </w:p>
    <w:p>
      <w:r>
        <w:rPr>
          <w:b/>
          <w:color w:val="2E74B5"/>
          <w:sz w:val="22"/>
        </w:rPr>
        <w:t>2a. REST API (FastAPI)</w:t>
      </w:r>
    </w:p>
    <w:p>
      <w:pPr>
        <w:pStyle w:val="ListBullet"/>
        <w:spacing w:after="60"/>
      </w:pPr>
      <w:r>
        <w:rPr>
          <w:sz w:val="22"/>
        </w:rPr>
        <w:t>POST /generate — accepts schema definition and generation parameters, returns a job ID</w:t>
      </w:r>
    </w:p>
    <w:p>
      <w:pPr>
        <w:pStyle w:val="ListBullet"/>
        <w:spacing w:after="60"/>
      </w:pPr>
      <w:r>
        <w:rPr>
          <w:sz w:val="22"/>
        </w:rPr>
        <w:t>GET /status/{job_id} — returns generation status and progress</w:t>
      </w:r>
    </w:p>
    <w:p>
      <w:pPr>
        <w:pStyle w:val="ListBullet"/>
        <w:spacing w:after="60"/>
      </w:pPr>
      <w:r>
        <w:rPr>
          <w:sz w:val="22"/>
        </w:rPr>
        <w:t>GET /download/{job_id} — returns generated data as CSV or JSON</w:t>
      </w:r>
    </w:p>
    <w:p>
      <w:pPr>
        <w:pStyle w:val="ListBullet"/>
        <w:spacing w:after="60"/>
      </w:pPr>
      <w:r>
        <w:rPr>
          <w:sz w:val="22"/>
        </w:rPr>
        <w:t>POST /validate — validates a schema definition without generating data</w:t>
      </w:r>
    </w:p>
    <w:p>
      <w:pPr>
        <w:pStyle w:val="ListBullet"/>
        <w:spacing w:after="60"/>
      </w:pPr>
      <w:r>
        <w:rPr>
          <w:sz w:val="22"/>
        </w:rPr>
        <w:t>GET /health — service health check</w:t>
      </w:r>
    </w:p>
    <w:p>
      <w:pPr>
        <w:pStyle w:val="ListBullet"/>
        <w:spacing w:after="60"/>
      </w:pPr>
      <w:r>
        <w:rPr>
          <w:sz w:val="22"/>
        </w:rPr>
        <w:t>All endpoints documented via OpenAPI (auto-generated by FastAPI)</w:t>
      </w:r>
    </w:p>
    <w:p>
      <w:r>
        <w:rPr>
          <w:b/>
          <w:color w:val="2E74B5"/>
          <w:sz w:val="22"/>
        </w:rPr>
        <w:t>2b. Conversational Agent and Web UI</w:t>
      </w:r>
    </w:p>
    <w:p>
      <w:pPr>
        <w:pStyle w:val="ListBullet"/>
        <w:spacing w:after="60"/>
      </w:pPr>
      <w:r>
        <w:rPr>
          <w:sz w:val="22"/>
        </w:rPr>
        <w:t>A lightweight web interface (Streamlit or React) for schema definition, scenario selection, and data preview</w:t>
      </w:r>
    </w:p>
    <w:p>
      <w:pPr>
        <w:pStyle w:val="ListBullet"/>
        <w:spacing w:after="60"/>
      </w:pPr>
      <w:r>
        <w:rPr>
          <w:sz w:val="22"/>
        </w:rPr>
        <w:t>An agent layer that translates natural language input into a Syda schema configuration and scenario definition (e.g., "I need 100 realistic healthcare claims for patients with Type 2 diabetes in North Carolina")</w:t>
      </w:r>
    </w:p>
    <w:p>
      <w:pPr>
        <w:pStyle w:val="ListBullet"/>
        <w:spacing w:after="60"/>
      </w:pPr>
      <w:r>
        <w:rPr>
          <w:sz w:val="22"/>
        </w:rPr>
        <w:t>The agent must use one of Syda's existing LLM providers — no new provider integrations required</w:t>
      </w:r>
    </w:p>
    <w:p>
      <w:pPr>
        <w:pStyle w:val="ListBullet"/>
        <w:spacing w:after="60"/>
      </w:pPr>
      <w:r>
        <w:rPr>
          <w:sz w:val="22"/>
        </w:rPr>
        <w:t>The UI must show a schema preview before generation, allow edits, and display results with download options</w:t>
      </w:r>
    </w:p>
    <w:p>
      <w:pPr>
        <w:pStyle w:val="ListBullet"/>
        <w:spacing w:after="60"/>
      </w:pPr>
      <w:r>
        <w:rPr>
          <w:sz w:val="22"/>
        </w:rPr>
        <w:t>The UI must surface cost estimates before generation runs</w:t>
      </w:r>
    </w:p>
    <w:p>
      <w:r>
        <w:rPr>
          <w:b/>
          <w:color w:val="2E74B5"/>
          <w:sz w:val="26"/>
        </w:rPr>
        <w:t>Feature 3 — Causal Workflow Integrity</w:t>
      </w:r>
    </w:p>
    <w:p>
      <w:pPr>
        <w:spacing w:after="120"/>
      </w:pPr>
      <w:r>
        <w:rPr>
          <w:sz w:val="22"/>
        </w:rPr>
        <w:t>Gap: Syda preserves referential integrity (foreign key relationships are valid) but does not enforce causal ordering or semantic correctness within a workflow. A claim can have an adjudication date earlier than its submission date; a status can transition from paid back to pending. These violations make generated data unusable for realistic testing.</w:t>
      </w:r>
    </w:p>
    <w:p>
      <w:pPr>
        <w:spacing w:after="120"/>
      </w:pPr>
      <w:r>
        <w:rPr>
          <w:sz w:val="22"/>
        </w:rPr>
        <w:t>Deliverable: A causal integrity layer that:</w:t>
      </w:r>
    </w:p>
    <w:p>
      <w:pPr>
        <w:pStyle w:val="ListBullet"/>
        <w:spacing w:after="60"/>
      </w:pPr>
      <w:r>
        <w:rPr>
          <w:sz w:val="22"/>
        </w:rPr>
        <w:t>Enforces temporal ordering across workflow steps (e.g., diagnosis_date &lt; claim_date &lt; adjudication_date &lt; payment_date)</w:t>
      </w:r>
    </w:p>
    <w:p>
      <w:pPr>
        <w:pStyle w:val="ListBullet"/>
        <w:spacing w:after="60"/>
      </w:pPr>
      <w:r>
        <w:rPr>
          <w:sz w:val="22"/>
        </w:rPr>
        <w:t>Validates legal status transitions for each workflow step (e.g., claim status must follow: submitted &gt; under review &gt; approved/denied &gt; paid)</w:t>
      </w:r>
    </w:p>
    <w:p>
      <w:pPr>
        <w:pStyle w:val="ListBullet"/>
        <w:spacing w:after="60"/>
      </w:pPr>
      <w:r>
        <w:rPr>
          <w:sz w:val="22"/>
        </w:rPr>
        <w:t>Detects and rejects semantically incorrect records (e.g., a paid claim with a zero payment amount)</w:t>
      </w:r>
    </w:p>
    <w:p>
      <w:pPr>
        <w:pStyle w:val="ListBullet"/>
        <w:spacing w:after="60"/>
      </w:pPr>
      <w:r>
        <w:rPr>
          <w:sz w:val="22"/>
        </w:rPr>
        <w:t>Integrates as a validation pass that runs automatically after generation, with a report of violations</w:t>
      </w:r>
    </w:p>
    <w:p>
      <w:pPr>
        <w:pStyle w:val="ListBullet"/>
        <w:spacing w:after="60"/>
      </w:pPr>
      <w:r>
        <w:rPr>
          <w:sz w:val="22"/>
        </w:rPr>
        <w:t>Supports custom rule definitions so teams can encode domain-specific constraints without modifying library code</w:t>
      </w:r>
    </w:p>
    <w:p>
      <w:r>
        <w:rPr>
          <w:b/>
          <w:color w:val="2E74B5"/>
          <w:sz w:val="26"/>
        </w:rPr>
        <w:t>Feature 4 — Evaluation and Validation Framework</w:t>
      </w:r>
    </w:p>
    <w:p>
      <w:pPr>
        <w:spacing w:after="120"/>
      </w:pPr>
      <w:r>
        <w:rPr>
          <w:sz w:val="22"/>
        </w:rPr>
        <w:t>Gap: Syda has no built-in way to measure the quality of generated data. Users have no way to know whether outputs are statistically realistic, semantically correct, or privacy-safe.</w:t>
      </w:r>
    </w:p>
    <w:p>
      <w:pPr>
        <w:spacing w:after="120"/>
      </w:pPr>
      <w:r>
        <w:rPr>
          <w:sz w:val="22"/>
        </w:rPr>
        <w:t>Deliverable: An evaluation module measuring:</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after="40"/>
            </w:pPr>
            <w:r>
              <w:rPr>
                <w:b/>
                <w:color w:val="FFFFFF"/>
                <w:sz w:val="20"/>
              </w:rPr>
              <w:t>Metric</w:t>
            </w:r>
          </w:p>
        </w:tc>
        <w:tc>
          <w:tcPr>
            <w:tcW w:type="dxa" w:w="4392"/>
            <w:shd w:val="clear" w:color="auto" w:fill="2E74B5"/>
          </w:tcPr>
          <w:p>
            <w:pPr>
              <w:spacing w:after="40"/>
            </w:pPr>
            <w:r>
              <w:rPr>
                <w:b/>
                <w:color w:val="FFFFFF"/>
                <w:sz w:val="20"/>
              </w:rPr>
              <w:t>Description</w:t>
            </w:r>
          </w:p>
        </w:tc>
      </w:tr>
      <w:tr>
        <w:tc>
          <w:tcPr>
            <w:tcW w:type="dxa" w:w="4392"/>
          </w:tcPr>
          <w:p>
            <w:pPr>
              <w:spacing w:after="40"/>
            </w:pPr>
            <w:r>
              <w:rPr>
                <w:sz w:val="20"/>
              </w:rPr>
              <w:t>Statistical similarity</w:t>
            </w:r>
          </w:p>
        </w:tc>
        <w:tc>
          <w:tcPr>
            <w:tcW w:type="dxa" w:w="4392"/>
          </w:tcPr>
          <w:p>
            <w:pPr>
              <w:spacing w:after="40"/>
            </w:pPr>
            <w:r>
              <w:rPr>
                <w:sz w:val="20"/>
              </w:rPr>
              <w:t>Distributions of numeric and categorical fields vs. a reference schema or sample dataset</w:t>
            </w:r>
          </w:p>
        </w:tc>
      </w:tr>
      <w:tr>
        <w:tc>
          <w:tcPr>
            <w:tcW w:type="dxa" w:w="4392"/>
            <w:shd w:val="clear" w:color="auto" w:fill="DEEAF1"/>
          </w:tcPr>
          <w:p>
            <w:pPr>
              <w:spacing w:after="40"/>
            </w:pPr>
            <w:r>
              <w:rPr>
                <w:sz w:val="20"/>
              </w:rPr>
              <w:t>Semantic correctness</w:t>
            </w:r>
          </w:p>
        </w:tc>
        <w:tc>
          <w:tcPr>
            <w:tcW w:type="dxa" w:w="4392"/>
            <w:shd w:val="clear" w:color="auto" w:fill="DEEAF1"/>
          </w:tcPr>
          <w:p>
            <w:pPr>
              <w:spacing w:after="40"/>
            </w:pPr>
            <w:r>
              <w:rPr>
                <w:sz w:val="20"/>
              </w:rPr>
              <w:t>Field values are plausible given the domain (e.g., diagnosis codes are valid ICD-10 codes)</w:t>
            </w:r>
          </w:p>
        </w:tc>
      </w:tr>
      <w:tr>
        <w:tc>
          <w:tcPr>
            <w:tcW w:type="dxa" w:w="4392"/>
          </w:tcPr>
          <w:p>
            <w:pPr>
              <w:spacing w:after="40"/>
            </w:pPr>
            <w:r>
              <w:rPr>
                <w:sz w:val="20"/>
              </w:rPr>
              <w:t>Causal consistency</w:t>
            </w:r>
          </w:p>
        </w:tc>
        <w:tc>
          <w:tcPr>
            <w:tcW w:type="dxa" w:w="4392"/>
          </w:tcPr>
          <w:p>
            <w:pPr>
              <w:spacing w:after="40"/>
            </w:pPr>
            <w:r>
              <w:rPr>
                <w:sz w:val="20"/>
              </w:rPr>
              <w:t>Temporal and status-transition rules from Feature 3 are satisfied across all records</w:t>
            </w:r>
          </w:p>
        </w:tc>
      </w:tr>
      <w:tr>
        <w:tc>
          <w:tcPr>
            <w:tcW w:type="dxa" w:w="4392"/>
            <w:shd w:val="clear" w:color="auto" w:fill="DEEAF1"/>
          </w:tcPr>
          <w:p>
            <w:pPr>
              <w:spacing w:after="40"/>
            </w:pPr>
            <w:r>
              <w:rPr>
                <w:sz w:val="20"/>
              </w:rPr>
              <w:t>Scenario coverage</w:t>
            </w:r>
          </w:p>
        </w:tc>
        <w:tc>
          <w:tcPr>
            <w:tcW w:type="dxa" w:w="4392"/>
            <w:shd w:val="clear" w:color="auto" w:fill="DEEAF1"/>
          </w:tcPr>
          <w:p>
            <w:pPr>
              <w:spacing w:after="40"/>
            </w:pPr>
            <w:r>
              <w:rPr>
                <w:sz w:val="20"/>
              </w:rPr>
              <w:t>All defined scenario branches are represented in the generated dataset</w:t>
            </w:r>
          </w:p>
        </w:tc>
      </w:tr>
      <w:tr>
        <w:tc>
          <w:tcPr>
            <w:tcW w:type="dxa" w:w="4392"/>
          </w:tcPr>
          <w:p>
            <w:pPr>
              <w:spacing w:after="40"/>
            </w:pPr>
            <w:r>
              <w:rPr>
                <w:sz w:val="20"/>
              </w:rPr>
              <w:t>Privacy leakage risk</w:t>
            </w:r>
          </w:p>
        </w:tc>
        <w:tc>
          <w:tcPr>
            <w:tcW w:type="dxa" w:w="4392"/>
          </w:tcPr>
          <w:p>
            <w:pPr>
              <w:spacing w:after="40"/>
            </w:pPr>
            <w:r>
              <w:rPr>
                <w:sz w:val="20"/>
              </w:rPr>
              <w:t>Basic k-anonymity check to confirm generated records cannot be traced to real individuals</w:t>
            </w:r>
          </w:p>
        </w:tc>
      </w:tr>
    </w:tbl>
    <w:p/>
    <w:p>
      <w:pPr>
        <w:spacing w:after="120"/>
      </w:pPr>
      <w:r>
        <w:rPr>
          <w:sz w:val="22"/>
        </w:rPr>
        <w:t>The framework must produce a structured evaluation report (JSON and HTML) usable as a quality gate in CI pipelines, with a pass/fail summary and per-metric detail.</w:t>
      </w:r>
    </w:p>
    <w:p>
      <w:r>
        <w:rPr>
          <w:b/>
          <w:color w:val="1F497D"/>
          <w:sz w:val="32"/>
        </w:rPr>
        <w:t>Domain Selection</w:t>
      </w:r>
    </w:p>
    <w:p>
      <w:pPr>
        <w:spacing w:after="120"/>
      </w:pPr>
      <w:r>
        <w:rPr>
          <w:sz w:val="22"/>
        </w:rPr>
        <w:t>Each team must select one target domain and produce a Domain Specification Document as a mandatory Milestone 1 deliverable.</w:t>
      </w:r>
    </w:p>
    <w:p>
      <w:pPr>
        <w:spacing w:after="120"/>
      </w:pPr>
      <w:r>
        <w:rPr>
          <w:sz w:val="22"/>
        </w:rPr>
        <w:t>Pre-approved domains:</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after="40"/>
            </w:pPr>
            <w:r>
              <w:rPr>
                <w:b/>
                <w:color w:val="FFFFFF"/>
                <w:sz w:val="20"/>
              </w:rPr>
              <w:t>Domain</w:t>
            </w:r>
          </w:p>
        </w:tc>
        <w:tc>
          <w:tcPr>
            <w:tcW w:type="dxa" w:w="4392"/>
            <w:shd w:val="clear" w:color="auto" w:fill="2E74B5"/>
          </w:tcPr>
          <w:p>
            <w:pPr>
              <w:spacing w:after="40"/>
            </w:pPr>
            <w:r>
              <w:rPr>
                <w:b/>
                <w:color w:val="FFFFFF"/>
                <w:sz w:val="20"/>
              </w:rPr>
              <w:t>Workflow</w:t>
            </w:r>
          </w:p>
        </w:tc>
      </w:tr>
      <w:tr>
        <w:tc>
          <w:tcPr>
            <w:tcW w:type="dxa" w:w="4392"/>
          </w:tcPr>
          <w:p>
            <w:pPr>
              <w:spacing w:after="40"/>
            </w:pPr>
            <w:r>
              <w:rPr>
                <w:sz w:val="20"/>
              </w:rPr>
              <w:t>Healthcare Claims Processing</w:t>
            </w:r>
          </w:p>
        </w:tc>
        <w:tc>
          <w:tcPr>
            <w:tcW w:type="dxa" w:w="4392"/>
          </w:tcPr>
          <w:p>
            <w:pPr>
              <w:spacing w:after="40"/>
            </w:pPr>
            <w:r>
              <w:rPr>
                <w:sz w:val="20"/>
              </w:rPr>
              <w:t>Patient enrollment &gt; Diagnosis &gt; Claim submission &gt; Adjudication &gt; Payment</w:t>
            </w:r>
          </w:p>
        </w:tc>
      </w:tr>
      <w:tr>
        <w:tc>
          <w:tcPr>
            <w:tcW w:type="dxa" w:w="4392"/>
            <w:shd w:val="clear" w:color="auto" w:fill="DEEAF1"/>
          </w:tcPr>
          <w:p>
            <w:pPr>
              <w:spacing w:after="40"/>
            </w:pPr>
            <w:r>
              <w:rPr>
                <w:sz w:val="20"/>
              </w:rPr>
              <w:t>Financial Transaction Processing</w:t>
            </w:r>
          </w:p>
        </w:tc>
        <w:tc>
          <w:tcPr>
            <w:tcW w:type="dxa" w:w="4392"/>
            <w:shd w:val="clear" w:color="auto" w:fill="DEEAF1"/>
          </w:tcPr>
          <w:p>
            <w:pPr>
              <w:spacing w:after="40"/>
            </w:pPr>
            <w:r>
              <w:rPr>
                <w:sz w:val="20"/>
              </w:rPr>
              <w:t>Authorization &gt; Settlement &gt; Reconciliation &gt; Fraud review</w:t>
            </w:r>
          </w:p>
        </w:tc>
      </w:tr>
      <w:tr>
        <w:tc>
          <w:tcPr>
            <w:tcW w:type="dxa" w:w="4392"/>
          </w:tcPr>
          <w:p>
            <w:pPr>
              <w:spacing w:after="40"/>
            </w:pPr>
            <w:r>
              <w:rPr>
                <w:sz w:val="20"/>
              </w:rPr>
              <w:t>Retail Order Lifecycle</w:t>
            </w:r>
          </w:p>
        </w:tc>
        <w:tc>
          <w:tcPr>
            <w:tcW w:type="dxa" w:w="4392"/>
          </w:tcPr>
          <w:p>
            <w:pPr>
              <w:spacing w:after="40"/>
            </w:pPr>
            <w:r>
              <w:rPr>
                <w:sz w:val="20"/>
              </w:rPr>
              <w:t>Order placement &gt; Fulfillment &gt; Shipment &gt; Delivery &gt; Return</w:t>
            </w:r>
          </w:p>
        </w:tc>
      </w:tr>
      <w:tr>
        <w:tc>
          <w:tcPr>
            <w:tcW w:type="dxa" w:w="4392"/>
            <w:shd w:val="clear" w:color="auto" w:fill="DEEAF1"/>
          </w:tcPr>
          <w:p>
            <w:pPr>
              <w:spacing w:after="40"/>
            </w:pPr>
            <w:r>
              <w:rPr>
                <w:sz w:val="20"/>
              </w:rPr>
              <w:t>Insurance Underwriting</w:t>
            </w:r>
          </w:p>
        </w:tc>
        <w:tc>
          <w:tcPr>
            <w:tcW w:type="dxa" w:w="4392"/>
            <w:shd w:val="clear" w:color="auto" w:fill="DEEAF1"/>
          </w:tcPr>
          <w:p>
            <w:pPr>
              <w:spacing w:after="40"/>
            </w:pPr>
            <w:r>
              <w:rPr>
                <w:sz w:val="20"/>
              </w:rPr>
              <w:t>Application &gt; Risk scoring &gt; Policy issuance &gt; Claim &gt; Resolution</w:t>
            </w:r>
          </w:p>
        </w:tc>
      </w:tr>
    </w:tbl>
    <w:p/>
    <w:p>
      <w:pPr>
        <w:spacing w:after="120"/>
      </w:pPr>
      <w:r>
        <w:rPr>
          <w:sz w:val="22"/>
        </w:rPr>
        <w:t>Teams may propose an alternative domain with mentor approval during Milestone 1, provided the domain has multi-step workflows, causal dependencies, explicit constraints, and bounded scope.</w:t>
      </w:r>
    </w:p>
    <w:p>
      <w:pPr>
        <w:spacing w:after="120"/>
      </w:pPr>
      <w:r>
        <w:rPr>
          <w:sz w:val="22"/>
        </w:rPr>
        <w:t>The Domain Specification Document must include:</w:t>
      </w:r>
    </w:p>
    <w:p>
      <w:pPr>
        <w:pStyle w:val="ListBullet"/>
        <w:spacing w:after="60"/>
      </w:pPr>
      <w:r>
        <w:rPr>
          <w:sz w:val="22"/>
        </w:rPr>
        <w:t>Domain overview and scope</w:t>
      </w:r>
    </w:p>
    <w:p>
      <w:pPr>
        <w:pStyle w:val="ListBullet"/>
        <w:spacing w:after="60"/>
      </w:pPr>
      <w:r>
        <w:rPr>
          <w:sz w:val="22"/>
        </w:rPr>
        <w:t>Entity definitions and attributes</w:t>
      </w:r>
    </w:p>
    <w:p>
      <w:pPr>
        <w:pStyle w:val="ListBullet"/>
        <w:spacing w:after="60"/>
      </w:pPr>
      <w:r>
        <w:rPr>
          <w:sz w:val="22"/>
        </w:rPr>
        <w:t>Workflow diagrams</w:t>
      </w:r>
    </w:p>
    <w:p>
      <w:pPr>
        <w:pStyle w:val="ListBullet"/>
        <w:spacing w:after="60"/>
      </w:pPr>
      <w:r>
        <w:rPr>
          <w:sz w:val="22"/>
        </w:rPr>
        <w:t>Business rules and constraints (inputs to Feature 3)</w:t>
      </w:r>
    </w:p>
    <w:p>
      <w:pPr>
        <w:pStyle w:val="ListBullet"/>
        <w:spacing w:after="60"/>
      </w:pPr>
      <w:r>
        <w:rPr>
          <w:sz w:val="22"/>
        </w:rPr>
        <w:t>Valid and invalid scenario examples</w:t>
      </w:r>
    </w:p>
    <w:p>
      <w:pPr>
        <w:pStyle w:val="ListBullet"/>
        <w:spacing w:after="60"/>
      </w:pPr>
      <w:r>
        <w:rPr>
          <w:sz w:val="22"/>
        </w:rPr>
        <w:t>Causal relationships to be enforced</w:t>
      </w:r>
    </w:p>
    <w:p>
      <w:r>
        <w:rPr>
          <w:b/>
          <w:color w:val="1F497D"/>
          <w:sz w:val="32"/>
        </w:rPr>
        <w:t>Out of Scope</w:t>
      </w:r>
    </w:p>
    <w:p>
      <w:pPr>
        <w:pStyle w:val="ListBullet"/>
        <w:spacing w:after="60"/>
      </w:pPr>
      <w:r>
        <w:rPr>
          <w:sz w:val="22"/>
        </w:rPr>
        <w:t>Training or fine-tuning LLMs from scratch</w:t>
      </w:r>
    </w:p>
    <w:p>
      <w:pPr>
        <w:pStyle w:val="ListBullet"/>
        <w:spacing w:after="60"/>
      </w:pPr>
      <w:r>
        <w:rPr>
          <w:sz w:val="22"/>
        </w:rPr>
        <w:t>Production deployment with SLAs</w:t>
      </w:r>
    </w:p>
    <w:p>
      <w:pPr>
        <w:pStyle w:val="ListBullet"/>
        <w:spacing w:after="60"/>
      </w:pPr>
      <w:r>
        <w:rPr>
          <w:sz w:val="22"/>
        </w:rPr>
        <w:t>Proprietary or sensitive datasets of any kind</w:t>
      </w:r>
    </w:p>
    <w:p>
      <w:pPr>
        <w:pStyle w:val="ListBullet"/>
        <w:spacing w:after="60"/>
      </w:pPr>
      <w:r>
        <w:rPr>
          <w:sz w:val="22"/>
        </w:rPr>
        <w:t>Full dashboard products unrelated to data generation or evaluation</w:t>
      </w:r>
    </w:p>
    <w:p>
      <w:pPr>
        <w:pStyle w:val="ListBullet"/>
        <w:spacing w:after="60"/>
      </w:pPr>
      <w:r>
        <w:rPr>
          <w:sz w:val="22"/>
        </w:rPr>
        <w:t>Automated ingestion of real enterprise data</w:t>
      </w:r>
    </w:p>
    <w:p>
      <w:r>
        <w:rPr>
          <w:b/>
          <w:color w:val="1F497D"/>
          <w:sz w:val="32"/>
        </w:rPr>
        <w:t>Stakeholder Constraints</w:t>
      </w:r>
    </w:p>
    <w:p>
      <w:pPr>
        <w:pStyle w:val="ListBullet"/>
        <w:spacing w:after="60"/>
      </w:pPr>
      <w:r>
        <w:rPr>
          <w:sz w:val="22"/>
        </w:rPr>
        <w:t>All work must extend the Syda codebase; no parallel or duplicate implementations</w:t>
      </w:r>
    </w:p>
    <w:p>
      <w:pPr>
        <w:pStyle w:val="ListBullet"/>
        <w:spacing w:after="60"/>
      </w:pPr>
      <w:r>
        <w:rPr>
          <w:sz w:val="22"/>
        </w:rPr>
        <w:t>Code must be modular and suitable for open-source contribution</w:t>
      </w:r>
    </w:p>
    <w:p>
      <w:pPr>
        <w:pStyle w:val="ListBullet"/>
        <w:spacing w:after="60"/>
      </w:pPr>
      <w:r>
        <w:rPr>
          <w:sz w:val="22"/>
        </w:rPr>
        <w:t>All synthetic data must use non-sensitive, non-proprietary sources</w:t>
      </w:r>
    </w:p>
    <w:p>
      <w:pPr>
        <w:pStyle w:val="ListBullet"/>
        <w:spacing w:after="60"/>
      </w:pPr>
      <w:r>
        <w:rPr>
          <w:sz w:val="22"/>
        </w:rPr>
        <w:t>Documentation must be sufficient for an external contributor to understand and use each feature</w:t>
      </w:r>
    </w:p>
    <w:p>
      <w:r>
        <w:rPr>
          <w:b/>
          <w:color w:val="1F497D"/>
          <w:sz w:val="32"/>
        </w:rPr>
        <w:t>Milestones and Deliverables</w:t>
      </w:r>
    </w:p>
    <w:p>
      <w:r>
        <w:rPr>
          <w:b/>
          <w:color w:val="2E74B5"/>
          <w:sz w:val="26"/>
        </w:rPr>
        <w:t>Milestone 1 — Requirements and Foundation</w:t>
      </w:r>
    </w:p>
    <w:p>
      <w:pPr>
        <w:pStyle w:val="ListBullet"/>
        <w:spacing w:after="60"/>
      </w:pPr>
      <w:r>
        <w:rPr>
          <w:sz w:val="22"/>
        </w:rPr>
        <w:t>Formal requirements document (Syda codebase reviewed, feature scope confirmed)</w:t>
      </w:r>
    </w:p>
    <w:p>
      <w:pPr>
        <w:pStyle w:val="ListBullet"/>
        <w:spacing w:after="60"/>
      </w:pPr>
      <w:r>
        <w:rPr>
          <w:sz w:val="22"/>
        </w:rPr>
        <w:t>Domain Specification Document (mandatory)</w:t>
      </w:r>
    </w:p>
    <w:p>
      <w:pPr>
        <w:pStyle w:val="ListBullet"/>
        <w:spacing w:after="60"/>
      </w:pPr>
      <w:r>
        <w:rPr>
          <w:sz w:val="22"/>
        </w:rPr>
        <w:t>Architecture diagrams showing how Features 1-4 connect to existing Syda internals</w:t>
      </w:r>
    </w:p>
    <w:p>
      <w:pPr>
        <w:pStyle w:val="ListBullet"/>
        <w:spacing w:after="60"/>
      </w:pPr>
      <w:r>
        <w:rPr>
          <w:sz w:val="22"/>
        </w:rPr>
        <w:t>Data models and schema definitions for selected domain</w:t>
      </w:r>
    </w:p>
    <w:p>
      <w:pPr>
        <w:pStyle w:val="ListBullet"/>
        <w:spacing w:after="60"/>
      </w:pPr>
      <w:r>
        <w:rPr>
          <w:sz w:val="22"/>
        </w:rPr>
        <w:t>Scenario definitions for at least 3 workflow paths</w:t>
      </w:r>
    </w:p>
    <w:p>
      <w:pPr>
        <w:pStyle w:val="ListBullet"/>
        <w:spacing w:after="60"/>
      </w:pPr>
      <w:r>
        <w:rPr>
          <w:sz w:val="22"/>
        </w:rPr>
        <w:t>Evaluation plan (metrics, reference data, pass/fail definition)</w:t>
      </w:r>
    </w:p>
    <w:p>
      <w:pPr>
        <w:pStyle w:val="ListBullet"/>
        <w:spacing w:after="60"/>
      </w:pPr>
      <w:r>
        <w:rPr>
          <w:sz w:val="22"/>
        </w:rPr>
        <w:t>GitHub repository set up and shared with professor and mentor</w:t>
      </w:r>
    </w:p>
    <w:p>
      <w:r>
        <w:rPr>
          <w:b/>
          <w:color w:val="2E74B5"/>
          <w:sz w:val="26"/>
        </w:rPr>
        <w:t>Milestone 2 — Prototype and Core Features</w:t>
      </w:r>
    </w:p>
    <w:p>
      <w:pPr>
        <w:pStyle w:val="ListBullet"/>
        <w:spacing w:after="60"/>
      </w:pPr>
      <w:r>
        <w:rPr>
          <w:sz w:val="22"/>
        </w:rPr>
        <w:t>Feature 1: Scenario engine prototype generating at least one complete workflow</w:t>
      </w:r>
    </w:p>
    <w:p>
      <w:pPr>
        <w:pStyle w:val="ListBullet"/>
        <w:spacing w:after="60"/>
      </w:pPr>
      <w:r>
        <w:rPr>
          <w:sz w:val="22"/>
        </w:rPr>
        <w:t>Feature 2a: FastAPI backend with POST /generate and GET /download working end-to-end</w:t>
      </w:r>
    </w:p>
    <w:p>
      <w:pPr>
        <w:pStyle w:val="ListBullet"/>
        <w:spacing w:after="60"/>
      </w:pPr>
      <w:r>
        <w:rPr>
          <w:sz w:val="22"/>
        </w:rPr>
        <w:t>Feature 2b: Basic web UI with schema input and generation results display</w:t>
      </w:r>
    </w:p>
    <w:p>
      <w:pPr>
        <w:pStyle w:val="ListBullet"/>
        <w:spacing w:after="60"/>
      </w:pPr>
      <w:r>
        <w:rPr>
          <w:sz w:val="22"/>
        </w:rPr>
        <w:t>Feature 3: Causal integrity validation running on Milestone 1 scenario output</w:t>
      </w:r>
    </w:p>
    <w:p>
      <w:pPr>
        <w:pStyle w:val="ListBullet"/>
        <w:spacing w:after="60"/>
      </w:pPr>
      <w:r>
        <w:rPr>
          <w:sz w:val="22"/>
        </w:rPr>
        <w:t>Feature 4: At least statistical similarity and causal consistency metrics implemented</w:t>
      </w:r>
    </w:p>
    <w:p>
      <w:pPr>
        <w:pStyle w:val="ListBullet"/>
        <w:spacing w:after="60"/>
      </w:pPr>
      <w:r>
        <w:rPr>
          <w:sz w:val="22"/>
        </w:rPr>
        <w:t>Mid-semester demo to mentor and professor</w:t>
      </w:r>
    </w:p>
    <w:p>
      <w:pPr>
        <w:pStyle w:val="ListBullet"/>
        <w:spacing w:after="60"/>
      </w:pPr>
      <w:r>
        <w:rPr>
          <w:sz w:val="22"/>
        </w:rPr>
        <w:t>Updated documentation</w:t>
      </w:r>
    </w:p>
    <w:p>
      <w:r>
        <w:rPr>
          <w:b/>
          <w:color w:val="2E74B5"/>
          <w:sz w:val="26"/>
        </w:rPr>
        <w:t>Milestone 3 — Final Integrated Prototype</w:t>
      </w:r>
    </w:p>
    <w:p>
      <w:pPr>
        <w:pStyle w:val="ListBullet"/>
        <w:spacing w:after="60"/>
      </w:pPr>
      <w:r>
        <w:rPr>
          <w:sz w:val="22"/>
        </w:rPr>
        <w:t>End-to-end demo: natural language input &gt; agent schema config &gt; scenario generation &gt; causal integrity check &gt; evaluation report</w:t>
      </w:r>
    </w:p>
    <w:p>
      <w:pPr>
        <w:pStyle w:val="ListBullet"/>
        <w:spacing w:after="60"/>
      </w:pPr>
      <w:r>
        <w:rPr>
          <w:sz w:val="22"/>
        </w:rPr>
        <w:t>All four features integrated and working together</w:t>
      </w:r>
    </w:p>
    <w:p>
      <w:pPr>
        <w:pStyle w:val="ListBullet"/>
        <w:spacing w:after="60"/>
      </w:pPr>
      <w:r>
        <w:rPr>
          <w:sz w:val="22"/>
        </w:rPr>
        <w:t>Evaluation results for selected domain with pass/fail analysis</w:t>
      </w:r>
    </w:p>
    <w:p>
      <w:pPr>
        <w:pStyle w:val="ListBullet"/>
        <w:spacing w:after="60"/>
      </w:pPr>
      <w:r>
        <w:rPr>
          <w:sz w:val="22"/>
        </w:rPr>
        <w:t>Complete GitHub repository with tagged release</w:t>
      </w:r>
    </w:p>
    <w:p>
      <w:pPr>
        <w:pStyle w:val="ListBullet"/>
        <w:spacing w:after="60"/>
      </w:pPr>
      <w:r>
        <w:rPr>
          <w:sz w:val="22"/>
        </w:rPr>
        <w:t>Final report documenting design decisions, evaluation results, and future roadmap</w:t>
      </w:r>
    </w:p>
    <w:p>
      <w:pPr>
        <w:pStyle w:val="ListBullet"/>
        <w:spacing w:after="60"/>
      </w:pPr>
      <w:r>
        <w:rPr>
          <w:sz w:val="22"/>
        </w:rPr>
        <w:t>Final presentation uploaded to GitHub</w:t>
      </w:r>
    </w:p>
    <w:p>
      <w:r>
        <w:rPr>
          <w:b/>
          <w:color w:val="1F497D"/>
          <w:sz w:val="32"/>
        </w:rPr>
        <w:t>GitHub and Documentation Requirements</w:t>
      </w:r>
    </w:p>
    <w:p>
      <w:pPr>
        <w:pStyle w:val="ListBullet"/>
        <w:spacing w:after="60"/>
      </w:pPr>
      <w:r>
        <w:rPr>
          <w:sz w:val="22"/>
        </w:rPr>
        <w:t>Private GitHub repository shared with professor and mentor at project start</w:t>
      </w:r>
    </w:p>
    <w:p>
      <w:pPr>
        <w:pStyle w:val="ListBullet"/>
        <w:spacing w:after="60"/>
      </w:pPr>
      <w:r>
        <w:rPr>
          <w:sz w:val="22"/>
        </w:rPr>
        <w:t>Continuous commits with meaningful messages</w:t>
      </w:r>
    </w:p>
    <w:p>
      <w:pPr>
        <w:pStyle w:val="ListBullet"/>
        <w:spacing w:after="60"/>
      </w:pPr>
      <w:r>
        <w:rPr>
          <w:sz w:val="22"/>
        </w:rPr>
        <w:t>Tagged milestone releases using GitHub Releases</w:t>
      </w:r>
    </w:p>
    <w:p>
      <w:pPr>
        <w:spacing w:after="120"/>
      </w:pPr>
      <w:r>
        <w:rPr>
          <w:sz w:val="22"/>
        </w:rPr>
        <w:t>Repository must include:</w:t>
      </w:r>
    </w:p>
    <w:p>
      <w:pPr>
        <w:pStyle w:val="ListBullet"/>
        <w:spacing w:after="60"/>
      </w:pPr>
      <w:r>
        <w:rPr>
          <w:sz w:val="22"/>
        </w:rPr>
        <w:t>Source code for all four features</w:t>
      </w:r>
    </w:p>
    <w:p>
      <w:pPr>
        <w:pStyle w:val="ListBullet"/>
        <w:spacing w:after="60"/>
      </w:pPr>
      <w:r>
        <w:rPr>
          <w:sz w:val="22"/>
        </w:rPr>
        <w:t>README with setup instructions and quickstart examples</w:t>
      </w:r>
    </w:p>
    <w:p>
      <w:pPr>
        <w:pStyle w:val="ListBullet"/>
        <w:spacing w:after="60"/>
      </w:pPr>
      <w:r>
        <w:rPr>
          <w:sz w:val="22"/>
        </w:rPr>
        <w:t>Architecture diagrams</w:t>
      </w:r>
    </w:p>
    <w:p>
      <w:pPr>
        <w:pStyle w:val="ListBullet"/>
        <w:spacing w:after="60"/>
      </w:pPr>
      <w:r>
        <w:rPr>
          <w:sz w:val="22"/>
        </w:rPr>
        <w:t>Domain Specification Document</w:t>
      </w:r>
    </w:p>
    <w:p>
      <w:pPr>
        <w:pStyle w:val="ListBullet"/>
        <w:spacing w:after="60"/>
      </w:pPr>
      <w:r>
        <w:rPr>
          <w:sz w:val="22"/>
        </w:rPr>
        <w:t>Evaluation results</w:t>
      </w:r>
    </w:p>
    <w:p>
      <w:pPr>
        <w:pStyle w:val="ListBullet"/>
        <w:spacing w:after="60"/>
      </w:pPr>
      <w:r>
        <w:rPr>
          <w:sz w:val="22"/>
        </w:rPr>
        <w:t>OpenAPI documentation for the REST API</w:t>
      </w:r>
    </w:p>
    <w:p>
      <w:pPr>
        <w:pStyle w:val="ListBullet"/>
        <w:spacing w:after="60"/>
      </w:pPr>
      <w:r>
        <w:rPr>
          <w:sz w:val="22"/>
        </w:rPr>
        <w:t>Final presentation materials</w:t>
      </w:r>
    </w:p>
    <w:p>
      <w:r>
        <w:rPr>
          <w:b/>
          <w:color w:val="1F497D"/>
          <w:sz w:val="32"/>
        </w:rPr>
        <w:t>Suggested Technology Stack</w:t>
      </w:r>
    </w:p>
    <w:tbl>
      <w:tblPr>
        <w:tblStyle w:val="TableGrid"/>
        <w:tblW w:type="auto" w:w="0"/>
        <w:tblLook w:firstColumn="1" w:firstRow="1" w:lastColumn="0" w:lastRow="0" w:noHBand="0" w:noVBand="1" w:val="04A0"/>
      </w:tblPr>
      <w:tblGrid>
        <w:gridCol w:w="4392"/>
        <w:gridCol w:w="4392"/>
      </w:tblGrid>
      <w:tr>
        <w:tc>
          <w:tcPr>
            <w:tcW w:type="dxa" w:w="4392"/>
            <w:shd w:val="clear" w:color="auto" w:fill="2E74B5"/>
          </w:tcPr>
          <w:p>
            <w:pPr>
              <w:spacing w:after="40"/>
            </w:pPr>
            <w:r>
              <w:rPr>
                <w:b/>
                <w:color w:val="FFFFFF"/>
                <w:sz w:val="20"/>
              </w:rPr>
              <w:t>Component</w:t>
            </w:r>
          </w:p>
        </w:tc>
        <w:tc>
          <w:tcPr>
            <w:tcW w:type="dxa" w:w="4392"/>
            <w:shd w:val="clear" w:color="auto" w:fill="2E74B5"/>
          </w:tcPr>
          <w:p>
            <w:pPr>
              <w:spacing w:after="40"/>
            </w:pPr>
            <w:r>
              <w:rPr>
                <w:b/>
                <w:color w:val="FFFFFF"/>
                <w:sz w:val="20"/>
              </w:rPr>
              <w:t>Technology</w:t>
            </w:r>
          </w:p>
        </w:tc>
      </w:tr>
      <w:tr>
        <w:tc>
          <w:tcPr>
            <w:tcW w:type="dxa" w:w="4392"/>
          </w:tcPr>
          <w:p>
            <w:pPr>
              <w:spacing w:after="40"/>
            </w:pPr>
            <w:r>
              <w:rPr>
                <w:sz w:val="20"/>
              </w:rPr>
              <w:t>Language</w:t>
            </w:r>
          </w:p>
        </w:tc>
        <w:tc>
          <w:tcPr>
            <w:tcW w:type="dxa" w:w="4392"/>
          </w:tcPr>
          <w:p>
            <w:pPr>
              <w:spacing w:after="40"/>
            </w:pPr>
            <w:r>
              <w:rPr>
                <w:sz w:val="20"/>
              </w:rPr>
              <w:t>Python 3.10+</w:t>
            </w:r>
          </w:p>
        </w:tc>
      </w:tr>
      <w:tr>
        <w:tc>
          <w:tcPr>
            <w:tcW w:type="dxa" w:w="4392"/>
            <w:shd w:val="clear" w:color="auto" w:fill="DEEAF1"/>
          </w:tcPr>
          <w:p>
            <w:pPr>
              <w:spacing w:after="40"/>
            </w:pPr>
            <w:r>
              <w:rPr>
                <w:sz w:val="20"/>
              </w:rPr>
              <w:t>Core library</w:t>
            </w:r>
          </w:p>
        </w:tc>
        <w:tc>
          <w:tcPr>
            <w:tcW w:type="dxa" w:w="4392"/>
            <w:shd w:val="clear" w:color="auto" w:fill="DEEAF1"/>
          </w:tcPr>
          <w:p>
            <w:pPr>
              <w:spacing w:after="40"/>
            </w:pPr>
            <w:r>
              <w:rPr>
                <w:sz w:val="20"/>
              </w:rPr>
              <w:t>Syda (existing codebase)</w:t>
            </w:r>
          </w:p>
        </w:tc>
      </w:tr>
      <w:tr>
        <w:tc>
          <w:tcPr>
            <w:tcW w:type="dxa" w:w="4392"/>
          </w:tcPr>
          <w:p>
            <w:pPr>
              <w:spacing w:after="40"/>
            </w:pPr>
            <w:r>
              <w:rPr>
                <w:sz w:val="20"/>
              </w:rPr>
              <w:t>REST API</w:t>
            </w:r>
          </w:p>
        </w:tc>
        <w:tc>
          <w:tcPr>
            <w:tcW w:type="dxa" w:w="4392"/>
          </w:tcPr>
          <w:p>
            <w:pPr>
              <w:spacing w:after="40"/>
            </w:pPr>
            <w:r>
              <w:rPr>
                <w:sz w:val="20"/>
              </w:rPr>
              <w:t>FastAPI + Uvicorn</w:t>
            </w:r>
          </w:p>
        </w:tc>
      </w:tr>
      <w:tr>
        <w:tc>
          <w:tcPr>
            <w:tcW w:type="dxa" w:w="4392"/>
            <w:shd w:val="clear" w:color="auto" w:fill="DEEAF1"/>
          </w:tcPr>
          <w:p>
            <w:pPr>
              <w:spacing w:after="40"/>
            </w:pPr>
            <w:r>
              <w:rPr>
                <w:sz w:val="20"/>
              </w:rPr>
              <w:t>Web UI</w:t>
            </w:r>
          </w:p>
        </w:tc>
        <w:tc>
          <w:tcPr>
            <w:tcW w:type="dxa" w:w="4392"/>
            <w:shd w:val="clear" w:color="auto" w:fill="DEEAF1"/>
          </w:tcPr>
          <w:p>
            <w:pPr>
              <w:spacing w:after="40"/>
            </w:pPr>
            <w:r>
              <w:rPr>
                <w:sz w:val="20"/>
              </w:rPr>
              <w:t>Streamlit (recommended) or React</w:t>
            </w:r>
          </w:p>
        </w:tc>
      </w:tr>
      <w:tr>
        <w:tc>
          <w:tcPr>
            <w:tcW w:type="dxa" w:w="4392"/>
          </w:tcPr>
          <w:p>
            <w:pPr>
              <w:spacing w:after="40"/>
            </w:pPr>
            <w:r>
              <w:rPr>
                <w:sz w:val="20"/>
              </w:rPr>
              <w:t>Agent layer</w:t>
            </w:r>
          </w:p>
        </w:tc>
        <w:tc>
          <w:tcPr>
            <w:tcW w:type="dxa" w:w="4392"/>
          </w:tcPr>
          <w:p>
            <w:pPr>
              <w:spacing w:after="40"/>
            </w:pPr>
            <w:r>
              <w:rPr>
                <w:sz w:val="20"/>
              </w:rPr>
              <w:t>LangChain or direct Syda LLM provider calls</w:t>
            </w:r>
          </w:p>
        </w:tc>
      </w:tr>
      <w:tr>
        <w:tc>
          <w:tcPr>
            <w:tcW w:type="dxa" w:w="4392"/>
            <w:shd w:val="clear" w:color="auto" w:fill="DEEAF1"/>
          </w:tcPr>
          <w:p>
            <w:pPr>
              <w:spacing w:after="40"/>
            </w:pPr>
            <w:r>
              <w:rPr>
                <w:sz w:val="20"/>
              </w:rPr>
              <w:t>Schema validation</w:t>
            </w:r>
          </w:p>
        </w:tc>
        <w:tc>
          <w:tcPr>
            <w:tcW w:type="dxa" w:w="4392"/>
            <w:shd w:val="clear" w:color="auto" w:fill="DEEAF1"/>
          </w:tcPr>
          <w:p>
            <w:pPr>
              <w:spacing w:after="40"/>
            </w:pPr>
            <w:r>
              <w:rPr>
                <w:sz w:val="20"/>
              </w:rPr>
              <w:t>Pydantic</w:t>
            </w:r>
          </w:p>
        </w:tc>
      </w:tr>
      <w:tr>
        <w:tc>
          <w:tcPr>
            <w:tcW w:type="dxa" w:w="4392"/>
          </w:tcPr>
          <w:p>
            <w:pPr>
              <w:spacing w:after="40"/>
            </w:pPr>
            <w:r>
              <w:rPr>
                <w:sz w:val="20"/>
              </w:rPr>
              <w:t>Evaluation</w:t>
            </w:r>
          </w:p>
        </w:tc>
        <w:tc>
          <w:tcPr>
            <w:tcW w:type="dxa" w:w="4392"/>
          </w:tcPr>
          <w:p>
            <w:pPr>
              <w:spacing w:after="40"/>
            </w:pPr>
            <w:r>
              <w:rPr>
                <w:sz w:val="20"/>
              </w:rPr>
              <w:t>Great Expectations, Pandera, custom metrics</w:t>
            </w:r>
          </w:p>
        </w:tc>
      </w:tr>
      <w:tr>
        <w:tc>
          <w:tcPr>
            <w:tcW w:type="dxa" w:w="4392"/>
            <w:shd w:val="clear" w:color="auto" w:fill="DEEAF1"/>
          </w:tcPr>
          <w:p>
            <w:pPr>
              <w:spacing w:after="40"/>
            </w:pPr>
            <w:r>
              <w:rPr>
                <w:sz w:val="20"/>
              </w:rPr>
              <w:t>Database</w:t>
            </w:r>
          </w:p>
        </w:tc>
        <w:tc>
          <w:tcPr>
            <w:tcW w:type="dxa" w:w="4392"/>
            <w:shd w:val="clear" w:color="auto" w:fill="DEEAF1"/>
          </w:tcPr>
          <w:p>
            <w:pPr>
              <w:spacing w:after="40"/>
            </w:pPr>
            <w:r>
              <w:rPr>
                <w:sz w:val="20"/>
              </w:rPr>
              <w:t>PostgreSQL or SQLite for development</w:t>
            </w:r>
          </w:p>
        </w:tc>
      </w:tr>
      <w:tr>
        <w:tc>
          <w:tcPr>
            <w:tcW w:type="dxa" w:w="4392"/>
          </w:tcPr>
          <w:p>
            <w:pPr>
              <w:spacing w:after="40"/>
            </w:pPr>
            <w:r>
              <w:rPr>
                <w:sz w:val="20"/>
              </w:rPr>
              <w:t>Infrastructure</w:t>
            </w:r>
          </w:p>
        </w:tc>
        <w:tc>
          <w:tcPr>
            <w:tcW w:type="dxa" w:w="4392"/>
          </w:tcPr>
          <w:p>
            <w:pPr>
              <w:spacing w:after="40"/>
            </w:pPr>
            <w:r>
              <w:rPr>
                <w:sz w:val="20"/>
              </w:rPr>
              <w:t>University-provided compute or free-tier cloud</w:t>
            </w:r>
          </w:p>
        </w:tc>
      </w:tr>
    </w:tbl>
    <w:p/>
    <w:p>
      <w:r>
        <w:rPr>
          <w:b/>
          <w:color w:val="1F497D"/>
          <w:sz w:val="32"/>
        </w:rPr>
        <w:t>Resume-Style Outcomes</w:t>
      </w:r>
    </w:p>
    <w:p>
      <w:pPr>
        <w:spacing w:after="120"/>
      </w:pPr>
      <w:r>
        <w:rPr>
          <w:sz w:val="22"/>
        </w:rPr>
        <w:t>Students completing this capstone will be able to state:</w:t>
      </w:r>
    </w:p>
    <w:p>
      <w:pPr>
        <w:pStyle w:val="ListBullet"/>
        <w:spacing w:after="60"/>
      </w:pPr>
      <w:r>
        <w:rPr>
          <w:sz w:val="22"/>
        </w:rPr>
        <w:t>"I extended an open-source AI framework to support scenario-driven, causally-ordered synthetic data generation."</w:t>
      </w:r>
    </w:p>
    <w:p>
      <w:pPr>
        <w:pStyle w:val="ListBullet"/>
        <w:spacing w:after="60"/>
      </w:pPr>
      <w:r>
        <w:rPr>
          <w:sz w:val="22"/>
        </w:rPr>
        <w:t>"I built a REST API and conversational AI agent that makes a Python library accessible to non-technical domain experts."</w:t>
      </w:r>
    </w:p>
    <w:p>
      <w:pPr>
        <w:pStyle w:val="ListBullet"/>
        <w:spacing w:after="60"/>
      </w:pPr>
      <w:r>
        <w:rPr>
          <w:sz w:val="22"/>
        </w:rPr>
        <w:t>"I designed and implemented a causal workflow integrity layer that enforces domain business rules across multi-table synthetic datasets."</w:t>
      </w:r>
    </w:p>
    <w:p>
      <w:pPr>
        <w:pStyle w:val="ListBullet"/>
        <w:spacing w:after="60"/>
      </w:pPr>
      <w:r>
        <w:rPr>
          <w:sz w:val="22"/>
        </w:rPr>
        <w:t>"I built a structured evaluation framework measuring statistical similarity, semantic correctness, and privacy safety of AI-generated data."</w:t>
      </w:r>
    </w:p>
    <w:p>
      <w:pPr>
        <w:pStyle w:val="ListBullet"/>
        <w:spacing w:after="60"/>
      </w:pPr>
      <w:r>
        <w:rPr>
          <w:sz w:val="22"/>
        </w:rPr>
        <w:t>"I contributed production-quality code and documentation to an open-source AI platform used in enterprise environments."</w:t>
      </w:r>
    </w:p>
    <w:p>
      <w:r>
        <w:rPr>
          <w:b/>
          <w:color w:val="1F497D"/>
          <w:sz w:val="32"/>
        </w:rPr>
        <w:t>Mentor Support</w:t>
      </w:r>
    </w:p>
    <w:p>
      <w:pPr>
        <w:spacing w:after="120"/>
      </w:pPr>
      <w:r>
        <w:rPr>
          <w:sz w:val="22"/>
        </w:rPr>
        <w:t>The industry mentor will provide:</w:t>
      </w:r>
    </w:p>
    <w:p>
      <w:pPr>
        <w:pStyle w:val="ListBullet"/>
        <w:spacing w:after="60"/>
      </w:pPr>
      <w:r>
        <w:rPr>
          <w:sz w:val="22"/>
        </w:rPr>
        <w:t>Syda codebase walkthrough and architecture orientation at project kickoff</w:t>
      </w:r>
    </w:p>
    <w:p>
      <w:pPr>
        <w:pStyle w:val="ListBullet"/>
        <w:spacing w:after="60"/>
      </w:pPr>
      <w:r>
        <w:rPr>
          <w:sz w:val="22"/>
        </w:rPr>
        <w:t>Example schemas and domain rules for the selected domain</w:t>
      </w:r>
    </w:p>
    <w:p>
      <w:pPr>
        <w:pStyle w:val="ListBullet"/>
        <w:spacing w:after="60"/>
      </w:pPr>
      <w:r>
        <w:rPr>
          <w:sz w:val="22"/>
        </w:rPr>
        <w:t>Regular technical guidance and code review throughout the semester</w:t>
      </w:r>
    </w:p>
    <w:p>
      <w:pPr>
        <w:pStyle w:val="ListBullet"/>
        <w:spacing w:after="60"/>
      </w:pPr>
      <w:r>
        <w:rPr>
          <w:sz w:val="22"/>
        </w:rPr>
        <w:t>Feedback on scenario realism and evaluation results</w:t>
      </w:r>
    </w:p>
    <w:p>
      <w:pPr>
        <w:pStyle w:val="ListBullet"/>
        <w:spacing w:after="60"/>
      </w:pPr>
      <w:r>
        <w:rPr>
          <w:sz w:val="22"/>
        </w:rPr>
        <w:t>Access to the Syda GitHub organization for pull request review</w:t>
      </w:r>
    </w:p>
    <w:p>
      <w:pPr>
        <w:spacing w:after="120"/>
      </w:pPr>
      <w:r>
        <w:rPr>
          <w:sz w:val="22"/>
        </w:rPr>
        <w:t>All work will use synthetic or non-sensitive data only, making the project fully appropriate for an academic environment.</w:t>
      </w:r>
    </w:p>
    <w:p>
      <w:r>
        <w:rPr>
          <w:b/>
          <w:color w:val="1F497D"/>
          <w:sz w:val="32"/>
        </w:rPr>
        <w:t>Design Philosophy</w:t>
      </w:r>
    </w:p>
    <w:p>
      <w:pPr>
        <w:spacing w:after="120"/>
      </w:pPr>
      <w:r>
        <w:rPr>
          <w:sz w:val="22"/>
        </w:rPr>
        <w:t>This project emphasizes:</w:t>
      </w:r>
    </w:p>
    <w:p>
      <w:pPr>
        <w:pStyle w:val="ListBullet"/>
        <w:spacing w:after="60"/>
      </w:pPr>
      <w:r>
        <w:rPr>
          <w:sz w:val="22"/>
        </w:rPr>
        <w:t>Engineering discipline over novelty</w:t>
      </w:r>
    </w:p>
    <w:p>
      <w:pPr>
        <w:pStyle w:val="ListBullet"/>
        <w:spacing w:after="60"/>
      </w:pPr>
      <w:r>
        <w:rPr>
          <w:sz w:val="22"/>
        </w:rPr>
        <w:t>Extension and integration over reinvention</w:t>
      </w:r>
    </w:p>
    <w:p>
      <w:pPr>
        <w:pStyle w:val="ListBullet"/>
        <w:spacing w:after="60"/>
      </w:pPr>
      <w:r>
        <w:rPr>
          <w:sz w:val="22"/>
        </w:rPr>
        <w:t>Evaluation and correctness over intuition</w:t>
      </w:r>
    </w:p>
    <w:p>
      <w:pPr>
        <w:pStyle w:val="ListBullet"/>
        <w:spacing w:after="60"/>
      </w:pPr>
      <w:r>
        <w:rPr>
          <w:sz w:val="22"/>
        </w:rPr>
        <w:t>Usability: making a powerful library accessible to non-technical users</w:t>
      </w:r>
    </w:p>
    <w:p>
      <w:pPr>
        <w:pStyle w:val="ListBullet"/>
        <w:spacing w:after="60"/>
      </w:pPr>
      <w:r>
        <w:rPr>
          <w:sz w:val="22"/>
        </w:rPr>
        <w:t>Open-source contribution quality throughout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A0507B1BDEFF745BF3196664F5C2516" ma:contentTypeVersion="9" ma:contentTypeDescription="Create a new document." ma:contentTypeScope="" ma:versionID="45c0543b1a1051ba361819e18fc9f575">
  <xsd:schema xmlns:xsd="http://www.w3.org/2001/XMLSchema" xmlns:xs="http://www.w3.org/2001/XMLSchema" xmlns:p="http://schemas.microsoft.com/office/2006/metadata/properties" xmlns:ns2="c31f53d1-591c-46f6-a0aa-78f504776f42" xmlns:ns3="929e49b7-2309-4a35-852d-eb35e647d9fb" targetNamespace="http://schemas.microsoft.com/office/2006/metadata/properties" ma:root="true" ma:fieldsID="e3ac4fb9fe5179d41dcbc5e942713400" ns2:_="" ns3:_="">
    <xsd:import namespace="c31f53d1-591c-46f6-a0aa-78f504776f42"/>
    <xsd:import namespace="929e49b7-2309-4a35-852d-eb35e647d9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f53d1-591c-46f6-a0aa-78f504776f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9e49b7-2309-4a35-852d-eb35e647d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583a09-5977-421c-8e56-8ad3c1c23a3f}" ma:internalName="TaxCatchAll" ma:showField="CatchAllData" ma:web="929e49b7-2309-4a35-852d-eb35e647d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1f53d1-591c-46f6-a0aa-78f504776f42">
      <Terms xmlns="http://schemas.microsoft.com/office/infopath/2007/PartnerControls"/>
    </lcf76f155ced4ddcb4097134ff3c332f>
    <TaxCatchAll xmlns="929e49b7-2309-4a35-852d-eb35e647d9f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031FA0D-6ED8-4948-A601-E699CED504E9}"/>
</file>

<file path=customXml/itemProps3.xml><?xml version="1.0" encoding="utf-8"?>
<ds:datastoreItem xmlns:ds="http://schemas.openxmlformats.org/officeDocument/2006/customXml" ds:itemID="{DADD4E8D-DB17-40EC-9BF2-DB00CB08645A}"/>
</file>

<file path=customXml/itemProps4.xml><?xml version="1.0" encoding="utf-8"?>
<ds:datastoreItem xmlns:ds="http://schemas.openxmlformats.org/officeDocument/2006/customXml" ds:itemID="{53DC1312-DF4F-423E-8DE7-5702D1EC841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0x0101004A0507B1BDEFF745BF3196664F5C2516</vt:lpwstr>
  </property>
</Properties>
</file>