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020"/>
        <w:gridCol w:w="3021"/>
        <w:gridCol w:w="3021"/>
      </w:tblGrid>
      <w:tr w:rsidR="00321C16" w:rsidRPr="00617B87" w:rsidTr="0033203F">
        <w:tc>
          <w:tcPr>
            <w:tcW w:w="3020" w:type="dxa"/>
            <w:noWrap/>
            <w:hideMark/>
          </w:tcPr>
          <w:p w:rsidR="00321C16" w:rsidRPr="00617B87" w:rsidRDefault="00321C16" w:rsidP="0033203F">
            <w:r w:rsidRPr="00617B87">
              <w:t>Begriff</w:t>
            </w:r>
          </w:p>
        </w:tc>
        <w:tc>
          <w:tcPr>
            <w:tcW w:w="3021" w:type="dxa"/>
            <w:noWrap/>
            <w:hideMark/>
          </w:tcPr>
          <w:p w:rsidR="00321C16" w:rsidRPr="00617B87" w:rsidRDefault="00321C16" w:rsidP="0033203F">
            <w:r w:rsidRPr="00617B87">
              <w:t>Erklärung</w:t>
            </w:r>
          </w:p>
        </w:tc>
        <w:tc>
          <w:tcPr>
            <w:tcW w:w="3021" w:type="dxa"/>
            <w:noWrap/>
            <w:hideMark/>
          </w:tcPr>
          <w:p w:rsidR="00321C16" w:rsidRPr="00617B87" w:rsidRDefault="00321C16" w:rsidP="0033203F">
            <w:r w:rsidRPr="00617B87">
              <w:t>Synonym</w:t>
            </w:r>
          </w:p>
        </w:tc>
      </w:tr>
      <w:tr w:rsidR="00321C16" w:rsidRPr="00617B87" w:rsidTr="0033203F">
        <w:trPr>
          <w:trHeight w:val="282"/>
        </w:trPr>
        <w:tc>
          <w:tcPr>
            <w:tcW w:w="3020" w:type="dxa"/>
            <w:noWrap/>
            <w:hideMark/>
          </w:tcPr>
          <w:p w:rsidR="00321C16" w:rsidRPr="00617B87" w:rsidRDefault="00321C16" w:rsidP="0033203F">
            <w:pPr>
              <w:rPr>
                <w:rFonts w:ascii="Calibri" w:eastAsia="Times New Roman" w:hAnsi="Calibri" w:cs="Calibri"/>
                <w:color w:val="000000"/>
                <w:lang w:eastAsia="de-DE"/>
              </w:rPr>
            </w:pPr>
            <w:r w:rsidRPr="00617B87">
              <w:rPr>
                <w:rFonts w:ascii="Calibri" w:eastAsia="Times New Roman" w:hAnsi="Calibri" w:cs="Calibri"/>
                <w:color w:val="000000"/>
                <w:lang w:eastAsia="de-DE"/>
              </w:rPr>
              <w:t>Administrator</w:t>
            </w:r>
          </w:p>
        </w:tc>
        <w:tc>
          <w:tcPr>
            <w:tcW w:w="3021" w:type="dxa"/>
            <w:noWrap/>
            <w:hideMark/>
          </w:tcPr>
          <w:p w:rsidR="00321C16" w:rsidRPr="00617B87" w:rsidRDefault="00321C16" w:rsidP="0033203F">
            <w:r>
              <w:t>Verwalter von Computersystemen auf der Basis von umfassenden Zugriffsrechten eines Systems. Administratoren planen, konfigurieren und pflegen Computersysteme. Im Zusammenhang des zu erstellenden Systems sind Administratoren zur Erstellung, Ausführung und Verwaltung von Wahlen zuständig.</w:t>
            </w:r>
          </w:p>
        </w:tc>
        <w:tc>
          <w:tcPr>
            <w:tcW w:w="3021" w:type="dxa"/>
            <w:noWrap/>
            <w:hideMark/>
          </w:tcPr>
          <w:p w:rsidR="00321C16" w:rsidRPr="004338E4" w:rsidRDefault="00321C16" w:rsidP="0033203F">
            <w:pPr>
              <w:pStyle w:val="ListParagraph"/>
              <w:numPr>
                <w:ilvl w:val="0"/>
                <w:numId w:val="1"/>
              </w:numPr>
              <w:rPr>
                <w:rFonts w:ascii="Calibri" w:hAnsi="Calibri" w:cs="Calibri"/>
                <w:color w:val="000000"/>
              </w:rPr>
            </w:pPr>
            <w:r w:rsidRPr="004338E4">
              <w:rPr>
                <w:rFonts w:ascii="Calibri" w:hAnsi="Calibri" w:cs="Calibri"/>
                <w:color w:val="000000"/>
              </w:rPr>
              <w:t>Verwalter</w:t>
            </w:r>
          </w:p>
          <w:p w:rsidR="00321C16" w:rsidRPr="004338E4" w:rsidRDefault="00321C16" w:rsidP="0033203F">
            <w:pPr>
              <w:pStyle w:val="ListParagraph"/>
              <w:numPr>
                <w:ilvl w:val="0"/>
                <w:numId w:val="1"/>
              </w:numPr>
              <w:rPr>
                <w:rFonts w:ascii="Calibri" w:hAnsi="Calibri" w:cs="Calibri"/>
                <w:color w:val="000000"/>
              </w:rPr>
            </w:pPr>
            <w:r w:rsidRPr="004338E4">
              <w:rPr>
                <w:rFonts w:ascii="Calibri" w:hAnsi="Calibri" w:cs="Calibri"/>
                <w:color w:val="000000"/>
              </w:rPr>
              <w:t>Leiter</w:t>
            </w:r>
          </w:p>
          <w:p w:rsidR="00321C16" w:rsidRPr="00617B87" w:rsidRDefault="00321C16" w:rsidP="0033203F">
            <w:pPr>
              <w:pStyle w:val="ListParagraph"/>
              <w:numPr>
                <w:ilvl w:val="0"/>
                <w:numId w:val="1"/>
              </w:numPr>
            </w:pPr>
            <w:r w:rsidRPr="004338E4">
              <w:rPr>
                <w:rFonts w:ascii="Calibri" w:hAnsi="Calibri" w:cs="Calibri"/>
                <w:color w:val="000000"/>
              </w:rPr>
              <w:t>Operator</w:t>
            </w:r>
          </w:p>
        </w:tc>
      </w:tr>
      <w:tr w:rsidR="00321C16" w:rsidRPr="00617B87" w:rsidTr="0033203F">
        <w:trPr>
          <w:trHeight w:val="282"/>
        </w:trPr>
        <w:tc>
          <w:tcPr>
            <w:tcW w:w="3020" w:type="dxa"/>
            <w:noWrap/>
            <w:hideMark/>
          </w:tcPr>
          <w:p w:rsidR="00321C16" w:rsidRPr="00617B87" w:rsidRDefault="00321C16" w:rsidP="0033203F">
            <w:r w:rsidRPr="00617B87">
              <w:rPr>
                <w:rFonts w:ascii="Calibri" w:eastAsia="Times New Roman" w:hAnsi="Calibri" w:cs="Calibri"/>
                <w:color w:val="000000"/>
                <w:lang w:eastAsia="de-DE"/>
              </w:rPr>
              <w:t xml:space="preserve">Dedizierter </w:t>
            </w:r>
            <w:r w:rsidRPr="00617B87">
              <w:t>Server</w:t>
            </w:r>
          </w:p>
        </w:tc>
        <w:tc>
          <w:tcPr>
            <w:tcW w:w="3021" w:type="dxa"/>
            <w:noWrap/>
            <w:hideMark/>
          </w:tcPr>
          <w:p w:rsidR="00321C16" w:rsidRPr="00617B87" w:rsidRDefault="00321C16" w:rsidP="0033203F">
            <w:r>
              <w:t>Eine spezielle Form von Servern bei der das System nur für einen bestimmten Einsatzzweck vorgesehen ist. Vorteil dieser Herangehensweise ist, dass die komplette Leistung und alle verfügbaren Ressourcen auf dem System zur Verfügung stehen.</w:t>
            </w:r>
          </w:p>
        </w:tc>
        <w:tc>
          <w:tcPr>
            <w:tcW w:w="3021" w:type="dxa"/>
            <w:noWrap/>
            <w:hideMark/>
          </w:tcPr>
          <w:p w:rsidR="00321C16" w:rsidRPr="00617B87" w:rsidRDefault="00321C16" w:rsidP="0033203F"/>
        </w:tc>
      </w:tr>
      <w:tr w:rsidR="00321C16" w:rsidRPr="00617B87" w:rsidTr="0033203F">
        <w:tc>
          <w:tcPr>
            <w:tcW w:w="3020" w:type="dxa"/>
            <w:noWrap/>
            <w:hideMark/>
          </w:tcPr>
          <w:p w:rsidR="00321C16" w:rsidRPr="00617B87" w:rsidRDefault="00321C16" w:rsidP="0033203F">
            <w:pPr>
              <w:rPr>
                <w:rFonts w:ascii="Calibri" w:eastAsia="Times New Roman" w:hAnsi="Calibri" w:cs="Calibri"/>
                <w:color w:val="000000"/>
                <w:lang w:eastAsia="de-DE"/>
              </w:rPr>
            </w:pPr>
            <w:r w:rsidRPr="00617B87">
              <w:rPr>
                <w:rFonts w:ascii="Calibri" w:eastAsia="Times New Roman" w:hAnsi="Calibri" w:cs="Calibri"/>
                <w:color w:val="000000"/>
                <w:lang w:eastAsia="de-DE"/>
              </w:rPr>
              <w:t>Kandidat</w:t>
            </w:r>
          </w:p>
        </w:tc>
        <w:tc>
          <w:tcPr>
            <w:tcW w:w="3021" w:type="dxa"/>
            <w:noWrap/>
            <w:hideMark/>
          </w:tcPr>
          <w:p w:rsidR="00321C16" w:rsidRPr="00617B87" w:rsidRDefault="00321C16" w:rsidP="0033203F">
            <w:r>
              <w:t xml:space="preserve">Der Bewerber oder Anwärter auf eine Position. In diesem Fall könnte es sich bei der Bewerbung um die Position zum Beispiel um ein Amt oder Mandat handeln. </w:t>
            </w:r>
          </w:p>
        </w:tc>
        <w:tc>
          <w:tcPr>
            <w:tcW w:w="3021" w:type="dxa"/>
            <w:noWrap/>
            <w:hideMark/>
          </w:tcPr>
          <w:p w:rsidR="00321C16" w:rsidRPr="00617B87" w:rsidRDefault="00321C16" w:rsidP="0033203F"/>
        </w:tc>
      </w:tr>
      <w:tr w:rsidR="00321C16" w:rsidRPr="00617B87" w:rsidTr="0033203F">
        <w:tc>
          <w:tcPr>
            <w:tcW w:w="3020" w:type="dxa"/>
            <w:noWrap/>
            <w:hideMark/>
          </w:tcPr>
          <w:p w:rsidR="00321C16" w:rsidRPr="00617B87" w:rsidRDefault="00321C16" w:rsidP="0033203F">
            <w:r w:rsidRPr="00617B87">
              <w:rPr>
                <w:rFonts w:ascii="Calibri" w:eastAsia="Times New Roman" w:hAnsi="Calibri" w:cs="Calibri"/>
                <w:color w:val="000000"/>
                <w:lang w:eastAsia="de-DE"/>
              </w:rPr>
              <w:t>Stimmzettel</w:t>
            </w:r>
          </w:p>
        </w:tc>
        <w:tc>
          <w:tcPr>
            <w:tcW w:w="3021" w:type="dxa"/>
            <w:noWrap/>
            <w:hideMark/>
          </w:tcPr>
          <w:p w:rsidR="00321C16" w:rsidRPr="00617B87" w:rsidRDefault="00321C16" w:rsidP="0033203F">
            <w:r w:rsidRPr="006F725B">
              <w:t>Ein Stimmzettel ist ein vorgedrucktes Blatt Papier, welches eine Liste aller zur Wahl zugelassenen Kandidaten bzw. Parteien aufführt. Er wird jedem Wahlberechtigten im Wahllokal ausgehändigt, der Wahlberechtigte muss anschließend mit einer eindeutigen Markierung den Kandidaten bzw. die Partei seiner Wahl kennzeichnen.</w:t>
            </w:r>
          </w:p>
        </w:tc>
        <w:tc>
          <w:tcPr>
            <w:tcW w:w="3021" w:type="dxa"/>
            <w:noWrap/>
            <w:hideMark/>
          </w:tcPr>
          <w:p w:rsidR="00321C16" w:rsidRPr="00617B87" w:rsidRDefault="00321C16" w:rsidP="0033203F">
            <w:pPr>
              <w:pStyle w:val="ListParagraph"/>
              <w:numPr>
                <w:ilvl w:val="0"/>
                <w:numId w:val="2"/>
              </w:numPr>
            </w:pPr>
            <w:r w:rsidRPr="00617B87">
              <w:t>Wahlzettel</w:t>
            </w:r>
          </w:p>
        </w:tc>
      </w:tr>
      <w:tr w:rsidR="00321C16" w:rsidRPr="00617B87" w:rsidTr="0033203F">
        <w:tc>
          <w:tcPr>
            <w:tcW w:w="3020" w:type="dxa"/>
            <w:noWrap/>
            <w:hideMark/>
          </w:tcPr>
          <w:p w:rsidR="00321C16" w:rsidRPr="00617B87" w:rsidRDefault="00321C16" w:rsidP="0033203F">
            <w:pPr>
              <w:rPr>
                <w:rFonts w:ascii="Calibri" w:eastAsia="Times New Roman" w:hAnsi="Calibri" w:cs="Calibri"/>
                <w:color w:val="000000"/>
                <w:lang w:eastAsia="de-DE"/>
              </w:rPr>
            </w:pPr>
            <w:r w:rsidRPr="00617B87">
              <w:rPr>
                <w:rFonts w:ascii="Calibri" w:eastAsia="Times New Roman" w:hAnsi="Calibri" w:cs="Calibri"/>
                <w:color w:val="000000"/>
                <w:lang w:eastAsia="de-DE"/>
              </w:rPr>
              <w:t>Wahl</w:t>
            </w:r>
          </w:p>
        </w:tc>
        <w:tc>
          <w:tcPr>
            <w:tcW w:w="3021" w:type="dxa"/>
            <w:noWrap/>
            <w:hideMark/>
          </w:tcPr>
          <w:p w:rsidR="00321C16" w:rsidRPr="00617B87" w:rsidRDefault="00321C16" w:rsidP="0033203F">
            <w:r>
              <w:t xml:space="preserve">Ein Verfahren, in zum Beispiel Staaten, zur Bestellung einer repräsentativen Person oder mehrerer Personen als entscheidungs- oder herrschaftsausübendes Organ. Meist erhalten die Amts- oder Mandatsinhaber ihre Legitimation dadurch, dass eine Personengruppe in einem vorher festgelegten Verfahren </w:t>
            </w:r>
            <w:r>
              <w:lastRenderedPageBreak/>
              <w:t>ihren Willen äußert. Die Summe aller Einzelentscheidungen führt zu der im Wahlergebnis abgebildeten Gesamtentscheidung.</w:t>
            </w:r>
          </w:p>
        </w:tc>
        <w:tc>
          <w:tcPr>
            <w:tcW w:w="3021" w:type="dxa"/>
            <w:noWrap/>
            <w:hideMark/>
          </w:tcPr>
          <w:p w:rsidR="00321C16" w:rsidRPr="00617B87" w:rsidRDefault="00321C16" w:rsidP="0033203F"/>
        </w:tc>
      </w:tr>
      <w:tr w:rsidR="00321C16" w:rsidRPr="00617B87" w:rsidTr="0033203F">
        <w:tc>
          <w:tcPr>
            <w:tcW w:w="3020" w:type="dxa"/>
            <w:noWrap/>
            <w:hideMark/>
          </w:tcPr>
          <w:p w:rsidR="00321C16" w:rsidRPr="00617B87" w:rsidRDefault="00321C16" w:rsidP="0033203F">
            <w:r w:rsidRPr="00617B87">
              <w:rPr>
                <w:rFonts w:ascii="Calibri" w:eastAsia="Times New Roman" w:hAnsi="Calibri" w:cs="Calibri"/>
                <w:color w:val="000000"/>
                <w:lang w:eastAsia="de-DE"/>
              </w:rPr>
              <w:t>Wahlbenachrichtigung</w:t>
            </w:r>
          </w:p>
        </w:tc>
        <w:tc>
          <w:tcPr>
            <w:tcW w:w="3021" w:type="dxa"/>
            <w:noWrap/>
            <w:hideMark/>
          </w:tcPr>
          <w:p w:rsidR="00321C16" w:rsidRPr="00617B87" w:rsidRDefault="00321C16" w:rsidP="0033203F">
            <w:r w:rsidRPr="006F725B">
              <w:t xml:space="preserve">Die Wahlbenachrichtigung ist eine amtliche Benachrichtigung, die jeder Wahlberechtigte per Post zugeschickt bekommt. Sie beinhaltet den Wahltermin und das Wahllokal, welches der Wähler aufsuchen muss. </w:t>
            </w:r>
            <w:r>
              <w:t>Darüber hinaus</w:t>
            </w:r>
            <w:r w:rsidRPr="006F725B">
              <w:t xml:space="preserve"> </w:t>
            </w:r>
            <w:r>
              <w:t>be</w:t>
            </w:r>
            <w:r w:rsidRPr="006F725B">
              <w:t>finden sich darin Informationen über die Nummer im Wahlverzeichnis und den entsprechenden Wahlbezirk.</w:t>
            </w:r>
          </w:p>
        </w:tc>
        <w:tc>
          <w:tcPr>
            <w:tcW w:w="3021" w:type="dxa"/>
            <w:noWrap/>
            <w:hideMark/>
          </w:tcPr>
          <w:p w:rsidR="00321C16" w:rsidRPr="00617B87" w:rsidRDefault="00321C16" w:rsidP="0033203F"/>
        </w:tc>
      </w:tr>
      <w:tr w:rsidR="00321C16" w:rsidRPr="00617B87" w:rsidTr="0033203F">
        <w:tc>
          <w:tcPr>
            <w:tcW w:w="3020" w:type="dxa"/>
            <w:noWrap/>
            <w:hideMark/>
          </w:tcPr>
          <w:p w:rsidR="00321C16" w:rsidRPr="00617B87" w:rsidRDefault="00321C16" w:rsidP="0033203F">
            <w:r w:rsidRPr="00617B87">
              <w:rPr>
                <w:rFonts w:ascii="Calibri" w:eastAsia="Times New Roman" w:hAnsi="Calibri" w:cs="Calibri"/>
                <w:color w:val="000000"/>
                <w:lang w:eastAsia="de-DE"/>
              </w:rPr>
              <w:t>Wahlberechtigter</w:t>
            </w:r>
          </w:p>
        </w:tc>
        <w:tc>
          <w:tcPr>
            <w:tcW w:w="3021" w:type="dxa"/>
            <w:noWrap/>
            <w:hideMark/>
          </w:tcPr>
          <w:p w:rsidR="00321C16" w:rsidRPr="00617B87" w:rsidRDefault="00321C16" w:rsidP="0033203F">
            <w:r w:rsidRPr="006F725B">
              <w:t>Ein Wahlberechtiger ist eine Person, die entweder passiv oder aktiv an einer Wahl teilnehmen darf. Aktiv bedeutet, dass er das Recht hat, zu wählen, während ein passiver Wahlberechtiger kandidieren und gewählt werden darf. In den meisten Fällen sind Personen sowohl aktiv als auch passiv wahlberechtigt, es kommt jedoch auch vor, dass die Altersgrenze für eine aktive Wahlberechtigung niedriger angesetzt ist.</w:t>
            </w:r>
          </w:p>
        </w:tc>
        <w:tc>
          <w:tcPr>
            <w:tcW w:w="3021" w:type="dxa"/>
            <w:noWrap/>
            <w:hideMark/>
          </w:tcPr>
          <w:p w:rsidR="00321C16" w:rsidRPr="00617B87" w:rsidRDefault="00321C16" w:rsidP="0033203F"/>
        </w:tc>
      </w:tr>
      <w:tr w:rsidR="00321C16" w:rsidRPr="00617B87" w:rsidTr="0033203F">
        <w:tc>
          <w:tcPr>
            <w:tcW w:w="3020" w:type="dxa"/>
            <w:noWrap/>
            <w:hideMark/>
          </w:tcPr>
          <w:p w:rsidR="00321C16" w:rsidRPr="00617B87" w:rsidRDefault="00321C16" w:rsidP="0033203F">
            <w:r w:rsidRPr="00617B87">
              <w:rPr>
                <w:rFonts w:ascii="Calibri" w:eastAsia="Times New Roman" w:hAnsi="Calibri" w:cs="Calibri"/>
                <w:color w:val="000000"/>
                <w:lang w:eastAsia="de-DE"/>
              </w:rPr>
              <w:t>Wahlkreis</w:t>
            </w:r>
          </w:p>
        </w:tc>
        <w:tc>
          <w:tcPr>
            <w:tcW w:w="3021" w:type="dxa"/>
            <w:noWrap/>
            <w:hideMark/>
          </w:tcPr>
          <w:p w:rsidR="00321C16" w:rsidRPr="00617B87" w:rsidRDefault="00321C16" w:rsidP="0033203F">
            <w:r w:rsidRPr="006F725B">
              <w:t>Ein Wahlkreis ist der kleinste Teil eines Wahlgebietes, der für die Sitzverteilung relevant ist und in dem die Wahlberechtigten über die Besetzung eines oder mehrerer Mandate abstimmen. Wahlkreise sind im Regelfall geographisch zusammenhängend.</w:t>
            </w:r>
          </w:p>
        </w:tc>
        <w:tc>
          <w:tcPr>
            <w:tcW w:w="3021" w:type="dxa"/>
            <w:noWrap/>
            <w:hideMark/>
          </w:tcPr>
          <w:p w:rsidR="00321C16" w:rsidRPr="00617B87" w:rsidRDefault="00321C16" w:rsidP="0033203F"/>
        </w:tc>
      </w:tr>
      <w:tr w:rsidR="00321C16" w:rsidRPr="00617B87" w:rsidTr="0033203F">
        <w:tc>
          <w:tcPr>
            <w:tcW w:w="3020" w:type="dxa"/>
            <w:noWrap/>
            <w:hideMark/>
          </w:tcPr>
          <w:p w:rsidR="00321C16" w:rsidRPr="00617B87" w:rsidRDefault="00321C16" w:rsidP="0033203F">
            <w:r w:rsidRPr="00617B87">
              <w:rPr>
                <w:rFonts w:ascii="Calibri" w:eastAsia="Times New Roman" w:hAnsi="Calibri" w:cs="Calibri"/>
                <w:color w:val="000000"/>
                <w:lang w:eastAsia="de-DE"/>
              </w:rPr>
              <w:t>Wahlleiter</w:t>
            </w:r>
          </w:p>
        </w:tc>
        <w:tc>
          <w:tcPr>
            <w:tcW w:w="3021" w:type="dxa"/>
            <w:noWrap/>
            <w:hideMark/>
          </w:tcPr>
          <w:p w:rsidR="00321C16" w:rsidRPr="00617B87" w:rsidRDefault="00321C16" w:rsidP="0033203F">
            <w:r>
              <w:t>Eine Person oder Institution, die politische Wahlen organisiert und überwacht. Im Grund genommen stellen sie die ordnungsgemäße Durchführung der Wahl sicher.</w:t>
            </w:r>
          </w:p>
        </w:tc>
        <w:tc>
          <w:tcPr>
            <w:tcW w:w="3021" w:type="dxa"/>
            <w:noWrap/>
            <w:hideMark/>
          </w:tcPr>
          <w:p w:rsidR="00321C16" w:rsidRPr="00617B87" w:rsidRDefault="00321C16" w:rsidP="0033203F"/>
        </w:tc>
      </w:tr>
      <w:tr w:rsidR="00321C16" w:rsidRPr="00617B87" w:rsidTr="0033203F">
        <w:tc>
          <w:tcPr>
            <w:tcW w:w="3020" w:type="dxa"/>
            <w:noWrap/>
          </w:tcPr>
          <w:p w:rsidR="00321C16" w:rsidRPr="00617B87" w:rsidRDefault="00321C16" w:rsidP="0033203F">
            <w:pPr>
              <w:rPr>
                <w:rFonts w:ascii="Calibri" w:eastAsia="Times New Roman" w:hAnsi="Calibri" w:cs="Calibri"/>
                <w:color w:val="000000"/>
                <w:lang w:eastAsia="de-DE"/>
              </w:rPr>
            </w:pPr>
            <w:r>
              <w:rPr>
                <w:rFonts w:ascii="Calibri" w:eastAsia="Times New Roman" w:hAnsi="Calibri" w:cs="Calibri"/>
                <w:color w:val="000000"/>
                <w:lang w:eastAsia="de-DE"/>
              </w:rPr>
              <w:lastRenderedPageBreak/>
              <w:t>Wahllokal</w:t>
            </w:r>
          </w:p>
        </w:tc>
        <w:tc>
          <w:tcPr>
            <w:tcW w:w="3021" w:type="dxa"/>
            <w:noWrap/>
          </w:tcPr>
          <w:p w:rsidR="00321C16" w:rsidRPr="00617B87" w:rsidRDefault="00321C16" w:rsidP="0033203F">
            <w:r>
              <w:t>Ein öffentlicher Ort, an dem eine Wahl durchgeführt wird. Meistens handelt es sich um einen Raum, der sich meist in einem öffentlichen Gebäude befindet.</w:t>
            </w:r>
          </w:p>
        </w:tc>
        <w:tc>
          <w:tcPr>
            <w:tcW w:w="3021" w:type="dxa"/>
            <w:noWrap/>
          </w:tcPr>
          <w:p w:rsidR="00321C16" w:rsidRPr="00617B87" w:rsidRDefault="00321C16" w:rsidP="0033203F">
            <w:pPr>
              <w:pStyle w:val="ListParagraph"/>
              <w:numPr>
                <w:ilvl w:val="0"/>
                <w:numId w:val="2"/>
              </w:numPr>
            </w:pPr>
            <w:r>
              <w:t>Wahlraum</w:t>
            </w:r>
          </w:p>
        </w:tc>
      </w:tr>
      <w:tr w:rsidR="00321C16" w:rsidRPr="00617B87" w:rsidTr="0033203F">
        <w:tc>
          <w:tcPr>
            <w:tcW w:w="3020" w:type="dxa"/>
            <w:noWrap/>
            <w:hideMark/>
          </w:tcPr>
          <w:p w:rsidR="00321C16" w:rsidRPr="00617B87" w:rsidRDefault="00321C16" w:rsidP="0033203F">
            <w:r w:rsidRPr="00617B87">
              <w:rPr>
                <w:rFonts w:ascii="Calibri" w:eastAsia="Times New Roman" w:hAnsi="Calibri" w:cs="Calibri"/>
                <w:color w:val="000000"/>
                <w:lang w:eastAsia="de-DE"/>
              </w:rPr>
              <w:t>Wahlschein</w:t>
            </w:r>
          </w:p>
        </w:tc>
        <w:tc>
          <w:tcPr>
            <w:tcW w:w="3021" w:type="dxa"/>
            <w:noWrap/>
            <w:hideMark/>
          </w:tcPr>
          <w:p w:rsidR="00321C16" w:rsidRPr="00617B87" w:rsidRDefault="00321C16" w:rsidP="0033203F">
            <w:r>
              <w:t>Die Bescheinigung über das Recht zur Wahlteilnahme. Besitzt ein Bürger also einen Wahlschein, darf er bei einer Wahl seine Stimme persönlich in einem beliebigen Wahllokal des Wahlkreises oder durch Briefwahl abgeben.</w:t>
            </w:r>
          </w:p>
        </w:tc>
        <w:tc>
          <w:tcPr>
            <w:tcW w:w="3021" w:type="dxa"/>
            <w:noWrap/>
            <w:hideMark/>
          </w:tcPr>
          <w:p w:rsidR="00321C16" w:rsidRPr="00617B87" w:rsidRDefault="00321C16" w:rsidP="0033203F"/>
        </w:tc>
      </w:tr>
      <w:tr w:rsidR="00321C16" w:rsidRPr="00617B87" w:rsidTr="0033203F">
        <w:tc>
          <w:tcPr>
            <w:tcW w:w="3020" w:type="dxa"/>
            <w:noWrap/>
            <w:hideMark/>
          </w:tcPr>
          <w:p w:rsidR="00321C16" w:rsidRPr="00617B87" w:rsidRDefault="00321C16" w:rsidP="0033203F">
            <w:r w:rsidRPr="00617B87">
              <w:rPr>
                <w:rFonts w:ascii="Calibri" w:eastAsia="Times New Roman" w:hAnsi="Calibri" w:cs="Calibri"/>
                <w:color w:val="000000"/>
                <w:lang w:eastAsia="de-DE"/>
              </w:rPr>
              <w:t>Web-App</w:t>
            </w:r>
            <w:r>
              <w:rPr>
                <w:rFonts w:ascii="Calibri" w:eastAsia="Times New Roman" w:hAnsi="Calibri" w:cs="Calibri"/>
                <w:color w:val="000000"/>
                <w:lang w:eastAsia="de-DE"/>
              </w:rPr>
              <w:t>likation</w:t>
            </w:r>
          </w:p>
        </w:tc>
        <w:tc>
          <w:tcPr>
            <w:tcW w:w="3021" w:type="dxa"/>
            <w:noWrap/>
            <w:hideMark/>
          </w:tcPr>
          <w:p w:rsidR="00321C16" w:rsidRPr="00617B87" w:rsidRDefault="00321C16" w:rsidP="0033203F">
            <w:r w:rsidRPr="00617B87">
              <w:t>Eine Form von Anwendungsprogrammen die nach dem Client-Server-Modell realisiert werd</w:t>
            </w:r>
            <w:r>
              <w:t xml:space="preserve">en. Im Gegensatz zur Architektur klassischer </w:t>
            </w:r>
            <w:r w:rsidRPr="00617B87">
              <w:t xml:space="preserve">Desktopanwendungen werden Webanwendungen nicht lokal auf dem Rechner des Benutzers installiert </w:t>
            </w:r>
            <w:r>
              <w:t xml:space="preserve">geschweige denn </w:t>
            </w:r>
            <w:r w:rsidRPr="00617B87">
              <w:t>ausgeführt. Der Client</w:t>
            </w:r>
            <w:r>
              <w:t xml:space="preserve"> stellt lediglich die vom Server verarbeiteten und ausgewerteten Daten dar. In der Regel wird eine Webanwendung über einen Webbrowser genutzt, dieser übernimmt die Kommunikation zum Server.</w:t>
            </w:r>
          </w:p>
        </w:tc>
        <w:tc>
          <w:tcPr>
            <w:tcW w:w="3021" w:type="dxa"/>
            <w:noWrap/>
            <w:hideMark/>
          </w:tcPr>
          <w:p w:rsidR="00321C16" w:rsidRDefault="00321C16" w:rsidP="0033203F">
            <w:pPr>
              <w:pStyle w:val="ListParagraph"/>
              <w:numPr>
                <w:ilvl w:val="0"/>
                <w:numId w:val="2"/>
              </w:numPr>
            </w:pPr>
            <w:r w:rsidRPr="00617B87">
              <w:t>We</w:t>
            </w:r>
            <w:r>
              <w:t>banwendung</w:t>
            </w:r>
          </w:p>
          <w:p w:rsidR="00321C16" w:rsidRDefault="00321C16" w:rsidP="0033203F">
            <w:pPr>
              <w:pStyle w:val="ListParagraph"/>
              <w:numPr>
                <w:ilvl w:val="0"/>
                <w:numId w:val="2"/>
              </w:numPr>
            </w:pPr>
            <w:r>
              <w:t>Web-App</w:t>
            </w:r>
          </w:p>
          <w:p w:rsidR="00321C16" w:rsidRPr="00617B87" w:rsidRDefault="00321C16" w:rsidP="0033203F">
            <w:pPr>
              <w:pStyle w:val="ListParagraph"/>
              <w:numPr>
                <w:ilvl w:val="0"/>
                <w:numId w:val="2"/>
              </w:numPr>
            </w:pPr>
            <w:r w:rsidRPr="00617B87">
              <w:t>Online-Anwendung</w:t>
            </w:r>
          </w:p>
        </w:tc>
      </w:tr>
      <w:tr w:rsidR="00321C16" w:rsidRPr="00617B87" w:rsidTr="0033203F">
        <w:tc>
          <w:tcPr>
            <w:tcW w:w="3020" w:type="dxa"/>
            <w:noWrap/>
          </w:tcPr>
          <w:p w:rsidR="00321C16" w:rsidRPr="00617B87" w:rsidRDefault="00321C16" w:rsidP="0033203F">
            <w:pPr>
              <w:rPr>
                <w:rFonts w:ascii="Calibri" w:eastAsia="Times New Roman" w:hAnsi="Calibri" w:cs="Calibri"/>
                <w:color w:val="000000"/>
                <w:lang w:eastAsia="de-DE"/>
              </w:rPr>
            </w:pPr>
            <w:r>
              <w:rPr>
                <w:rFonts w:ascii="Calibri" w:eastAsia="Times New Roman" w:hAnsi="Calibri" w:cs="Calibri"/>
                <w:color w:val="000000"/>
                <w:lang w:eastAsia="de-DE"/>
              </w:rPr>
              <w:t>Webbrowser</w:t>
            </w:r>
          </w:p>
        </w:tc>
        <w:tc>
          <w:tcPr>
            <w:tcW w:w="3021" w:type="dxa"/>
            <w:noWrap/>
          </w:tcPr>
          <w:p w:rsidR="00321C16" w:rsidRPr="00617B87" w:rsidRDefault="00321C16" w:rsidP="0033203F">
            <w:r>
              <w:t>Ein Computerprogramm zur Darstellung der Benutzeroberflächen von Web-Applikationen. Mit einem Browser können Webseiten aufgerufen und bedient werden. Sie erlauben es Benutzern das Internet zu durchstöbern und einzelne Seiten anzusehen.</w:t>
            </w:r>
          </w:p>
        </w:tc>
        <w:tc>
          <w:tcPr>
            <w:tcW w:w="3021" w:type="dxa"/>
            <w:noWrap/>
          </w:tcPr>
          <w:p w:rsidR="00321C16" w:rsidRPr="00617B87" w:rsidRDefault="00321C16" w:rsidP="0033203F"/>
        </w:tc>
      </w:tr>
      <w:tr w:rsidR="00321C16" w:rsidRPr="00617B87" w:rsidTr="0033203F">
        <w:tc>
          <w:tcPr>
            <w:tcW w:w="3020" w:type="dxa"/>
            <w:noWrap/>
            <w:hideMark/>
          </w:tcPr>
          <w:p w:rsidR="00321C16" w:rsidRPr="00617B87" w:rsidRDefault="00321C16" w:rsidP="0033203F">
            <w:r w:rsidRPr="00617B87">
              <w:rPr>
                <w:rFonts w:ascii="Calibri" w:eastAsia="Times New Roman" w:hAnsi="Calibri" w:cs="Calibri"/>
                <w:color w:val="000000"/>
                <w:lang w:eastAsia="de-DE"/>
              </w:rPr>
              <w:t>Client</w:t>
            </w:r>
          </w:p>
        </w:tc>
        <w:tc>
          <w:tcPr>
            <w:tcW w:w="3021" w:type="dxa"/>
            <w:noWrap/>
            <w:hideMark/>
          </w:tcPr>
          <w:p w:rsidR="00321C16" w:rsidRPr="00617B87" w:rsidRDefault="00321C16" w:rsidP="0033203F">
            <w:r w:rsidRPr="006F725B">
              <w:t xml:space="preserve">Als Client bezeichnet man eine Applikation - oder auch das Endgerät auf der die Applikation ausgeführt wird - welche mit einem Server bzw. Serverprogramm kommuniziert. Es ist die direkte Übersetzung des deutschen Wortes Kunde, da </w:t>
            </w:r>
            <w:r w:rsidRPr="006F725B">
              <w:lastRenderedPageBreak/>
              <w:t>der Client vom Server einen Dienst anfordert, den er im Anschluss nutzen möchte.</w:t>
            </w:r>
          </w:p>
        </w:tc>
        <w:tc>
          <w:tcPr>
            <w:tcW w:w="3021" w:type="dxa"/>
            <w:noWrap/>
            <w:hideMark/>
          </w:tcPr>
          <w:p w:rsidR="00321C16" w:rsidRPr="00617B87" w:rsidRDefault="00321C16" w:rsidP="0033203F"/>
        </w:tc>
      </w:tr>
      <w:tr w:rsidR="00321C16" w:rsidRPr="00617B87" w:rsidTr="0033203F">
        <w:tc>
          <w:tcPr>
            <w:tcW w:w="3020" w:type="dxa"/>
            <w:noWrap/>
            <w:hideMark/>
          </w:tcPr>
          <w:p w:rsidR="00321C16" w:rsidRPr="00617B87" w:rsidRDefault="00321C16" w:rsidP="0033203F">
            <w:r w:rsidRPr="00617B87">
              <w:rPr>
                <w:rFonts w:ascii="Calibri" w:eastAsia="Times New Roman" w:hAnsi="Calibri" w:cs="Calibri"/>
                <w:color w:val="000000"/>
                <w:lang w:eastAsia="de-DE"/>
              </w:rPr>
              <w:t>Server</w:t>
            </w:r>
          </w:p>
        </w:tc>
        <w:tc>
          <w:tcPr>
            <w:tcW w:w="3021" w:type="dxa"/>
            <w:noWrap/>
            <w:hideMark/>
          </w:tcPr>
          <w:p w:rsidR="00321C16" w:rsidRPr="00617B87" w:rsidRDefault="00321C16" w:rsidP="0033203F">
            <w:pPr>
              <w:rPr>
                <w:rFonts w:ascii="Calibri" w:hAnsi="Calibri" w:cs="Calibri"/>
                <w:color w:val="000000"/>
              </w:rPr>
            </w:pPr>
            <w:r w:rsidRPr="006F725B">
              <w:rPr>
                <w:rFonts w:ascii="Calibri" w:hAnsi="Calibri" w:cs="Calibri"/>
                <w:color w:val="000000"/>
              </w:rPr>
              <w:t>Ein Server ist ein Programm bzw. ein Rechner, der mit einem Client kommuniziert, um diesem einen bestimmten Dienst bereitzustellen. Server lässt sich mit Diener oder auch Anbieter übersetzen, er bietet dem Client gewisse Dienste an, stellt sie ihm also sozusagen zur Verfügung.</w:t>
            </w:r>
          </w:p>
        </w:tc>
        <w:tc>
          <w:tcPr>
            <w:tcW w:w="3021" w:type="dxa"/>
            <w:noWrap/>
            <w:hideMark/>
          </w:tcPr>
          <w:p w:rsidR="00321C16" w:rsidRPr="00617B87" w:rsidRDefault="00321C16" w:rsidP="0033203F"/>
        </w:tc>
      </w:tr>
    </w:tbl>
    <w:p w:rsidR="00663A8B" w:rsidRDefault="00663A8B">
      <w:bookmarkStart w:id="0" w:name="_GoBack"/>
      <w:bookmarkEnd w:id="0"/>
    </w:p>
    <w:sectPr w:rsidR="00663A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338E3"/>
    <w:multiLevelType w:val="hybridMultilevel"/>
    <w:tmpl w:val="9A202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8F222DA"/>
    <w:multiLevelType w:val="hybridMultilevel"/>
    <w:tmpl w:val="7FA69A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16"/>
    <w:rsid w:val="00321C16"/>
    <w:rsid w:val="00663A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2E3D9-20CA-414F-BCEE-97536A8E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1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1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618</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Hauß</dc:creator>
  <cp:keywords/>
  <dc:description/>
  <cp:lastModifiedBy>Jonas Hauß</cp:lastModifiedBy>
  <cp:revision>1</cp:revision>
  <dcterms:created xsi:type="dcterms:W3CDTF">2017-11-13T17:49:00Z</dcterms:created>
  <dcterms:modified xsi:type="dcterms:W3CDTF">2017-11-13T17:50:00Z</dcterms:modified>
</cp:coreProperties>
</file>