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141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00000"/>
          <w:spacing w:val="0"/>
          <w:sz w:val="21"/>
          <w:szCs w:val="21"/>
        </w:rPr>
        <w:t>角山</w:t>
      </w:r>
    </w:p>
    <w:p w14:paraId="5BF5D2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       角山坐落在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instrText xml:space="preserve"> HYPERLINK "https://baike.baidu.com/item/%E6%B2%B3%E5%8C%97/65777?fromModule=lemma_inlink" \t "https://baike.baidu.com/item/%E8%A7%92%E5%B1%B1%E9%95%BF%E5%9F%8E/_blank"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河北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instrText xml:space="preserve"> HYPERLINK "https://baike.baidu.com/item/%E7%A7%A6%E7%9A%87%E5%B2%9B%E5%B8%82/19286086?fromModule=lemma_inlink" \t "https://baike.baidu.com/item/%E8%A7%92%E5%B1%B1%E9%95%BF%E5%9F%8E/_blank"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秦皇岛市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山海关山海关城北处，系燕山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山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  <w:t>脉，因“双峰峥向宛若角立”而得名。又因它是明代万里长城从老龙头起跨越的第一座高峰，而素有“万里长城第一山”的美称。这里山势嵯峨，绵延起伏，是山海关的天然屏障，这里又是人文荟萃之地，早在明初就建有栖贤寺，哺育了众多名人贤士，因此，被誉为山海关文化摇篮。山顶西侧，是一处天然高山堰塞湖。湖水澄澈碧绿，四周青山环抱，长城蜿蜒相伴，湖光山色相映成趣，景致清幽秀美，素有“小天池”的美誉，是角山登高观景、休闲打卡的绝佳去处。</w:t>
      </w:r>
    </w:p>
    <w:p w14:paraId="1B8D848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F0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2026-07-30T00:41:20Z</dcterms:created>
  <dc:creator>LQC</dc:creator>
  <cp:lastModifiedBy>审阅人</cp:lastModifiedBy>
  <dcterms:modified xsi:type="dcterms:W3CDTF">2026-07-30T00:43:18Z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eyJoZGlkIjoiMDA0ZjBlYzk4ZGZmY2MzNzc1MjBhMzgzYTQ2YWNlZjgiLCJ1c2VySWQiOiI2OTMxNjUyNTMifQ==</vt:lpwstr>
  </property>
  <property fmtid="{D5CDD505-2E9C-101B-9397-08002B2CF9AE}" pid="4" name="ICV">
    <vt:lpwstr>C97E4E5819284AE8ACFF91017C0F0406_12</vt:lpwstr>
  </property>
</Properties>
</file>