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rtl w:val="0"/>
        </w:rPr>
        <w:t xml:space="preserve">SL4J Logging Framework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Exercise1: Logging Error Messages and Warning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3gnbvo86zjp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 need to ensure that a method is called with specific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jjf3fkz1ohql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Pom.xml: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"http://maven.apache.org/POM/4.0.0"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1"/>
                <w:szCs w:val="21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"http://maven.apache.org/POM/4.0.0 http://maven.apache.org/xsd/maven-4.0.0.xsd"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&gt;4.0.0&lt;/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modelVersion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&gt;com.example&lt;/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&gt;my-app&lt;/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&gt;1.0-SNAPSHOT&lt;/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&gt;org.slf4j&lt;/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&gt;slf4j-api&lt;/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&gt;1.7.30&lt;/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&gt;ch.qos.logback&lt;/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&gt;logback-classic&lt;/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&gt;1.2.3&lt;/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 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dependencies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1"/>
                <w:szCs w:val="21"/>
                <w:shd w:fill="282c34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0b5394"/>
        </w:rPr>
      </w:pPr>
      <w:bookmarkStart w:colFirst="0" w:colLast="0" w:name="_bsjzzmcgwcjt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Logging.java: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org.slf4j.Logger;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org.slf4j.LoggerFactory;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Logging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Logger logger = LoggerFactory.getLogger(Logging.class);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(String[] args) {</w:t>
              <w:br w:type="textWrapping"/>
              <w:t xml:space="preserve">       logger.error(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"This is an error message"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logger.warn(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"This is a warning message"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rPr>
          <w:b w:val="1"/>
          <w:color w:val="0b5394"/>
        </w:rPr>
      </w:pPr>
      <w:bookmarkStart w:colFirst="0" w:colLast="0" w:name="_nfr0n619h683" w:id="5"/>
      <w:bookmarkEnd w:id="5"/>
      <w:r w:rsidDel="00000000" w:rsidR="00000000" w:rsidRPr="00000000">
        <w:rPr>
          <w:b w:val="1"/>
          <w:color w:val="0b5394"/>
          <w:rtl w:val="0"/>
        </w:rPr>
        <w:t xml:space="preserve">Output Screenshot: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